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lear" w:pos="426"/>
        </w:tabs>
        <w:rPr>
          <w:highlight w:val="none"/>
        </w:rPr>
      </w:pPr>
    </w:p>
    <w:p>
      <w:pPr>
        <w:tabs>
          <w:tab w:val="clear" w:pos="426"/>
        </w:tabs>
        <w:rPr>
          <w:highlight w:val="none"/>
        </w:rPr>
      </w:pPr>
    </w:p>
    <w:p>
      <w:pPr>
        <w:tabs>
          <w:tab w:val="clear" w:pos="426"/>
        </w:tabs>
        <w:jc w:val="right"/>
        <w:rPr>
          <w:rFonts w:hint="eastAsia" w:eastAsia="宋体"/>
          <w:b/>
          <w:highlight w:val="none"/>
          <w:u w:val="single"/>
          <w:lang w:eastAsia="zh-CN"/>
        </w:rPr>
      </w:pPr>
      <w:r>
        <w:rPr>
          <w:rFonts w:hint="eastAsia"/>
          <w:highlight w:val="none"/>
        </w:rPr>
        <w:t>招标项目编号：</w:t>
      </w:r>
      <w:r>
        <w:rPr>
          <w:rFonts w:hint="eastAsia"/>
          <w:b/>
          <w:highlight w:val="none"/>
          <w:u w:val="single"/>
          <w:lang w:eastAsia="zh-CN"/>
        </w:rPr>
        <w:t>SSZX2019-333</w:t>
      </w:r>
    </w:p>
    <w:p>
      <w:pPr>
        <w:tabs>
          <w:tab w:val="clear" w:pos="426"/>
        </w:tabs>
        <w:rPr>
          <w:highlight w:val="none"/>
        </w:rPr>
      </w:pPr>
    </w:p>
    <w:p>
      <w:pPr>
        <w:tabs>
          <w:tab w:val="clear" w:pos="426"/>
        </w:tabs>
        <w:rPr>
          <w:highlight w:val="none"/>
        </w:rPr>
      </w:pPr>
    </w:p>
    <w:p>
      <w:pPr>
        <w:tabs>
          <w:tab w:val="clear" w:pos="426"/>
        </w:tabs>
        <w:rPr>
          <w:highlight w:val="none"/>
        </w:rPr>
      </w:pPr>
    </w:p>
    <w:p>
      <w:pPr>
        <w:widowControl w:val="0"/>
        <w:shd w:val="clear" w:color="auto" w:fill="auto"/>
        <w:tabs>
          <w:tab w:val="clear" w:pos="426"/>
        </w:tabs>
        <w:adjustRightInd/>
        <w:snapToGrid/>
        <w:spacing w:line="300" w:lineRule="auto"/>
        <w:jc w:val="center"/>
        <w:rPr>
          <w:rFonts w:cs="Times New Roman"/>
          <w:spacing w:val="26"/>
          <w:kern w:val="2"/>
          <w:sz w:val="72"/>
          <w:szCs w:val="20"/>
          <w:highlight w:val="none"/>
        </w:rPr>
      </w:pPr>
      <w:r>
        <w:rPr>
          <w:rFonts w:hint="eastAsia" w:cs="Times New Roman"/>
          <w:spacing w:val="26"/>
          <w:kern w:val="2"/>
          <w:sz w:val="72"/>
          <w:szCs w:val="20"/>
          <w:highlight w:val="none"/>
        </w:rPr>
        <w:t>深圳市政府采购</w:t>
      </w:r>
    </w:p>
    <w:p>
      <w:pPr>
        <w:widowControl w:val="0"/>
        <w:shd w:val="clear" w:color="auto" w:fill="auto"/>
        <w:tabs>
          <w:tab w:val="clear" w:pos="426"/>
        </w:tabs>
        <w:adjustRightInd/>
        <w:snapToGrid/>
        <w:spacing w:line="300" w:lineRule="auto"/>
        <w:jc w:val="center"/>
        <w:rPr>
          <w:rFonts w:cs="Times New Roman"/>
          <w:spacing w:val="26"/>
          <w:kern w:val="2"/>
          <w:sz w:val="72"/>
          <w:szCs w:val="20"/>
          <w:highlight w:val="none"/>
        </w:rPr>
      </w:pPr>
      <w:r>
        <w:rPr>
          <w:rFonts w:hint="eastAsia" w:cs="Times New Roman"/>
          <w:spacing w:val="26"/>
          <w:kern w:val="2"/>
          <w:sz w:val="72"/>
          <w:szCs w:val="20"/>
          <w:highlight w:val="none"/>
        </w:rPr>
        <w:t>招标文件</w:t>
      </w:r>
    </w:p>
    <w:p>
      <w:pPr>
        <w:tabs>
          <w:tab w:val="clear" w:pos="426"/>
        </w:tabs>
        <w:rPr>
          <w:highlight w:val="none"/>
        </w:rPr>
      </w:pPr>
    </w:p>
    <w:p>
      <w:pPr>
        <w:tabs>
          <w:tab w:val="clear" w:pos="426"/>
        </w:tabs>
        <w:rPr>
          <w:highlight w:val="none"/>
        </w:rPr>
      </w:pPr>
    </w:p>
    <w:p>
      <w:pPr>
        <w:tabs>
          <w:tab w:val="clear" w:pos="426"/>
        </w:tabs>
        <w:rPr>
          <w:highlight w:val="none"/>
        </w:rPr>
      </w:pPr>
    </w:p>
    <w:p>
      <w:pPr>
        <w:tabs>
          <w:tab w:val="clear" w:pos="426"/>
        </w:tabs>
        <w:jc w:val="center"/>
        <w:rPr>
          <w:rFonts w:ascii="黑体" w:hAnsi="Arial" w:eastAsia="黑体" w:cs="Arial"/>
          <w:color w:val="000000"/>
          <w:sz w:val="52"/>
          <w:szCs w:val="52"/>
          <w:highlight w:val="none"/>
        </w:rPr>
      </w:pPr>
      <w:r>
        <w:rPr>
          <w:rFonts w:hint="eastAsia" w:ascii="黑体" w:hAnsi="Arial" w:eastAsia="黑体" w:cs="Arial"/>
          <w:color w:val="000000"/>
          <w:sz w:val="52"/>
          <w:szCs w:val="52"/>
          <w:highlight w:val="none"/>
        </w:rPr>
        <w:t>【货物类】</w:t>
      </w:r>
    </w:p>
    <w:p>
      <w:pPr>
        <w:tabs>
          <w:tab w:val="clear" w:pos="426"/>
        </w:tabs>
        <w:rPr>
          <w:highlight w:val="none"/>
        </w:rPr>
      </w:pPr>
    </w:p>
    <w:p>
      <w:pPr>
        <w:tabs>
          <w:tab w:val="clear" w:pos="426"/>
        </w:tabs>
        <w:rPr>
          <w:highlight w:val="none"/>
        </w:rPr>
      </w:pPr>
    </w:p>
    <w:p>
      <w:pPr>
        <w:tabs>
          <w:tab w:val="clear" w:pos="426"/>
        </w:tabs>
        <w:rPr>
          <w:highlight w:val="none"/>
        </w:rPr>
      </w:pPr>
    </w:p>
    <w:p>
      <w:pPr>
        <w:tabs>
          <w:tab w:val="clear" w:pos="426"/>
        </w:tabs>
        <w:rPr>
          <w:highlight w:val="none"/>
        </w:rPr>
      </w:pPr>
    </w:p>
    <w:p>
      <w:pPr>
        <w:tabs>
          <w:tab w:val="clear" w:pos="426"/>
        </w:tabs>
        <w:rPr>
          <w:highlight w:val="none"/>
        </w:rPr>
      </w:pPr>
    </w:p>
    <w:p>
      <w:pPr>
        <w:tabs>
          <w:tab w:val="clear" w:pos="426"/>
        </w:tabs>
        <w:rPr>
          <w:highlight w:val="none"/>
        </w:rPr>
      </w:pPr>
    </w:p>
    <w:p>
      <w:pPr>
        <w:widowControl w:val="0"/>
        <w:shd w:val="clear" w:color="auto" w:fill="auto"/>
        <w:tabs>
          <w:tab w:val="clear" w:pos="426"/>
        </w:tabs>
        <w:adjustRightInd/>
        <w:snapToGrid/>
        <w:spacing w:line="300" w:lineRule="auto"/>
        <w:ind w:left="1498" w:leftChars="142" w:hanging="1200" w:hangingChars="400"/>
        <w:rPr>
          <w:rFonts w:hint="eastAsia" w:eastAsia="宋体" w:cs="Times New Roman"/>
          <w:kern w:val="2"/>
          <w:sz w:val="30"/>
          <w:szCs w:val="20"/>
          <w:highlight w:val="none"/>
          <w:lang w:eastAsia="zh-CN"/>
        </w:rPr>
      </w:pPr>
      <w:r>
        <w:rPr>
          <w:rFonts w:hint="eastAsia" w:cs="Times New Roman"/>
          <w:kern w:val="2"/>
          <w:sz w:val="30"/>
          <w:szCs w:val="20"/>
          <w:highlight w:val="none"/>
        </w:rPr>
        <w:t>项目名称：</w:t>
      </w:r>
      <w:r>
        <w:rPr>
          <w:rFonts w:hint="eastAsia" w:cs="Times New Roman"/>
          <w:kern w:val="2"/>
          <w:sz w:val="30"/>
          <w:szCs w:val="20"/>
          <w:highlight w:val="none"/>
          <w:u w:val="single"/>
          <w:lang w:eastAsia="zh-CN"/>
        </w:rPr>
        <w:t>南头街道政务自助服务终端设备采购项目</w:t>
      </w:r>
    </w:p>
    <w:p>
      <w:pPr>
        <w:widowControl w:val="0"/>
        <w:shd w:val="clear" w:color="auto" w:fill="auto"/>
        <w:tabs>
          <w:tab w:val="clear" w:pos="426"/>
        </w:tabs>
        <w:adjustRightInd/>
        <w:snapToGrid/>
        <w:spacing w:line="300" w:lineRule="auto"/>
        <w:ind w:left="1500" w:hanging="1500" w:hangingChars="500"/>
        <w:rPr>
          <w:rFonts w:cs="Times New Roman"/>
          <w:kern w:val="2"/>
          <w:sz w:val="30"/>
          <w:szCs w:val="20"/>
          <w:highlight w:val="none"/>
        </w:rPr>
      </w:pPr>
    </w:p>
    <w:p>
      <w:pPr>
        <w:widowControl w:val="0"/>
        <w:shd w:val="clear" w:color="auto" w:fill="auto"/>
        <w:tabs>
          <w:tab w:val="clear" w:pos="426"/>
        </w:tabs>
        <w:adjustRightInd/>
        <w:snapToGrid/>
        <w:spacing w:line="300" w:lineRule="auto"/>
        <w:ind w:left="1498" w:leftChars="142" w:hanging="1200" w:hangingChars="400"/>
        <w:rPr>
          <w:rFonts w:cs="Times New Roman"/>
          <w:kern w:val="2"/>
          <w:sz w:val="30"/>
          <w:szCs w:val="20"/>
          <w:highlight w:val="none"/>
        </w:rPr>
      </w:pPr>
      <w:r>
        <w:rPr>
          <w:rFonts w:hint="eastAsia" w:cs="Times New Roman"/>
          <w:kern w:val="2"/>
          <w:sz w:val="30"/>
          <w:szCs w:val="20"/>
          <w:highlight w:val="none"/>
        </w:rPr>
        <w:t>采购人名称：</w:t>
      </w:r>
      <w:r>
        <w:rPr>
          <w:rFonts w:hint="eastAsia" w:cs="Times New Roman"/>
          <w:kern w:val="2"/>
          <w:sz w:val="30"/>
          <w:szCs w:val="20"/>
          <w:highlight w:val="none"/>
          <w:u w:val="single"/>
        </w:rPr>
        <w:t>深圳市南山区</w:t>
      </w:r>
      <w:r>
        <w:rPr>
          <w:rFonts w:hint="eastAsia" w:cs="Times New Roman"/>
          <w:kern w:val="2"/>
          <w:sz w:val="30"/>
          <w:szCs w:val="20"/>
          <w:highlight w:val="none"/>
          <w:u w:val="single"/>
          <w:lang w:eastAsia="zh-CN"/>
        </w:rPr>
        <w:t>南头街道</w:t>
      </w:r>
      <w:r>
        <w:rPr>
          <w:rFonts w:hint="eastAsia" w:cs="Times New Roman"/>
          <w:kern w:val="2"/>
          <w:sz w:val="30"/>
          <w:szCs w:val="20"/>
          <w:highlight w:val="none"/>
          <w:u w:val="single"/>
        </w:rPr>
        <w:t>办事处</w:t>
      </w:r>
    </w:p>
    <w:p>
      <w:pPr>
        <w:widowControl w:val="0"/>
        <w:shd w:val="clear" w:color="auto" w:fill="auto"/>
        <w:tabs>
          <w:tab w:val="clear" w:pos="426"/>
        </w:tabs>
        <w:adjustRightInd/>
        <w:snapToGrid/>
        <w:spacing w:line="300" w:lineRule="auto"/>
        <w:ind w:left="1500" w:hanging="1500" w:hangingChars="500"/>
        <w:rPr>
          <w:rFonts w:cs="Times New Roman"/>
          <w:kern w:val="2"/>
          <w:sz w:val="30"/>
          <w:szCs w:val="20"/>
          <w:highlight w:val="none"/>
        </w:rPr>
      </w:pPr>
    </w:p>
    <w:p>
      <w:pPr>
        <w:widowControl w:val="0"/>
        <w:shd w:val="clear" w:color="auto" w:fill="auto"/>
        <w:tabs>
          <w:tab w:val="clear" w:pos="426"/>
        </w:tabs>
        <w:adjustRightInd/>
        <w:snapToGrid/>
        <w:spacing w:line="300" w:lineRule="auto"/>
        <w:ind w:left="1498" w:leftChars="142" w:hanging="1200" w:hangingChars="400"/>
        <w:rPr>
          <w:rFonts w:cs="Times New Roman"/>
          <w:kern w:val="2"/>
          <w:sz w:val="30"/>
          <w:szCs w:val="20"/>
          <w:highlight w:val="none"/>
          <w:u w:val="single"/>
        </w:rPr>
      </w:pPr>
      <w:r>
        <w:rPr>
          <w:rFonts w:hint="eastAsia" w:cs="Times New Roman"/>
          <w:kern w:val="2"/>
          <w:sz w:val="30"/>
          <w:szCs w:val="20"/>
          <w:highlight w:val="none"/>
        </w:rPr>
        <w:t>采购代理机构名称：</w:t>
      </w:r>
      <w:r>
        <w:rPr>
          <w:rFonts w:hint="eastAsia" w:cs="Times New Roman"/>
          <w:kern w:val="2"/>
          <w:sz w:val="30"/>
          <w:szCs w:val="20"/>
          <w:highlight w:val="none"/>
          <w:u w:val="single"/>
        </w:rPr>
        <w:t>深圳市深水水务咨询有限公司</w:t>
      </w:r>
    </w:p>
    <w:p>
      <w:pPr>
        <w:widowControl w:val="0"/>
        <w:shd w:val="clear" w:color="auto" w:fill="auto"/>
        <w:tabs>
          <w:tab w:val="clear" w:pos="426"/>
        </w:tabs>
        <w:adjustRightInd/>
        <w:snapToGrid/>
        <w:spacing w:line="300" w:lineRule="auto"/>
        <w:ind w:left="1498" w:leftChars="142" w:hanging="1200" w:hangingChars="400"/>
        <w:rPr>
          <w:rFonts w:cs="Times New Roman"/>
          <w:kern w:val="2"/>
          <w:sz w:val="30"/>
          <w:szCs w:val="20"/>
          <w:highlight w:val="none"/>
          <w:u w:val="single"/>
        </w:rPr>
      </w:pPr>
    </w:p>
    <w:p>
      <w:pPr>
        <w:widowControl w:val="0"/>
        <w:shd w:val="clear" w:color="auto" w:fill="auto"/>
        <w:tabs>
          <w:tab w:val="clear" w:pos="426"/>
        </w:tabs>
        <w:adjustRightInd/>
        <w:snapToGrid/>
        <w:spacing w:line="300" w:lineRule="auto"/>
        <w:ind w:left="1498" w:leftChars="142" w:hanging="1200" w:hangingChars="400"/>
        <w:rPr>
          <w:rFonts w:cs="Times New Roman"/>
          <w:kern w:val="2"/>
          <w:sz w:val="30"/>
          <w:szCs w:val="20"/>
          <w:highlight w:val="none"/>
          <w:u w:val="single"/>
        </w:rPr>
      </w:pPr>
    </w:p>
    <w:p>
      <w:pPr>
        <w:widowControl w:val="0"/>
        <w:shd w:val="clear" w:color="auto" w:fill="auto"/>
        <w:tabs>
          <w:tab w:val="clear" w:pos="426"/>
        </w:tabs>
        <w:adjustRightInd/>
        <w:snapToGrid/>
        <w:spacing w:line="300" w:lineRule="auto"/>
        <w:ind w:left="1498" w:leftChars="142" w:hanging="1200" w:hangingChars="400"/>
        <w:rPr>
          <w:rFonts w:cs="Times New Roman"/>
          <w:kern w:val="2"/>
          <w:sz w:val="30"/>
          <w:szCs w:val="20"/>
          <w:highlight w:val="none"/>
          <w:u w:val="single"/>
        </w:rPr>
      </w:pPr>
    </w:p>
    <w:p>
      <w:pPr>
        <w:tabs>
          <w:tab w:val="clear" w:pos="426"/>
        </w:tabs>
        <w:jc w:val="center"/>
        <w:rPr>
          <w:b/>
          <w:sz w:val="32"/>
          <w:szCs w:val="32"/>
          <w:highlight w:val="none"/>
        </w:rPr>
      </w:pPr>
      <w:r>
        <w:rPr>
          <w:highlight w:val="none"/>
        </w:rPr>
        <w:br w:type="page"/>
      </w:r>
      <w:r>
        <w:rPr>
          <w:rFonts w:hint="eastAsia"/>
          <w:b/>
          <w:sz w:val="32"/>
          <w:szCs w:val="32"/>
          <w:highlight w:val="none"/>
        </w:rPr>
        <w:t>目录</w:t>
      </w:r>
    </w:p>
    <w:p>
      <w:pPr>
        <w:tabs>
          <w:tab w:val="clear" w:pos="426"/>
        </w:tabs>
        <w:jc w:val="center"/>
        <w:rPr>
          <w:sz w:val="32"/>
          <w:szCs w:val="32"/>
          <w:highlight w:val="none"/>
        </w:rPr>
      </w:pPr>
    </w:p>
    <w:p>
      <w:pPr>
        <w:pStyle w:val="36"/>
        <w:ind w:left="105"/>
        <w:rPr>
          <w:rFonts w:asciiTheme="minorHAnsi" w:hAnsiTheme="minorHAnsi" w:eastAsiaTheme="minorEastAsia" w:cstheme="minorBidi"/>
          <w:smallCaps w:val="0"/>
          <w:kern w:val="2"/>
          <w:sz w:val="21"/>
          <w:szCs w:val="22"/>
          <w:highlight w:val="none"/>
        </w:rPr>
      </w:pPr>
      <w:r>
        <w:rPr>
          <w:smallCaps w:val="0"/>
          <w:highlight w:val="none"/>
        </w:rPr>
        <w:fldChar w:fldCharType="begin"/>
      </w:r>
      <w:r>
        <w:rPr>
          <w:smallCaps w:val="0"/>
          <w:highlight w:val="none"/>
        </w:rPr>
        <w:instrText xml:space="preserve"> TOC \o "1-2" \h \z \u </w:instrText>
      </w:r>
      <w:r>
        <w:rPr>
          <w:smallCaps w:val="0"/>
          <w:highlight w:val="none"/>
        </w:rPr>
        <w:fldChar w:fldCharType="separate"/>
      </w:r>
      <w:r>
        <w:rPr>
          <w:highlight w:val="none"/>
        </w:rPr>
        <w:fldChar w:fldCharType="begin"/>
      </w:r>
      <w:r>
        <w:rPr>
          <w:highlight w:val="none"/>
        </w:rPr>
        <w:instrText xml:space="preserve"> HYPERLINK \l "_Toc12610116" </w:instrText>
      </w:r>
      <w:r>
        <w:rPr>
          <w:highlight w:val="none"/>
        </w:rPr>
        <w:fldChar w:fldCharType="separate"/>
      </w:r>
      <w:r>
        <w:rPr>
          <w:rStyle w:val="52"/>
          <w:rFonts w:hint="eastAsia"/>
          <w:highlight w:val="none"/>
        </w:rPr>
        <w:t>警示条款</w:t>
      </w:r>
      <w:r>
        <w:rPr>
          <w:highlight w:val="none"/>
        </w:rPr>
        <w:tab/>
      </w:r>
      <w:r>
        <w:rPr>
          <w:highlight w:val="none"/>
        </w:rPr>
        <w:fldChar w:fldCharType="begin"/>
      </w:r>
      <w:r>
        <w:rPr>
          <w:highlight w:val="none"/>
        </w:rPr>
        <w:instrText xml:space="preserve"> PAGEREF _Toc12610116 \h </w:instrText>
      </w:r>
      <w:r>
        <w:rPr>
          <w:highlight w:val="none"/>
        </w:rPr>
        <w:fldChar w:fldCharType="separate"/>
      </w:r>
      <w:r>
        <w:rPr>
          <w:highlight w:val="none"/>
        </w:rPr>
        <w:t>1</w:t>
      </w:r>
      <w:r>
        <w:rPr>
          <w:highlight w:val="none"/>
        </w:rPr>
        <w:fldChar w:fldCharType="end"/>
      </w:r>
      <w:r>
        <w:rPr>
          <w:highlight w:val="none"/>
        </w:rPr>
        <w:fldChar w:fldCharType="end"/>
      </w:r>
    </w:p>
    <w:p>
      <w:pPr>
        <w:pStyle w:val="36"/>
        <w:ind w:left="105"/>
        <w:rPr>
          <w:rFonts w:asciiTheme="minorHAnsi" w:hAnsiTheme="minorHAnsi" w:eastAsiaTheme="minorEastAsia" w:cstheme="minorBidi"/>
          <w:smallCaps w:val="0"/>
          <w:kern w:val="2"/>
          <w:sz w:val="21"/>
          <w:szCs w:val="22"/>
          <w:highlight w:val="none"/>
        </w:rPr>
      </w:pPr>
      <w:r>
        <w:rPr>
          <w:highlight w:val="none"/>
        </w:rPr>
        <w:fldChar w:fldCharType="begin"/>
      </w:r>
      <w:r>
        <w:rPr>
          <w:highlight w:val="none"/>
        </w:rPr>
        <w:instrText xml:space="preserve"> HYPERLINK \l "_Toc12610117" </w:instrText>
      </w:r>
      <w:r>
        <w:rPr>
          <w:highlight w:val="none"/>
        </w:rPr>
        <w:fldChar w:fldCharType="separate"/>
      </w:r>
      <w:r>
        <w:rPr>
          <w:rStyle w:val="52"/>
          <w:rFonts w:hint="eastAsia"/>
          <w:highlight w:val="none"/>
        </w:rPr>
        <w:t>项目关键信息</w:t>
      </w:r>
      <w:r>
        <w:rPr>
          <w:highlight w:val="none"/>
        </w:rPr>
        <w:tab/>
      </w:r>
      <w:r>
        <w:rPr>
          <w:highlight w:val="none"/>
        </w:rPr>
        <w:fldChar w:fldCharType="begin"/>
      </w:r>
      <w:r>
        <w:rPr>
          <w:highlight w:val="none"/>
        </w:rPr>
        <w:instrText xml:space="preserve"> PAGEREF _Toc12610117 \h </w:instrText>
      </w:r>
      <w:r>
        <w:rPr>
          <w:highlight w:val="none"/>
        </w:rPr>
        <w:fldChar w:fldCharType="separate"/>
      </w:r>
      <w:r>
        <w:rPr>
          <w:highlight w:val="none"/>
        </w:rPr>
        <w:t>2</w:t>
      </w:r>
      <w:r>
        <w:rPr>
          <w:highlight w:val="none"/>
        </w:rPr>
        <w:fldChar w:fldCharType="end"/>
      </w:r>
      <w:r>
        <w:rPr>
          <w:highlight w:val="none"/>
        </w:rPr>
        <w:fldChar w:fldCharType="end"/>
      </w:r>
    </w:p>
    <w:p>
      <w:pPr>
        <w:pStyle w:val="36"/>
        <w:ind w:left="105"/>
        <w:rPr>
          <w:rFonts w:asciiTheme="minorHAnsi" w:hAnsiTheme="minorHAnsi" w:eastAsiaTheme="minorEastAsia" w:cstheme="minorBidi"/>
          <w:smallCaps w:val="0"/>
          <w:kern w:val="2"/>
          <w:sz w:val="21"/>
          <w:szCs w:val="22"/>
          <w:highlight w:val="none"/>
        </w:rPr>
      </w:pPr>
      <w:r>
        <w:rPr>
          <w:highlight w:val="none"/>
        </w:rPr>
        <w:fldChar w:fldCharType="begin"/>
      </w:r>
      <w:r>
        <w:rPr>
          <w:highlight w:val="none"/>
        </w:rPr>
        <w:instrText xml:space="preserve"> HYPERLINK \l "_Toc12610118" </w:instrText>
      </w:r>
      <w:r>
        <w:rPr>
          <w:highlight w:val="none"/>
        </w:rPr>
        <w:fldChar w:fldCharType="separate"/>
      </w:r>
      <w:r>
        <w:rPr>
          <w:rStyle w:val="52"/>
          <w:rFonts w:hint="eastAsia"/>
          <w:highlight w:val="none"/>
        </w:rPr>
        <w:t>资格性审查表、符合性审查表</w:t>
      </w:r>
      <w:r>
        <w:rPr>
          <w:highlight w:val="none"/>
        </w:rPr>
        <w:tab/>
      </w:r>
      <w:r>
        <w:rPr>
          <w:highlight w:val="none"/>
        </w:rPr>
        <w:fldChar w:fldCharType="begin"/>
      </w:r>
      <w:r>
        <w:rPr>
          <w:highlight w:val="none"/>
        </w:rPr>
        <w:instrText xml:space="preserve"> PAGEREF _Toc12610118 \h </w:instrText>
      </w:r>
      <w:r>
        <w:rPr>
          <w:highlight w:val="none"/>
        </w:rPr>
        <w:fldChar w:fldCharType="separate"/>
      </w:r>
      <w:r>
        <w:rPr>
          <w:highlight w:val="none"/>
        </w:rPr>
        <w:t>3</w:t>
      </w:r>
      <w:r>
        <w:rPr>
          <w:highlight w:val="none"/>
        </w:rPr>
        <w:fldChar w:fldCharType="end"/>
      </w:r>
      <w:r>
        <w:rPr>
          <w:highlight w:val="none"/>
        </w:rPr>
        <w:fldChar w:fldCharType="end"/>
      </w:r>
    </w:p>
    <w:p>
      <w:pPr>
        <w:pStyle w:val="36"/>
        <w:ind w:left="105"/>
        <w:rPr>
          <w:rFonts w:asciiTheme="minorHAnsi" w:hAnsiTheme="minorHAnsi" w:eastAsiaTheme="minorEastAsia" w:cstheme="minorBidi"/>
          <w:smallCaps w:val="0"/>
          <w:kern w:val="2"/>
          <w:sz w:val="21"/>
          <w:szCs w:val="22"/>
          <w:highlight w:val="none"/>
        </w:rPr>
      </w:pPr>
      <w:r>
        <w:rPr>
          <w:highlight w:val="none"/>
        </w:rPr>
        <w:fldChar w:fldCharType="begin"/>
      </w:r>
      <w:r>
        <w:rPr>
          <w:highlight w:val="none"/>
        </w:rPr>
        <w:instrText xml:space="preserve"> HYPERLINK \l "_Toc12610119" </w:instrText>
      </w:r>
      <w:r>
        <w:rPr>
          <w:highlight w:val="none"/>
        </w:rPr>
        <w:fldChar w:fldCharType="separate"/>
      </w:r>
      <w:r>
        <w:rPr>
          <w:rStyle w:val="52"/>
          <w:rFonts w:hint="eastAsia"/>
          <w:highlight w:val="none"/>
        </w:rPr>
        <w:t>评标信息</w:t>
      </w:r>
      <w:r>
        <w:rPr>
          <w:highlight w:val="none"/>
        </w:rPr>
        <w:tab/>
      </w:r>
      <w:r>
        <w:rPr>
          <w:highlight w:val="none"/>
        </w:rPr>
        <w:fldChar w:fldCharType="begin"/>
      </w:r>
      <w:r>
        <w:rPr>
          <w:highlight w:val="none"/>
        </w:rPr>
        <w:instrText xml:space="preserve"> PAGEREF _Toc12610119 \h </w:instrText>
      </w:r>
      <w:r>
        <w:rPr>
          <w:highlight w:val="none"/>
        </w:rPr>
        <w:fldChar w:fldCharType="separate"/>
      </w:r>
      <w:r>
        <w:rPr>
          <w:highlight w:val="none"/>
        </w:rPr>
        <w:t>4</w:t>
      </w:r>
      <w:r>
        <w:rPr>
          <w:highlight w:val="none"/>
        </w:rPr>
        <w:fldChar w:fldCharType="end"/>
      </w:r>
      <w:r>
        <w:rPr>
          <w:highlight w:val="none"/>
        </w:rPr>
        <w:fldChar w:fldCharType="end"/>
      </w:r>
    </w:p>
    <w:p>
      <w:pPr>
        <w:pStyle w:val="36"/>
        <w:ind w:left="105"/>
        <w:rPr>
          <w:rFonts w:hint="eastAsia"/>
          <w:highlight w:val="none"/>
        </w:rPr>
      </w:pPr>
      <w:r>
        <w:rPr>
          <w:highlight w:val="none"/>
        </w:rPr>
        <w:fldChar w:fldCharType="begin"/>
      </w:r>
      <w:r>
        <w:rPr>
          <w:highlight w:val="none"/>
        </w:rPr>
        <w:instrText xml:space="preserve"> HYPERLINK \l "_Toc12610120" </w:instrText>
      </w:r>
      <w:r>
        <w:rPr>
          <w:highlight w:val="none"/>
        </w:rPr>
        <w:fldChar w:fldCharType="separate"/>
      </w:r>
      <w:r>
        <w:rPr>
          <w:rStyle w:val="52"/>
          <w:rFonts w:hint="eastAsia"/>
          <w:highlight w:val="none"/>
        </w:rPr>
        <w:t>评分细则表</w:t>
      </w:r>
      <w:r>
        <w:rPr>
          <w:highlight w:val="none"/>
        </w:rPr>
        <w:tab/>
      </w:r>
      <w:r>
        <w:rPr>
          <w:highlight w:val="none"/>
        </w:rPr>
        <w:fldChar w:fldCharType="begin"/>
      </w:r>
      <w:r>
        <w:rPr>
          <w:highlight w:val="none"/>
        </w:rPr>
        <w:instrText xml:space="preserve"> PAGEREF _Toc12610120 \h </w:instrText>
      </w:r>
      <w:r>
        <w:rPr>
          <w:highlight w:val="none"/>
        </w:rPr>
        <w:fldChar w:fldCharType="separate"/>
      </w:r>
      <w:r>
        <w:rPr>
          <w:highlight w:val="none"/>
        </w:rPr>
        <w:t>6</w:t>
      </w:r>
      <w:r>
        <w:rPr>
          <w:highlight w:val="none"/>
        </w:rPr>
        <w:fldChar w:fldCharType="end"/>
      </w:r>
      <w:r>
        <w:rPr>
          <w:highlight w:val="none"/>
        </w:rPr>
        <w:fldChar w:fldCharType="end"/>
      </w:r>
    </w:p>
    <w:p>
      <w:pPr>
        <w:pStyle w:val="36"/>
        <w:ind w:left="105"/>
        <w:rPr>
          <w:rFonts w:ascii="Calibri" w:hAnsi="Calibri" w:cs="Times New Roman"/>
          <w:smallCaps w:val="0"/>
          <w:kern w:val="2"/>
          <w:sz w:val="21"/>
          <w:szCs w:val="22"/>
          <w:highlight w:val="none"/>
        </w:rPr>
      </w:pPr>
      <w:r>
        <w:rPr>
          <w:highlight w:val="none"/>
        </w:rPr>
        <w:fldChar w:fldCharType="begin"/>
      </w:r>
      <w:r>
        <w:rPr>
          <w:highlight w:val="none"/>
        </w:rPr>
        <w:instrText xml:space="preserve"> HYPERLINK \l "_Toc489466184" </w:instrText>
      </w:r>
      <w:r>
        <w:rPr>
          <w:highlight w:val="none"/>
        </w:rPr>
        <w:fldChar w:fldCharType="separate"/>
      </w:r>
      <w:r>
        <w:rPr>
          <w:rStyle w:val="52"/>
          <w:rFonts w:hint="eastAsia"/>
          <w:highlight w:val="none"/>
        </w:rPr>
        <w:t>定标信息</w:t>
      </w:r>
      <w:r>
        <w:rPr>
          <w:highlight w:val="none"/>
        </w:rPr>
        <w:tab/>
      </w:r>
      <w:r>
        <w:rPr>
          <w:highlight w:val="none"/>
        </w:rPr>
        <w:fldChar w:fldCharType="begin"/>
      </w:r>
      <w:r>
        <w:rPr>
          <w:highlight w:val="none"/>
        </w:rPr>
        <w:instrText xml:space="preserve"> PAGEREF _Toc489466184 \h </w:instrText>
      </w:r>
      <w:r>
        <w:rPr>
          <w:highlight w:val="none"/>
        </w:rPr>
        <w:fldChar w:fldCharType="separate"/>
      </w:r>
      <w:r>
        <w:rPr>
          <w:highlight w:val="none"/>
        </w:rPr>
        <w:t>8</w:t>
      </w:r>
      <w:r>
        <w:rPr>
          <w:highlight w:val="none"/>
        </w:rPr>
        <w:fldChar w:fldCharType="end"/>
      </w:r>
      <w:r>
        <w:rPr>
          <w:highlight w:val="none"/>
        </w:rPr>
        <w:fldChar w:fldCharType="end"/>
      </w:r>
    </w:p>
    <w:p>
      <w:pPr>
        <w:pStyle w:val="31"/>
        <w:rPr>
          <w:rFonts w:asciiTheme="minorHAnsi" w:hAnsiTheme="minorHAnsi" w:eastAsiaTheme="minorEastAsia" w:cstheme="minorBidi"/>
          <w:b w:val="0"/>
          <w:bCs w:val="0"/>
          <w:caps w:val="0"/>
          <w:kern w:val="2"/>
          <w:sz w:val="21"/>
          <w:szCs w:val="22"/>
          <w:highlight w:val="none"/>
        </w:rPr>
      </w:pPr>
      <w:r>
        <w:rPr>
          <w:highlight w:val="none"/>
        </w:rPr>
        <w:fldChar w:fldCharType="begin"/>
      </w:r>
      <w:r>
        <w:rPr>
          <w:highlight w:val="none"/>
        </w:rPr>
        <w:instrText xml:space="preserve"> HYPERLINK \l "_Toc12610121" </w:instrText>
      </w:r>
      <w:r>
        <w:rPr>
          <w:highlight w:val="none"/>
        </w:rPr>
        <w:fldChar w:fldCharType="separate"/>
      </w:r>
      <w:r>
        <w:rPr>
          <w:rStyle w:val="52"/>
          <w:rFonts w:hint="eastAsia"/>
          <w:highlight w:val="none"/>
        </w:rPr>
        <w:t>第一册专用条款</w:t>
      </w:r>
      <w:r>
        <w:rPr>
          <w:highlight w:val="none"/>
        </w:rPr>
        <w:tab/>
      </w:r>
      <w:r>
        <w:rPr>
          <w:highlight w:val="none"/>
        </w:rPr>
        <w:fldChar w:fldCharType="begin"/>
      </w:r>
      <w:r>
        <w:rPr>
          <w:highlight w:val="none"/>
        </w:rPr>
        <w:instrText xml:space="preserve"> PAGEREF _Toc12610121 \h </w:instrText>
      </w:r>
      <w:r>
        <w:rPr>
          <w:highlight w:val="none"/>
        </w:rPr>
        <w:fldChar w:fldCharType="separate"/>
      </w:r>
      <w:r>
        <w:rPr>
          <w:highlight w:val="none"/>
        </w:rPr>
        <w:t>9</w:t>
      </w:r>
      <w:r>
        <w:rPr>
          <w:highlight w:val="none"/>
        </w:rPr>
        <w:fldChar w:fldCharType="end"/>
      </w:r>
      <w:r>
        <w:rPr>
          <w:highlight w:val="none"/>
        </w:rPr>
        <w:fldChar w:fldCharType="end"/>
      </w:r>
    </w:p>
    <w:p>
      <w:pPr>
        <w:pStyle w:val="36"/>
        <w:ind w:left="105"/>
        <w:rPr>
          <w:rFonts w:asciiTheme="minorHAnsi" w:hAnsiTheme="minorHAnsi" w:eastAsiaTheme="minorEastAsia" w:cstheme="minorBidi"/>
          <w:smallCaps w:val="0"/>
          <w:kern w:val="2"/>
          <w:sz w:val="21"/>
          <w:szCs w:val="22"/>
          <w:highlight w:val="none"/>
        </w:rPr>
      </w:pPr>
      <w:r>
        <w:rPr>
          <w:highlight w:val="none"/>
        </w:rPr>
        <w:fldChar w:fldCharType="begin"/>
      </w:r>
      <w:r>
        <w:rPr>
          <w:highlight w:val="none"/>
        </w:rPr>
        <w:instrText xml:space="preserve"> HYPERLINK \l "_Toc12610122" </w:instrText>
      </w:r>
      <w:r>
        <w:rPr>
          <w:highlight w:val="none"/>
        </w:rPr>
        <w:fldChar w:fldCharType="separate"/>
      </w:r>
      <w:r>
        <w:rPr>
          <w:rStyle w:val="52"/>
          <w:rFonts w:hint="eastAsia"/>
          <w:highlight w:val="none"/>
        </w:rPr>
        <w:t>第一章采购公告</w:t>
      </w:r>
      <w:r>
        <w:rPr>
          <w:highlight w:val="none"/>
        </w:rPr>
        <w:tab/>
      </w:r>
      <w:r>
        <w:rPr>
          <w:highlight w:val="none"/>
        </w:rPr>
        <w:fldChar w:fldCharType="begin"/>
      </w:r>
      <w:r>
        <w:rPr>
          <w:highlight w:val="none"/>
        </w:rPr>
        <w:instrText xml:space="preserve"> PAGEREF _Toc12610122 \h </w:instrText>
      </w:r>
      <w:r>
        <w:rPr>
          <w:highlight w:val="none"/>
        </w:rPr>
        <w:fldChar w:fldCharType="separate"/>
      </w:r>
      <w:r>
        <w:rPr>
          <w:highlight w:val="none"/>
        </w:rPr>
        <w:t>9</w:t>
      </w:r>
      <w:r>
        <w:rPr>
          <w:highlight w:val="none"/>
        </w:rPr>
        <w:fldChar w:fldCharType="end"/>
      </w:r>
      <w:r>
        <w:rPr>
          <w:highlight w:val="none"/>
        </w:rPr>
        <w:fldChar w:fldCharType="end"/>
      </w:r>
    </w:p>
    <w:p>
      <w:pPr>
        <w:pStyle w:val="36"/>
        <w:ind w:left="105"/>
        <w:rPr>
          <w:rFonts w:asciiTheme="minorHAnsi" w:hAnsiTheme="minorHAnsi" w:eastAsiaTheme="minorEastAsia" w:cstheme="minorBidi"/>
          <w:smallCaps w:val="0"/>
          <w:kern w:val="2"/>
          <w:sz w:val="21"/>
          <w:szCs w:val="22"/>
          <w:highlight w:val="none"/>
        </w:rPr>
      </w:pPr>
      <w:r>
        <w:rPr>
          <w:highlight w:val="none"/>
        </w:rPr>
        <w:fldChar w:fldCharType="begin"/>
      </w:r>
      <w:r>
        <w:rPr>
          <w:highlight w:val="none"/>
        </w:rPr>
        <w:instrText xml:space="preserve"> HYPERLINK \l "_Toc12610123" </w:instrText>
      </w:r>
      <w:r>
        <w:rPr>
          <w:highlight w:val="none"/>
        </w:rPr>
        <w:fldChar w:fldCharType="separate"/>
      </w:r>
      <w:r>
        <w:rPr>
          <w:rStyle w:val="52"/>
          <w:rFonts w:hint="eastAsia"/>
          <w:highlight w:val="none"/>
        </w:rPr>
        <w:t>第二章投标须知前附表</w:t>
      </w:r>
      <w:r>
        <w:rPr>
          <w:highlight w:val="none"/>
        </w:rPr>
        <w:tab/>
      </w:r>
      <w:r>
        <w:rPr>
          <w:highlight w:val="none"/>
        </w:rPr>
        <w:fldChar w:fldCharType="begin"/>
      </w:r>
      <w:r>
        <w:rPr>
          <w:highlight w:val="none"/>
        </w:rPr>
        <w:instrText xml:space="preserve"> PAGEREF _Toc12610123 \h </w:instrText>
      </w:r>
      <w:r>
        <w:rPr>
          <w:highlight w:val="none"/>
        </w:rPr>
        <w:fldChar w:fldCharType="separate"/>
      </w:r>
      <w:r>
        <w:rPr>
          <w:highlight w:val="none"/>
        </w:rPr>
        <w:t>12</w:t>
      </w:r>
      <w:r>
        <w:rPr>
          <w:highlight w:val="none"/>
        </w:rPr>
        <w:fldChar w:fldCharType="end"/>
      </w:r>
      <w:r>
        <w:rPr>
          <w:highlight w:val="none"/>
        </w:rPr>
        <w:fldChar w:fldCharType="end"/>
      </w:r>
    </w:p>
    <w:p>
      <w:pPr>
        <w:pStyle w:val="36"/>
        <w:ind w:left="105"/>
        <w:rPr>
          <w:rFonts w:asciiTheme="minorHAnsi" w:hAnsiTheme="minorHAnsi" w:eastAsiaTheme="minorEastAsia" w:cstheme="minorBidi"/>
          <w:smallCaps w:val="0"/>
          <w:kern w:val="2"/>
          <w:sz w:val="21"/>
          <w:szCs w:val="22"/>
          <w:highlight w:val="none"/>
        </w:rPr>
      </w:pPr>
      <w:r>
        <w:rPr>
          <w:highlight w:val="none"/>
        </w:rPr>
        <w:fldChar w:fldCharType="begin"/>
      </w:r>
      <w:r>
        <w:rPr>
          <w:highlight w:val="none"/>
        </w:rPr>
        <w:instrText xml:space="preserve"> HYPERLINK \l "_Toc12610124" </w:instrText>
      </w:r>
      <w:r>
        <w:rPr>
          <w:highlight w:val="none"/>
        </w:rPr>
        <w:fldChar w:fldCharType="separate"/>
      </w:r>
      <w:r>
        <w:rPr>
          <w:rStyle w:val="52"/>
          <w:rFonts w:hint="eastAsia"/>
          <w:highlight w:val="none"/>
        </w:rPr>
        <w:t>第三章项目需求</w:t>
      </w:r>
      <w:r>
        <w:rPr>
          <w:highlight w:val="none"/>
        </w:rPr>
        <w:tab/>
      </w:r>
      <w:r>
        <w:rPr>
          <w:highlight w:val="none"/>
        </w:rPr>
        <w:fldChar w:fldCharType="begin"/>
      </w:r>
      <w:r>
        <w:rPr>
          <w:highlight w:val="none"/>
        </w:rPr>
        <w:instrText xml:space="preserve"> PAGEREF _Toc12610124 \h </w:instrText>
      </w:r>
      <w:r>
        <w:rPr>
          <w:highlight w:val="none"/>
        </w:rPr>
        <w:fldChar w:fldCharType="separate"/>
      </w:r>
      <w:r>
        <w:rPr>
          <w:highlight w:val="none"/>
        </w:rPr>
        <w:t>14</w:t>
      </w:r>
      <w:r>
        <w:rPr>
          <w:highlight w:val="none"/>
        </w:rPr>
        <w:fldChar w:fldCharType="end"/>
      </w:r>
      <w:r>
        <w:rPr>
          <w:highlight w:val="none"/>
        </w:rPr>
        <w:fldChar w:fldCharType="end"/>
      </w:r>
    </w:p>
    <w:p>
      <w:pPr>
        <w:pStyle w:val="36"/>
        <w:ind w:left="105"/>
        <w:rPr>
          <w:rFonts w:asciiTheme="minorHAnsi" w:hAnsiTheme="minorHAnsi" w:eastAsiaTheme="minorEastAsia" w:cstheme="minorBidi"/>
          <w:smallCaps w:val="0"/>
          <w:kern w:val="2"/>
          <w:sz w:val="21"/>
          <w:szCs w:val="22"/>
          <w:highlight w:val="none"/>
        </w:rPr>
      </w:pPr>
      <w:r>
        <w:rPr>
          <w:highlight w:val="none"/>
        </w:rPr>
        <w:fldChar w:fldCharType="begin"/>
      </w:r>
      <w:r>
        <w:rPr>
          <w:highlight w:val="none"/>
        </w:rPr>
        <w:instrText xml:space="preserve"> HYPERLINK \l "_Toc12610125" </w:instrText>
      </w:r>
      <w:r>
        <w:rPr>
          <w:highlight w:val="none"/>
        </w:rPr>
        <w:fldChar w:fldCharType="separate"/>
      </w:r>
      <w:r>
        <w:rPr>
          <w:rStyle w:val="52"/>
          <w:rFonts w:hint="eastAsia" w:asciiTheme="majorEastAsia" w:hAnsiTheme="majorEastAsia" w:eastAsiaTheme="majorEastAsia"/>
          <w:highlight w:val="none"/>
        </w:rPr>
        <w:t>四、商务需求</w:t>
      </w:r>
      <w:r>
        <w:rPr>
          <w:highlight w:val="none"/>
        </w:rPr>
        <w:tab/>
      </w:r>
      <w:r>
        <w:rPr>
          <w:highlight w:val="none"/>
        </w:rPr>
        <w:fldChar w:fldCharType="begin"/>
      </w:r>
      <w:r>
        <w:rPr>
          <w:highlight w:val="none"/>
        </w:rPr>
        <w:instrText xml:space="preserve"> PAGEREF _Toc12610125 \h </w:instrText>
      </w:r>
      <w:r>
        <w:rPr>
          <w:highlight w:val="none"/>
        </w:rPr>
        <w:fldChar w:fldCharType="separate"/>
      </w:r>
      <w:r>
        <w:rPr>
          <w:highlight w:val="none"/>
        </w:rPr>
        <w:t>26</w:t>
      </w:r>
      <w:r>
        <w:rPr>
          <w:highlight w:val="none"/>
        </w:rPr>
        <w:fldChar w:fldCharType="end"/>
      </w:r>
      <w:r>
        <w:rPr>
          <w:highlight w:val="none"/>
        </w:rPr>
        <w:fldChar w:fldCharType="end"/>
      </w:r>
    </w:p>
    <w:p>
      <w:pPr>
        <w:pStyle w:val="36"/>
        <w:ind w:left="105"/>
        <w:rPr>
          <w:rFonts w:asciiTheme="minorHAnsi" w:hAnsiTheme="minorHAnsi" w:eastAsiaTheme="minorEastAsia" w:cstheme="minorBidi"/>
          <w:smallCaps w:val="0"/>
          <w:kern w:val="2"/>
          <w:sz w:val="21"/>
          <w:szCs w:val="22"/>
          <w:highlight w:val="none"/>
        </w:rPr>
      </w:pPr>
      <w:r>
        <w:rPr>
          <w:highlight w:val="none"/>
        </w:rPr>
        <w:fldChar w:fldCharType="begin"/>
      </w:r>
      <w:r>
        <w:rPr>
          <w:highlight w:val="none"/>
        </w:rPr>
        <w:instrText xml:space="preserve"> HYPERLINK \l "_Toc12610126" </w:instrText>
      </w:r>
      <w:r>
        <w:rPr>
          <w:highlight w:val="none"/>
        </w:rPr>
        <w:fldChar w:fldCharType="separate"/>
      </w:r>
      <w:r>
        <w:rPr>
          <w:rStyle w:val="52"/>
          <w:rFonts w:hint="eastAsia"/>
          <w:highlight w:val="none"/>
        </w:rPr>
        <w:t>第四章政府采购合同的签订、履约及验收</w:t>
      </w:r>
      <w:r>
        <w:rPr>
          <w:highlight w:val="none"/>
        </w:rPr>
        <w:tab/>
      </w:r>
      <w:r>
        <w:rPr>
          <w:highlight w:val="none"/>
        </w:rPr>
        <w:fldChar w:fldCharType="begin"/>
      </w:r>
      <w:r>
        <w:rPr>
          <w:highlight w:val="none"/>
        </w:rPr>
        <w:instrText xml:space="preserve"> PAGEREF _Toc12610126 \h </w:instrText>
      </w:r>
      <w:r>
        <w:rPr>
          <w:highlight w:val="none"/>
        </w:rPr>
        <w:fldChar w:fldCharType="separate"/>
      </w:r>
      <w:r>
        <w:rPr>
          <w:highlight w:val="none"/>
        </w:rPr>
        <w:t>31</w:t>
      </w:r>
      <w:r>
        <w:rPr>
          <w:highlight w:val="none"/>
        </w:rPr>
        <w:fldChar w:fldCharType="end"/>
      </w:r>
      <w:r>
        <w:rPr>
          <w:highlight w:val="none"/>
        </w:rPr>
        <w:fldChar w:fldCharType="end"/>
      </w:r>
    </w:p>
    <w:p>
      <w:pPr>
        <w:pStyle w:val="36"/>
        <w:ind w:left="105"/>
        <w:rPr>
          <w:rFonts w:asciiTheme="minorHAnsi" w:hAnsiTheme="minorHAnsi" w:eastAsiaTheme="minorEastAsia" w:cstheme="minorBidi"/>
          <w:smallCaps w:val="0"/>
          <w:kern w:val="2"/>
          <w:sz w:val="21"/>
          <w:szCs w:val="22"/>
          <w:highlight w:val="none"/>
        </w:rPr>
      </w:pPr>
      <w:r>
        <w:rPr>
          <w:highlight w:val="none"/>
        </w:rPr>
        <w:fldChar w:fldCharType="begin"/>
      </w:r>
      <w:r>
        <w:rPr>
          <w:highlight w:val="none"/>
        </w:rPr>
        <w:instrText xml:space="preserve"> HYPERLINK \l "_Toc12610127" </w:instrText>
      </w:r>
      <w:r>
        <w:rPr>
          <w:highlight w:val="none"/>
        </w:rPr>
        <w:fldChar w:fldCharType="separate"/>
      </w:r>
      <w:r>
        <w:rPr>
          <w:rStyle w:val="52"/>
          <w:rFonts w:hint="eastAsia"/>
          <w:highlight w:val="none"/>
        </w:rPr>
        <w:t>一、合同条款及格式</w:t>
      </w:r>
      <w:r>
        <w:rPr>
          <w:highlight w:val="none"/>
        </w:rPr>
        <w:tab/>
      </w:r>
      <w:r>
        <w:rPr>
          <w:highlight w:val="none"/>
        </w:rPr>
        <w:fldChar w:fldCharType="begin"/>
      </w:r>
      <w:r>
        <w:rPr>
          <w:highlight w:val="none"/>
        </w:rPr>
        <w:instrText xml:space="preserve"> PAGEREF _Toc12610127 \h </w:instrText>
      </w:r>
      <w:r>
        <w:rPr>
          <w:highlight w:val="none"/>
        </w:rPr>
        <w:fldChar w:fldCharType="separate"/>
      </w:r>
      <w:r>
        <w:rPr>
          <w:highlight w:val="none"/>
        </w:rPr>
        <w:t>32</w:t>
      </w:r>
      <w:r>
        <w:rPr>
          <w:highlight w:val="none"/>
        </w:rPr>
        <w:fldChar w:fldCharType="end"/>
      </w:r>
      <w:r>
        <w:rPr>
          <w:highlight w:val="none"/>
        </w:rPr>
        <w:fldChar w:fldCharType="end"/>
      </w:r>
    </w:p>
    <w:p>
      <w:pPr>
        <w:pStyle w:val="36"/>
        <w:ind w:left="105"/>
        <w:rPr>
          <w:rFonts w:asciiTheme="minorHAnsi" w:hAnsiTheme="minorHAnsi" w:eastAsiaTheme="minorEastAsia" w:cstheme="minorBidi"/>
          <w:smallCaps w:val="0"/>
          <w:kern w:val="2"/>
          <w:sz w:val="21"/>
          <w:szCs w:val="22"/>
          <w:highlight w:val="none"/>
        </w:rPr>
      </w:pPr>
      <w:r>
        <w:rPr>
          <w:highlight w:val="none"/>
        </w:rPr>
        <w:fldChar w:fldCharType="begin"/>
      </w:r>
      <w:r>
        <w:rPr>
          <w:highlight w:val="none"/>
        </w:rPr>
        <w:instrText xml:space="preserve"> HYPERLINK \l "_Toc12610128" </w:instrText>
      </w:r>
      <w:r>
        <w:rPr>
          <w:highlight w:val="none"/>
        </w:rPr>
        <w:fldChar w:fldCharType="separate"/>
      </w:r>
      <w:r>
        <w:rPr>
          <w:rStyle w:val="52"/>
          <w:rFonts w:hint="eastAsia"/>
          <w:highlight w:val="none"/>
        </w:rPr>
        <w:t>第五章投标文件格式、附件</w:t>
      </w:r>
      <w:r>
        <w:rPr>
          <w:highlight w:val="none"/>
        </w:rPr>
        <w:tab/>
      </w:r>
      <w:r>
        <w:rPr>
          <w:highlight w:val="none"/>
        </w:rPr>
        <w:fldChar w:fldCharType="begin"/>
      </w:r>
      <w:r>
        <w:rPr>
          <w:highlight w:val="none"/>
        </w:rPr>
        <w:instrText xml:space="preserve"> PAGEREF _Toc12610128 \h </w:instrText>
      </w:r>
      <w:r>
        <w:rPr>
          <w:highlight w:val="none"/>
        </w:rPr>
        <w:fldChar w:fldCharType="separate"/>
      </w:r>
      <w:r>
        <w:rPr>
          <w:highlight w:val="none"/>
        </w:rPr>
        <w:t>36</w:t>
      </w:r>
      <w:r>
        <w:rPr>
          <w:highlight w:val="none"/>
        </w:rPr>
        <w:fldChar w:fldCharType="end"/>
      </w:r>
      <w:r>
        <w:rPr>
          <w:highlight w:val="none"/>
        </w:rPr>
        <w:fldChar w:fldCharType="end"/>
      </w:r>
    </w:p>
    <w:p>
      <w:pPr>
        <w:pStyle w:val="31"/>
        <w:rPr>
          <w:rFonts w:asciiTheme="minorHAnsi" w:hAnsiTheme="minorHAnsi" w:eastAsiaTheme="minorEastAsia" w:cstheme="minorBidi"/>
          <w:b w:val="0"/>
          <w:bCs w:val="0"/>
          <w:caps w:val="0"/>
          <w:kern w:val="2"/>
          <w:sz w:val="21"/>
          <w:szCs w:val="22"/>
          <w:highlight w:val="none"/>
        </w:rPr>
      </w:pPr>
      <w:r>
        <w:rPr>
          <w:highlight w:val="none"/>
        </w:rPr>
        <w:fldChar w:fldCharType="begin"/>
      </w:r>
      <w:r>
        <w:rPr>
          <w:highlight w:val="none"/>
        </w:rPr>
        <w:instrText xml:space="preserve"> HYPERLINK \l "_Toc12610129" </w:instrText>
      </w:r>
      <w:r>
        <w:rPr>
          <w:highlight w:val="none"/>
        </w:rPr>
        <w:fldChar w:fldCharType="separate"/>
      </w:r>
      <w:r>
        <w:rPr>
          <w:rStyle w:val="52"/>
          <w:rFonts w:hint="eastAsia"/>
          <w:highlight w:val="none"/>
        </w:rPr>
        <w:t>第二册通用条款</w:t>
      </w:r>
      <w:r>
        <w:rPr>
          <w:highlight w:val="none"/>
        </w:rPr>
        <w:tab/>
      </w:r>
      <w:r>
        <w:rPr>
          <w:highlight w:val="none"/>
        </w:rPr>
        <w:fldChar w:fldCharType="begin"/>
      </w:r>
      <w:r>
        <w:rPr>
          <w:highlight w:val="none"/>
        </w:rPr>
        <w:instrText xml:space="preserve"> PAGEREF _Toc12610129 \h </w:instrText>
      </w:r>
      <w:r>
        <w:rPr>
          <w:highlight w:val="none"/>
        </w:rPr>
        <w:fldChar w:fldCharType="separate"/>
      </w:r>
      <w:r>
        <w:rPr>
          <w:highlight w:val="none"/>
        </w:rPr>
        <w:t>63</w:t>
      </w:r>
      <w:r>
        <w:rPr>
          <w:highlight w:val="none"/>
        </w:rPr>
        <w:fldChar w:fldCharType="end"/>
      </w:r>
      <w:r>
        <w:rPr>
          <w:highlight w:val="none"/>
        </w:rPr>
        <w:fldChar w:fldCharType="end"/>
      </w:r>
    </w:p>
    <w:p>
      <w:pPr>
        <w:pStyle w:val="36"/>
        <w:ind w:left="105"/>
        <w:rPr>
          <w:rFonts w:asciiTheme="minorHAnsi" w:hAnsiTheme="minorHAnsi" w:eastAsiaTheme="minorEastAsia" w:cstheme="minorBidi"/>
          <w:smallCaps w:val="0"/>
          <w:kern w:val="2"/>
          <w:sz w:val="21"/>
          <w:szCs w:val="22"/>
          <w:highlight w:val="none"/>
        </w:rPr>
      </w:pPr>
      <w:r>
        <w:rPr>
          <w:highlight w:val="none"/>
        </w:rPr>
        <w:fldChar w:fldCharType="begin"/>
      </w:r>
      <w:r>
        <w:rPr>
          <w:highlight w:val="none"/>
        </w:rPr>
        <w:instrText xml:space="preserve"> HYPERLINK \l "_Toc12610130" </w:instrText>
      </w:r>
      <w:r>
        <w:rPr>
          <w:highlight w:val="none"/>
        </w:rPr>
        <w:fldChar w:fldCharType="separate"/>
      </w:r>
      <w:r>
        <w:rPr>
          <w:rStyle w:val="52"/>
          <w:rFonts w:hint="eastAsia"/>
          <w:highlight w:val="none"/>
        </w:rPr>
        <w:t>第一章</w:t>
      </w:r>
      <w:r>
        <w:rPr>
          <w:rStyle w:val="52"/>
          <w:highlight w:val="none"/>
        </w:rPr>
        <w:t xml:space="preserve"> </w:t>
      </w:r>
      <w:r>
        <w:rPr>
          <w:rStyle w:val="52"/>
          <w:rFonts w:hint="eastAsia"/>
          <w:highlight w:val="none"/>
        </w:rPr>
        <w:t>总则</w:t>
      </w:r>
      <w:r>
        <w:rPr>
          <w:highlight w:val="none"/>
        </w:rPr>
        <w:tab/>
      </w:r>
      <w:r>
        <w:rPr>
          <w:highlight w:val="none"/>
        </w:rPr>
        <w:fldChar w:fldCharType="begin"/>
      </w:r>
      <w:r>
        <w:rPr>
          <w:highlight w:val="none"/>
        </w:rPr>
        <w:instrText xml:space="preserve"> PAGEREF _Toc12610130 \h </w:instrText>
      </w:r>
      <w:r>
        <w:rPr>
          <w:highlight w:val="none"/>
        </w:rPr>
        <w:fldChar w:fldCharType="separate"/>
      </w:r>
      <w:r>
        <w:rPr>
          <w:highlight w:val="none"/>
        </w:rPr>
        <w:t>63</w:t>
      </w:r>
      <w:r>
        <w:rPr>
          <w:highlight w:val="none"/>
        </w:rPr>
        <w:fldChar w:fldCharType="end"/>
      </w:r>
      <w:r>
        <w:rPr>
          <w:highlight w:val="none"/>
        </w:rPr>
        <w:fldChar w:fldCharType="end"/>
      </w:r>
    </w:p>
    <w:p>
      <w:pPr>
        <w:pStyle w:val="36"/>
        <w:ind w:left="105"/>
        <w:rPr>
          <w:rFonts w:asciiTheme="minorHAnsi" w:hAnsiTheme="minorHAnsi" w:eastAsiaTheme="minorEastAsia" w:cstheme="minorBidi"/>
          <w:smallCaps w:val="0"/>
          <w:kern w:val="2"/>
          <w:sz w:val="21"/>
          <w:szCs w:val="22"/>
          <w:highlight w:val="none"/>
        </w:rPr>
      </w:pPr>
      <w:r>
        <w:rPr>
          <w:highlight w:val="none"/>
        </w:rPr>
        <w:fldChar w:fldCharType="begin"/>
      </w:r>
      <w:r>
        <w:rPr>
          <w:highlight w:val="none"/>
        </w:rPr>
        <w:instrText xml:space="preserve"> HYPERLINK \l "_Toc12610131" </w:instrText>
      </w:r>
      <w:r>
        <w:rPr>
          <w:highlight w:val="none"/>
        </w:rPr>
        <w:fldChar w:fldCharType="separate"/>
      </w:r>
      <w:r>
        <w:rPr>
          <w:rStyle w:val="52"/>
          <w:rFonts w:hint="eastAsia"/>
          <w:highlight w:val="none"/>
        </w:rPr>
        <w:t>第二章</w:t>
      </w:r>
      <w:r>
        <w:rPr>
          <w:rStyle w:val="52"/>
          <w:highlight w:val="none"/>
        </w:rPr>
        <w:t xml:space="preserve"> </w:t>
      </w:r>
      <w:r>
        <w:rPr>
          <w:rStyle w:val="52"/>
          <w:rFonts w:hint="eastAsia"/>
          <w:highlight w:val="none"/>
        </w:rPr>
        <w:t>招标文件</w:t>
      </w:r>
      <w:r>
        <w:rPr>
          <w:highlight w:val="none"/>
        </w:rPr>
        <w:tab/>
      </w:r>
      <w:r>
        <w:rPr>
          <w:highlight w:val="none"/>
        </w:rPr>
        <w:fldChar w:fldCharType="begin"/>
      </w:r>
      <w:r>
        <w:rPr>
          <w:highlight w:val="none"/>
        </w:rPr>
        <w:instrText xml:space="preserve"> PAGEREF _Toc12610131 \h </w:instrText>
      </w:r>
      <w:r>
        <w:rPr>
          <w:highlight w:val="none"/>
        </w:rPr>
        <w:fldChar w:fldCharType="separate"/>
      </w:r>
      <w:r>
        <w:rPr>
          <w:highlight w:val="none"/>
        </w:rPr>
        <w:t>65</w:t>
      </w:r>
      <w:r>
        <w:rPr>
          <w:highlight w:val="none"/>
        </w:rPr>
        <w:fldChar w:fldCharType="end"/>
      </w:r>
      <w:r>
        <w:rPr>
          <w:highlight w:val="none"/>
        </w:rPr>
        <w:fldChar w:fldCharType="end"/>
      </w:r>
    </w:p>
    <w:p>
      <w:pPr>
        <w:pStyle w:val="36"/>
        <w:ind w:left="105"/>
        <w:rPr>
          <w:rFonts w:asciiTheme="minorHAnsi" w:hAnsiTheme="minorHAnsi" w:eastAsiaTheme="minorEastAsia" w:cstheme="minorBidi"/>
          <w:smallCaps w:val="0"/>
          <w:kern w:val="2"/>
          <w:sz w:val="21"/>
          <w:szCs w:val="22"/>
          <w:highlight w:val="none"/>
        </w:rPr>
      </w:pPr>
      <w:r>
        <w:rPr>
          <w:highlight w:val="none"/>
        </w:rPr>
        <w:fldChar w:fldCharType="begin"/>
      </w:r>
      <w:r>
        <w:rPr>
          <w:highlight w:val="none"/>
        </w:rPr>
        <w:instrText xml:space="preserve"> HYPERLINK \l "_Toc12610132" </w:instrText>
      </w:r>
      <w:r>
        <w:rPr>
          <w:highlight w:val="none"/>
        </w:rPr>
        <w:fldChar w:fldCharType="separate"/>
      </w:r>
      <w:r>
        <w:rPr>
          <w:rStyle w:val="52"/>
          <w:rFonts w:hint="eastAsia"/>
          <w:highlight w:val="none"/>
        </w:rPr>
        <w:t>第三章</w:t>
      </w:r>
      <w:r>
        <w:rPr>
          <w:rStyle w:val="52"/>
          <w:highlight w:val="none"/>
        </w:rPr>
        <w:t xml:space="preserve"> </w:t>
      </w:r>
      <w:r>
        <w:rPr>
          <w:rStyle w:val="52"/>
          <w:rFonts w:hint="eastAsia"/>
          <w:highlight w:val="none"/>
        </w:rPr>
        <w:t>投标文件的编制与递交</w:t>
      </w:r>
      <w:r>
        <w:rPr>
          <w:highlight w:val="none"/>
        </w:rPr>
        <w:tab/>
      </w:r>
      <w:r>
        <w:rPr>
          <w:highlight w:val="none"/>
        </w:rPr>
        <w:fldChar w:fldCharType="begin"/>
      </w:r>
      <w:r>
        <w:rPr>
          <w:highlight w:val="none"/>
        </w:rPr>
        <w:instrText xml:space="preserve"> PAGEREF _Toc12610132 \h </w:instrText>
      </w:r>
      <w:r>
        <w:rPr>
          <w:highlight w:val="none"/>
        </w:rPr>
        <w:fldChar w:fldCharType="separate"/>
      </w:r>
      <w:r>
        <w:rPr>
          <w:highlight w:val="none"/>
        </w:rPr>
        <w:t>67</w:t>
      </w:r>
      <w:r>
        <w:rPr>
          <w:highlight w:val="none"/>
        </w:rPr>
        <w:fldChar w:fldCharType="end"/>
      </w:r>
      <w:r>
        <w:rPr>
          <w:highlight w:val="none"/>
        </w:rPr>
        <w:fldChar w:fldCharType="end"/>
      </w:r>
    </w:p>
    <w:p>
      <w:pPr>
        <w:pStyle w:val="36"/>
        <w:ind w:left="105"/>
        <w:rPr>
          <w:rFonts w:asciiTheme="minorHAnsi" w:hAnsiTheme="minorHAnsi" w:eastAsiaTheme="minorEastAsia" w:cstheme="minorBidi"/>
          <w:smallCaps w:val="0"/>
          <w:kern w:val="2"/>
          <w:sz w:val="21"/>
          <w:szCs w:val="22"/>
          <w:highlight w:val="none"/>
        </w:rPr>
      </w:pPr>
      <w:r>
        <w:rPr>
          <w:highlight w:val="none"/>
        </w:rPr>
        <w:fldChar w:fldCharType="begin"/>
      </w:r>
      <w:r>
        <w:rPr>
          <w:highlight w:val="none"/>
        </w:rPr>
        <w:instrText xml:space="preserve"> HYPERLINK \l "_Toc12610133" </w:instrText>
      </w:r>
      <w:r>
        <w:rPr>
          <w:highlight w:val="none"/>
        </w:rPr>
        <w:fldChar w:fldCharType="separate"/>
      </w:r>
      <w:r>
        <w:rPr>
          <w:rStyle w:val="52"/>
          <w:rFonts w:hint="eastAsia"/>
          <w:highlight w:val="none"/>
        </w:rPr>
        <w:t>第四章</w:t>
      </w:r>
      <w:r>
        <w:rPr>
          <w:rStyle w:val="52"/>
          <w:highlight w:val="none"/>
        </w:rPr>
        <w:t xml:space="preserve"> </w:t>
      </w:r>
      <w:r>
        <w:rPr>
          <w:rStyle w:val="52"/>
          <w:rFonts w:hint="eastAsia"/>
          <w:highlight w:val="none"/>
        </w:rPr>
        <w:t>开标</w:t>
      </w:r>
      <w:r>
        <w:rPr>
          <w:highlight w:val="none"/>
        </w:rPr>
        <w:tab/>
      </w:r>
      <w:r>
        <w:rPr>
          <w:highlight w:val="none"/>
        </w:rPr>
        <w:fldChar w:fldCharType="begin"/>
      </w:r>
      <w:r>
        <w:rPr>
          <w:highlight w:val="none"/>
        </w:rPr>
        <w:instrText xml:space="preserve"> PAGEREF _Toc12610133 \h </w:instrText>
      </w:r>
      <w:r>
        <w:rPr>
          <w:highlight w:val="none"/>
        </w:rPr>
        <w:fldChar w:fldCharType="separate"/>
      </w:r>
      <w:r>
        <w:rPr>
          <w:highlight w:val="none"/>
        </w:rPr>
        <w:t>71</w:t>
      </w:r>
      <w:r>
        <w:rPr>
          <w:highlight w:val="none"/>
        </w:rPr>
        <w:fldChar w:fldCharType="end"/>
      </w:r>
      <w:r>
        <w:rPr>
          <w:highlight w:val="none"/>
        </w:rPr>
        <w:fldChar w:fldCharType="end"/>
      </w:r>
    </w:p>
    <w:p>
      <w:pPr>
        <w:pStyle w:val="36"/>
        <w:ind w:left="105"/>
        <w:rPr>
          <w:rFonts w:asciiTheme="minorHAnsi" w:hAnsiTheme="minorHAnsi" w:eastAsiaTheme="minorEastAsia" w:cstheme="minorBidi"/>
          <w:smallCaps w:val="0"/>
          <w:kern w:val="2"/>
          <w:sz w:val="21"/>
          <w:szCs w:val="22"/>
          <w:highlight w:val="none"/>
        </w:rPr>
      </w:pPr>
      <w:r>
        <w:rPr>
          <w:highlight w:val="none"/>
        </w:rPr>
        <w:fldChar w:fldCharType="begin"/>
      </w:r>
      <w:r>
        <w:rPr>
          <w:highlight w:val="none"/>
        </w:rPr>
        <w:instrText xml:space="preserve"> HYPERLINK \l "_Toc12610134" </w:instrText>
      </w:r>
      <w:r>
        <w:rPr>
          <w:highlight w:val="none"/>
        </w:rPr>
        <w:fldChar w:fldCharType="separate"/>
      </w:r>
      <w:r>
        <w:rPr>
          <w:rStyle w:val="52"/>
          <w:rFonts w:hint="eastAsia"/>
          <w:highlight w:val="none"/>
        </w:rPr>
        <w:t>第五章</w:t>
      </w:r>
      <w:r>
        <w:rPr>
          <w:rStyle w:val="52"/>
          <w:highlight w:val="none"/>
        </w:rPr>
        <w:t xml:space="preserve"> </w:t>
      </w:r>
      <w:r>
        <w:rPr>
          <w:rStyle w:val="52"/>
          <w:rFonts w:hint="eastAsia"/>
          <w:highlight w:val="none"/>
        </w:rPr>
        <w:t>评标要求</w:t>
      </w:r>
      <w:r>
        <w:rPr>
          <w:highlight w:val="none"/>
        </w:rPr>
        <w:tab/>
      </w:r>
      <w:r>
        <w:rPr>
          <w:highlight w:val="none"/>
        </w:rPr>
        <w:fldChar w:fldCharType="begin"/>
      </w:r>
      <w:r>
        <w:rPr>
          <w:highlight w:val="none"/>
        </w:rPr>
        <w:instrText xml:space="preserve"> PAGEREF _Toc12610134 \h </w:instrText>
      </w:r>
      <w:r>
        <w:rPr>
          <w:highlight w:val="none"/>
        </w:rPr>
        <w:fldChar w:fldCharType="separate"/>
      </w:r>
      <w:r>
        <w:rPr>
          <w:highlight w:val="none"/>
        </w:rPr>
        <w:t>72</w:t>
      </w:r>
      <w:r>
        <w:rPr>
          <w:highlight w:val="none"/>
        </w:rPr>
        <w:fldChar w:fldCharType="end"/>
      </w:r>
      <w:r>
        <w:rPr>
          <w:highlight w:val="none"/>
        </w:rPr>
        <w:fldChar w:fldCharType="end"/>
      </w:r>
    </w:p>
    <w:p>
      <w:pPr>
        <w:pStyle w:val="36"/>
        <w:ind w:left="105"/>
        <w:rPr>
          <w:rFonts w:asciiTheme="minorHAnsi" w:hAnsiTheme="minorHAnsi" w:eastAsiaTheme="minorEastAsia" w:cstheme="minorBidi"/>
          <w:smallCaps w:val="0"/>
          <w:kern w:val="2"/>
          <w:sz w:val="21"/>
          <w:szCs w:val="22"/>
          <w:highlight w:val="none"/>
        </w:rPr>
      </w:pPr>
      <w:r>
        <w:rPr>
          <w:highlight w:val="none"/>
        </w:rPr>
        <w:fldChar w:fldCharType="begin"/>
      </w:r>
      <w:r>
        <w:rPr>
          <w:highlight w:val="none"/>
        </w:rPr>
        <w:instrText xml:space="preserve"> HYPERLINK \l "_Toc12610135" </w:instrText>
      </w:r>
      <w:r>
        <w:rPr>
          <w:highlight w:val="none"/>
        </w:rPr>
        <w:fldChar w:fldCharType="separate"/>
      </w:r>
      <w:r>
        <w:rPr>
          <w:rStyle w:val="52"/>
          <w:rFonts w:hint="eastAsia"/>
          <w:highlight w:val="none"/>
        </w:rPr>
        <w:t>第六章</w:t>
      </w:r>
      <w:r>
        <w:rPr>
          <w:rStyle w:val="52"/>
          <w:highlight w:val="none"/>
        </w:rPr>
        <w:t xml:space="preserve"> </w:t>
      </w:r>
      <w:r>
        <w:rPr>
          <w:rStyle w:val="52"/>
          <w:rFonts w:hint="eastAsia"/>
          <w:highlight w:val="none"/>
        </w:rPr>
        <w:t>评标程序及评标方法</w:t>
      </w:r>
      <w:r>
        <w:rPr>
          <w:highlight w:val="none"/>
        </w:rPr>
        <w:tab/>
      </w:r>
      <w:r>
        <w:rPr>
          <w:highlight w:val="none"/>
        </w:rPr>
        <w:fldChar w:fldCharType="begin"/>
      </w:r>
      <w:r>
        <w:rPr>
          <w:highlight w:val="none"/>
        </w:rPr>
        <w:instrText xml:space="preserve"> PAGEREF _Toc12610135 \h </w:instrText>
      </w:r>
      <w:r>
        <w:rPr>
          <w:highlight w:val="none"/>
        </w:rPr>
        <w:fldChar w:fldCharType="separate"/>
      </w:r>
      <w:r>
        <w:rPr>
          <w:highlight w:val="none"/>
        </w:rPr>
        <w:t>72</w:t>
      </w:r>
      <w:r>
        <w:rPr>
          <w:highlight w:val="none"/>
        </w:rPr>
        <w:fldChar w:fldCharType="end"/>
      </w:r>
      <w:r>
        <w:rPr>
          <w:highlight w:val="none"/>
        </w:rPr>
        <w:fldChar w:fldCharType="end"/>
      </w:r>
    </w:p>
    <w:p>
      <w:pPr>
        <w:pStyle w:val="36"/>
        <w:ind w:left="105"/>
        <w:rPr>
          <w:rFonts w:asciiTheme="minorHAnsi" w:hAnsiTheme="minorHAnsi" w:eastAsiaTheme="minorEastAsia" w:cstheme="minorBidi"/>
          <w:smallCaps w:val="0"/>
          <w:kern w:val="2"/>
          <w:sz w:val="21"/>
          <w:szCs w:val="22"/>
          <w:highlight w:val="none"/>
        </w:rPr>
      </w:pPr>
      <w:r>
        <w:rPr>
          <w:highlight w:val="none"/>
        </w:rPr>
        <w:fldChar w:fldCharType="begin"/>
      </w:r>
      <w:r>
        <w:rPr>
          <w:highlight w:val="none"/>
        </w:rPr>
        <w:instrText xml:space="preserve"> HYPERLINK \l "_Toc12610136" </w:instrText>
      </w:r>
      <w:r>
        <w:rPr>
          <w:highlight w:val="none"/>
        </w:rPr>
        <w:fldChar w:fldCharType="separate"/>
      </w:r>
      <w:r>
        <w:rPr>
          <w:rStyle w:val="52"/>
          <w:rFonts w:hint="eastAsia"/>
          <w:highlight w:val="none"/>
        </w:rPr>
        <w:t>第七章</w:t>
      </w:r>
      <w:r>
        <w:rPr>
          <w:rStyle w:val="52"/>
          <w:highlight w:val="none"/>
        </w:rPr>
        <w:t xml:space="preserve"> </w:t>
      </w:r>
      <w:r>
        <w:rPr>
          <w:rStyle w:val="52"/>
          <w:rFonts w:hint="eastAsia"/>
          <w:highlight w:val="none"/>
        </w:rPr>
        <w:t>定标及公示</w:t>
      </w:r>
      <w:r>
        <w:rPr>
          <w:highlight w:val="none"/>
        </w:rPr>
        <w:tab/>
      </w:r>
      <w:r>
        <w:rPr>
          <w:highlight w:val="none"/>
        </w:rPr>
        <w:fldChar w:fldCharType="begin"/>
      </w:r>
      <w:r>
        <w:rPr>
          <w:highlight w:val="none"/>
        </w:rPr>
        <w:instrText xml:space="preserve"> PAGEREF _Toc12610136 \h </w:instrText>
      </w:r>
      <w:r>
        <w:rPr>
          <w:highlight w:val="none"/>
        </w:rPr>
        <w:fldChar w:fldCharType="separate"/>
      </w:r>
      <w:r>
        <w:rPr>
          <w:highlight w:val="none"/>
        </w:rPr>
        <w:t>76</w:t>
      </w:r>
      <w:r>
        <w:rPr>
          <w:highlight w:val="none"/>
        </w:rPr>
        <w:fldChar w:fldCharType="end"/>
      </w:r>
      <w:r>
        <w:rPr>
          <w:highlight w:val="none"/>
        </w:rPr>
        <w:fldChar w:fldCharType="end"/>
      </w:r>
    </w:p>
    <w:p>
      <w:pPr>
        <w:pStyle w:val="36"/>
        <w:ind w:left="105"/>
        <w:rPr>
          <w:rFonts w:asciiTheme="minorHAnsi" w:hAnsiTheme="minorHAnsi" w:eastAsiaTheme="minorEastAsia" w:cstheme="minorBidi"/>
          <w:smallCaps w:val="0"/>
          <w:kern w:val="2"/>
          <w:sz w:val="21"/>
          <w:szCs w:val="22"/>
          <w:highlight w:val="none"/>
        </w:rPr>
      </w:pPr>
      <w:r>
        <w:rPr>
          <w:highlight w:val="none"/>
        </w:rPr>
        <w:fldChar w:fldCharType="begin"/>
      </w:r>
      <w:r>
        <w:rPr>
          <w:highlight w:val="none"/>
        </w:rPr>
        <w:instrText xml:space="preserve"> HYPERLINK \l "_Toc12610137" </w:instrText>
      </w:r>
      <w:r>
        <w:rPr>
          <w:highlight w:val="none"/>
        </w:rPr>
        <w:fldChar w:fldCharType="separate"/>
      </w:r>
      <w:r>
        <w:rPr>
          <w:rStyle w:val="52"/>
          <w:rFonts w:hint="eastAsia"/>
          <w:highlight w:val="none"/>
        </w:rPr>
        <w:t>第八章</w:t>
      </w:r>
      <w:r>
        <w:rPr>
          <w:rStyle w:val="52"/>
          <w:highlight w:val="none"/>
        </w:rPr>
        <w:t xml:space="preserve"> </w:t>
      </w:r>
      <w:r>
        <w:rPr>
          <w:rStyle w:val="52"/>
          <w:rFonts w:hint="eastAsia"/>
          <w:highlight w:val="none"/>
        </w:rPr>
        <w:t>公开招标失败的后续处理</w:t>
      </w:r>
      <w:r>
        <w:rPr>
          <w:highlight w:val="none"/>
        </w:rPr>
        <w:tab/>
      </w:r>
      <w:r>
        <w:rPr>
          <w:highlight w:val="none"/>
        </w:rPr>
        <w:fldChar w:fldCharType="begin"/>
      </w:r>
      <w:r>
        <w:rPr>
          <w:highlight w:val="none"/>
        </w:rPr>
        <w:instrText xml:space="preserve"> PAGEREF _Toc12610137 \h </w:instrText>
      </w:r>
      <w:r>
        <w:rPr>
          <w:highlight w:val="none"/>
        </w:rPr>
        <w:fldChar w:fldCharType="separate"/>
      </w:r>
      <w:r>
        <w:rPr>
          <w:highlight w:val="none"/>
        </w:rPr>
        <w:t>77</w:t>
      </w:r>
      <w:r>
        <w:rPr>
          <w:highlight w:val="none"/>
        </w:rPr>
        <w:fldChar w:fldCharType="end"/>
      </w:r>
      <w:r>
        <w:rPr>
          <w:highlight w:val="none"/>
        </w:rPr>
        <w:fldChar w:fldCharType="end"/>
      </w:r>
    </w:p>
    <w:p>
      <w:pPr>
        <w:pStyle w:val="36"/>
        <w:ind w:left="105"/>
        <w:rPr>
          <w:rFonts w:asciiTheme="minorHAnsi" w:hAnsiTheme="minorHAnsi" w:eastAsiaTheme="minorEastAsia" w:cstheme="minorBidi"/>
          <w:smallCaps w:val="0"/>
          <w:kern w:val="2"/>
          <w:sz w:val="21"/>
          <w:szCs w:val="22"/>
          <w:highlight w:val="none"/>
        </w:rPr>
      </w:pPr>
      <w:r>
        <w:rPr>
          <w:highlight w:val="none"/>
        </w:rPr>
        <w:fldChar w:fldCharType="begin"/>
      </w:r>
      <w:r>
        <w:rPr>
          <w:highlight w:val="none"/>
        </w:rPr>
        <w:instrText xml:space="preserve"> HYPERLINK \l "_Toc12610138" </w:instrText>
      </w:r>
      <w:r>
        <w:rPr>
          <w:highlight w:val="none"/>
        </w:rPr>
        <w:fldChar w:fldCharType="separate"/>
      </w:r>
      <w:r>
        <w:rPr>
          <w:rStyle w:val="52"/>
          <w:rFonts w:hint="eastAsia"/>
          <w:highlight w:val="none"/>
        </w:rPr>
        <w:t>第九章</w:t>
      </w:r>
      <w:r>
        <w:rPr>
          <w:rStyle w:val="52"/>
          <w:highlight w:val="none"/>
        </w:rPr>
        <w:t xml:space="preserve"> </w:t>
      </w:r>
      <w:r>
        <w:rPr>
          <w:rStyle w:val="52"/>
          <w:rFonts w:hint="eastAsia"/>
          <w:highlight w:val="none"/>
        </w:rPr>
        <w:t>合同的授予与备案</w:t>
      </w:r>
      <w:r>
        <w:rPr>
          <w:highlight w:val="none"/>
        </w:rPr>
        <w:tab/>
      </w:r>
      <w:r>
        <w:rPr>
          <w:highlight w:val="none"/>
        </w:rPr>
        <w:fldChar w:fldCharType="begin"/>
      </w:r>
      <w:r>
        <w:rPr>
          <w:highlight w:val="none"/>
        </w:rPr>
        <w:instrText xml:space="preserve"> PAGEREF _Toc12610138 \h </w:instrText>
      </w:r>
      <w:r>
        <w:rPr>
          <w:highlight w:val="none"/>
        </w:rPr>
        <w:fldChar w:fldCharType="separate"/>
      </w:r>
      <w:r>
        <w:rPr>
          <w:highlight w:val="none"/>
        </w:rPr>
        <w:t>80</w:t>
      </w:r>
      <w:r>
        <w:rPr>
          <w:highlight w:val="none"/>
        </w:rPr>
        <w:fldChar w:fldCharType="end"/>
      </w:r>
      <w:r>
        <w:rPr>
          <w:highlight w:val="none"/>
        </w:rPr>
        <w:fldChar w:fldCharType="end"/>
      </w:r>
    </w:p>
    <w:p>
      <w:pPr>
        <w:pStyle w:val="36"/>
        <w:ind w:left="105"/>
        <w:rPr>
          <w:rFonts w:asciiTheme="minorHAnsi" w:hAnsiTheme="minorHAnsi" w:eastAsiaTheme="minorEastAsia" w:cstheme="minorBidi"/>
          <w:smallCaps w:val="0"/>
          <w:kern w:val="2"/>
          <w:sz w:val="21"/>
          <w:szCs w:val="22"/>
          <w:highlight w:val="none"/>
        </w:rPr>
      </w:pPr>
      <w:r>
        <w:rPr>
          <w:highlight w:val="none"/>
        </w:rPr>
        <w:fldChar w:fldCharType="begin"/>
      </w:r>
      <w:r>
        <w:rPr>
          <w:highlight w:val="none"/>
        </w:rPr>
        <w:instrText xml:space="preserve"> HYPERLINK \l "_Toc12610139" </w:instrText>
      </w:r>
      <w:r>
        <w:rPr>
          <w:highlight w:val="none"/>
        </w:rPr>
        <w:fldChar w:fldCharType="separate"/>
      </w:r>
      <w:r>
        <w:rPr>
          <w:rStyle w:val="52"/>
          <w:rFonts w:hint="eastAsia"/>
          <w:highlight w:val="none"/>
        </w:rPr>
        <w:t>第十章</w:t>
      </w:r>
      <w:r>
        <w:rPr>
          <w:rStyle w:val="52"/>
          <w:highlight w:val="none"/>
        </w:rPr>
        <w:t xml:space="preserve"> </w:t>
      </w:r>
      <w:r>
        <w:rPr>
          <w:rStyle w:val="52"/>
          <w:rFonts w:hint="eastAsia"/>
          <w:highlight w:val="none"/>
        </w:rPr>
        <w:t>质疑受理</w:t>
      </w:r>
      <w:r>
        <w:rPr>
          <w:highlight w:val="none"/>
        </w:rPr>
        <w:tab/>
      </w:r>
      <w:r>
        <w:rPr>
          <w:highlight w:val="none"/>
        </w:rPr>
        <w:fldChar w:fldCharType="begin"/>
      </w:r>
      <w:r>
        <w:rPr>
          <w:highlight w:val="none"/>
        </w:rPr>
        <w:instrText xml:space="preserve"> PAGEREF _Toc12610139 \h </w:instrText>
      </w:r>
      <w:r>
        <w:rPr>
          <w:highlight w:val="none"/>
        </w:rPr>
        <w:fldChar w:fldCharType="separate"/>
      </w:r>
      <w:r>
        <w:rPr>
          <w:highlight w:val="none"/>
        </w:rPr>
        <w:t>80</w:t>
      </w:r>
      <w:r>
        <w:rPr>
          <w:highlight w:val="none"/>
        </w:rPr>
        <w:fldChar w:fldCharType="end"/>
      </w:r>
      <w:r>
        <w:rPr>
          <w:highlight w:val="none"/>
        </w:rPr>
        <w:fldChar w:fldCharType="end"/>
      </w:r>
    </w:p>
    <w:p>
      <w:pPr>
        <w:pStyle w:val="31"/>
        <w:rPr>
          <w:rFonts w:asciiTheme="minorHAnsi" w:hAnsiTheme="minorHAnsi" w:eastAsiaTheme="minorEastAsia" w:cstheme="minorBidi"/>
          <w:b w:val="0"/>
          <w:bCs w:val="0"/>
          <w:caps w:val="0"/>
          <w:kern w:val="2"/>
          <w:sz w:val="21"/>
          <w:szCs w:val="22"/>
          <w:highlight w:val="none"/>
        </w:rPr>
      </w:pPr>
      <w:r>
        <w:rPr>
          <w:highlight w:val="none"/>
        </w:rPr>
        <w:fldChar w:fldCharType="begin"/>
      </w:r>
      <w:r>
        <w:rPr>
          <w:highlight w:val="none"/>
        </w:rPr>
        <w:instrText xml:space="preserve"> HYPERLINK \l "_Toc12610140" </w:instrText>
      </w:r>
      <w:r>
        <w:rPr>
          <w:highlight w:val="none"/>
        </w:rPr>
        <w:fldChar w:fldCharType="separate"/>
      </w:r>
      <w:r>
        <w:rPr>
          <w:rStyle w:val="52"/>
          <w:rFonts w:hint="eastAsia"/>
          <w:highlight w:val="none"/>
        </w:rPr>
        <w:t>招标代理服务取费说明</w:t>
      </w:r>
      <w:r>
        <w:rPr>
          <w:highlight w:val="none"/>
        </w:rPr>
        <w:tab/>
      </w:r>
      <w:r>
        <w:rPr>
          <w:highlight w:val="none"/>
        </w:rPr>
        <w:fldChar w:fldCharType="begin"/>
      </w:r>
      <w:r>
        <w:rPr>
          <w:highlight w:val="none"/>
        </w:rPr>
        <w:instrText xml:space="preserve"> PAGEREF _Toc12610140 \h </w:instrText>
      </w:r>
      <w:r>
        <w:rPr>
          <w:highlight w:val="none"/>
        </w:rPr>
        <w:fldChar w:fldCharType="separate"/>
      </w:r>
      <w:r>
        <w:rPr>
          <w:highlight w:val="none"/>
        </w:rPr>
        <w:t>82</w:t>
      </w:r>
      <w:r>
        <w:rPr>
          <w:highlight w:val="none"/>
        </w:rPr>
        <w:fldChar w:fldCharType="end"/>
      </w:r>
      <w:r>
        <w:rPr>
          <w:highlight w:val="none"/>
        </w:rPr>
        <w:fldChar w:fldCharType="end"/>
      </w:r>
    </w:p>
    <w:p>
      <w:pPr>
        <w:tabs>
          <w:tab w:val="right" w:leader="dot" w:pos="8820"/>
          <w:tab w:val="right" w:leader="dot" w:pos="9240"/>
          <w:tab w:val="clear" w:pos="426"/>
        </w:tabs>
        <w:rPr>
          <w:highlight w:val="none"/>
        </w:rPr>
      </w:pPr>
      <w:r>
        <w:rPr>
          <w:smallCaps/>
          <w:sz w:val="28"/>
          <w:highlight w:val="none"/>
        </w:rPr>
        <w:fldChar w:fldCharType="end"/>
      </w:r>
    </w:p>
    <w:p>
      <w:pPr>
        <w:tabs>
          <w:tab w:val="clear" w:pos="426"/>
        </w:tabs>
        <w:rPr>
          <w:highlight w:val="none"/>
        </w:rPr>
        <w:sectPr>
          <w:footerReference r:id="rId3" w:type="even"/>
          <w:pgSz w:w="11906" w:h="16838"/>
          <w:pgMar w:top="1134" w:right="1700" w:bottom="1134" w:left="1418" w:header="851" w:footer="992" w:gutter="0"/>
          <w:pgNumType w:start="0"/>
          <w:cols w:space="425" w:num="1"/>
          <w:titlePg/>
          <w:docGrid w:linePitch="462" w:charSpace="0"/>
        </w:sectPr>
      </w:pPr>
    </w:p>
    <w:p>
      <w:pPr>
        <w:pStyle w:val="33"/>
        <w:tabs>
          <w:tab w:val="clear" w:pos="426"/>
        </w:tabs>
        <w:rPr>
          <w:sz w:val="30"/>
          <w:szCs w:val="30"/>
          <w:highlight w:val="none"/>
        </w:rPr>
      </w:pPr>
      <w:bookmarkStart w:id="0" w:name="_Toc12610116"/>
      <w:bookmarkStart w:id="1" w:name="_Toc432592808"/>
      <w:r>
        <w:rPr>
          <w:rFonts w:hint="eastAsia"/>
          <w:sz w:val="30"/>
          <w:szCs w:val="30"/>
          <w:highlight w:val="none"/>
        </w:rPr>
        <w:t>警示条款</w:t>
      </w:r>
      <w:bookmarkEnd w:id="0"/>
    </w:p>
    <w:p>
      <w:pPr>
        <w:ind w:firstLine="560" w:firstLineChars="200"/>
        <w:rPr>
          <w:sz w:val="28"/>
          <w:szCs w:val="28"/>
          <w:highlight w:val="none"/>
        </w:rPr>
      </w:pPr>
      <w:r>
        <w:rPr>
          <w:rFonts w:hint="eastAsia"/>
          <w:sz w:val="28"/>
          <w:szCs w:val="28"/>
          <w:highlight w:val="none"/>
        </w:rPr>
        <w:t>《深圳经济特区政府采购条例》第五十七条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涉嫌犯罪的，依法移送司法机关处理：</w:t>
      </w:r>
    </w:p>
    <w:p>
      <w:pPr>
        <w:tabs>
          <w:tab w:val="clear" w:pos="426"/>
        </w:tabs>
        <w:ind w:firstLine="425" w:firstLineChars="152"/>
        <w:rPr>
          <w:sz w:val="28"/>
          <w:szCs w:val="28"/>
          <w:highlight w:val="none"/>
        </w:rPr>
      </w:pPr>
      <w:r>
        <w:rPr>
          <w:rFonts w:hint="eastAsia"/>
          <w:sz w:val="28"/>
          <w:szCs w:val="28"/>
          <w:highlight w:val="none"/>
        </w:rPr>
        <w:t>（一）在采购活动中应当回避而未回避的；</w:t>
      </w:r>
    </w:p>
    <w:p>
      <w:pPr>
        <w:tabs>
          <w:tab w:val="clear" w:pos="426"/>
        </w:tabs>
        <w:ind w:firstLine="425" w:firstLineChars="152"/>
        <w:rPr>
          <w:sz w:val="28"/>
          <w:szCs w:val="28"/>
          <w:highlight w:val="none"/>
        </w:rPr>
      </w:pPr>
      <w:r>
        <w:rPr>
          <w:rFonts w:hint="eastAsia"/>
          <w:sz w:val="28"/>
          <w:szCs w:val="28"/>
          <w:highlight w:val="none"/>
        </w:rPr>
        <w:t>（二）未按本条例规定签订、履行采购合同，造成严重后果的；</w:t>
      </w:r>
    </w:p>
    <w:p>
      <w:pPr>
        <w:tabs>
          <w:tab w:val="clear" w:pos="426"/>
        </w:tabs>
        <w:ind w:firstLine="425" w:firstLineChars="152"/>
        <w:rPr>
          <w:sz w:val="28"/>
          <w:szCs w:val="28"/>
          <w:highlight w:val="none"/>
        </w:rPr>
      </w:pPr>
      <w:r>
        <w:rPr>
          <w:rFonts w:hint="eastAsia"/>
          <w:sz w:val="28"/>
          <w:szCs w:val="28"/>
          <w:highlight w:val="none"/>
        </w:rPr>
        <w:t>（三）隐瞒真实情况，提供虚假资料的；</w:t>
      </w:r>
    </w:p>
    <w:p>
      <w:pPr>
        <w:tabs>
          <w:tab w:val="clear" w:pos="426"/>
        </w:tabs>
        <w:ind w:firstLine="425" w:firstLineChars="152"/>
        <w:rPr>
          <w:sz w:val="28"/>
          <w:szCs w:val="28"/>
          <w:highlight w:val="none"/>
        </w:rPr>
      </w:pPr>
      <w:r>
        <w:rPr>
          <w:rFonts w:hint="eastAsia"/>
          <w:sz w:val="28"/>
          <w:szCs w:val="28"/>
          <w:highlight w:val="none"/>
        </w:rPr>
        <w:t>（四）以非法手段排斥其他供应商参与竞争的；</w:t>
      </w:r>
    </w:p>
    <w:p>
      <w:pPr>
        <w:tabs>
          <w:tab w:val="clear" w:pos="426"/>
        </w:tabs>
        <w:ind w:firstLine="425" w:firstLineChars="152"/>
        <w:rPr>
          <w:sz w:val="28"/>
          <w:szCs w:val="28"/>
          <w:highlight w:val="none"/>
        </w:rPr>
      </w:pPr>
      <w:r>
        <w:rPr>
          <w:rFonts w:hint="eastAsia"/>
          <w:sz w:val="28"/>
          <w:szCs w:val="28"/>
          <w:highlight w:val="none"/>
        </w:rPr>
        <w:t>（五）与其他采购参加人串通投标的；</w:t>
      </w:r>
    </w:p>
    <w:p>
      <w:pPr>
        <w:tabs>
          <w:tab w:val="clear" w:pos="426"/>
        </w:tabs>
        <w:ind w:firstLine="425" w:firstLineChars="152"/>
        <w:rPr>
          <w:sz w:val="28"/>
          <w:szCs w:val="28"/>
          <w:highlight w:val="none"/>
        </w:rPr>
      </w:pPr>
      <w:r>
        <w:rPr>
          <w:rFonts w:hint="eastAsia"/>
          <w:sz w:val="28"/>
          <w:szCs w:val="28"/>
          <w:highlight w:val="none"/>
        </w:rPr>
        <w:t>（六）恶意投诉的；</w:t>
      </w:r>
    </w:p>
    <w:p>
      <w:pPr>
        <w:tabs>
          <w:tab w:val="clear" w:pos="426"/>
        </w:tabs>
        <w:ind w:firstLine="425" w:firstLineChars="152"/>
        <w:rPr>
          <w:sz w:val="28"/>
          <w:szCs w:val="28"/>
          <w:highlight w:val="none"/>
        </w:rPr>
      </w:pPr>
      <w:r>
        <w:rPr>
          <w:rFonts w:hint="eastAsia"/>
          <w:sz w:val="28"/>
          <w:szCs w:val="28"/>
          <w:highlight w:val="none"/>
        </w:rPr>
        <w:t>（七）向采购项目相关人行贿或者提供其他不当利益的；</w:t>
      </w:r>
    </w:p>
    <w:p>
      <w:pPr>
        <w:tabs>
          <w:tab w:val="clear" w:pos="426"/>
        </w:tabs>
        <w:ind w:firstLine="425" w:firstLineChars="152"/>
        <w:rPr>
          <w:sz w:val="28"/>
          <w:szCs w:val="28"/>
          <w:highlight w:val="none"/>
        </w:rPr>
      </w:pPr>
      <w:r>
        <w:rPr>
          <w:rFonts w:hint="eastAsia"/>
          <w:sz w:val="28"/>
          <w:szCs w:val="28"/>
          <w:highlight w:val="none"/>
        </w:rPr>
        <w:t>（八）阻碍、抗拒主管部门监督检查的；</w:t>
      </w:r>
    </w:p>
    <w:p>
      <w:pPr>
        <w:tabs>
          <w:tab w:val="clear" w:pos="426"/>
        </w:tabs>
        <w:ind w:firstLine="425" w:firstLineChars="152"/>
        <w:rPr>
          <w:sz w:val="28"/>
          <w:szCs w:val="28"/>
          <w:highlight w:val="none"/>
        </w:rPr>
      </w:pPr>
      <w:r>
        <w:rPr>
          <w:rFonts w:hint="eastAsia"/>
          <w:sz w:val="28"/>
          <w:szCs w:val="28"/>
          <w:highlight w:val="none"/>
        </w:rPr>
        <w:t>（九）其他违反本条例规定的行为。</w:t>
      </w:r>
    </w:p>
    <w:p>
      <w:pPr>
        <w:tabs>
          <w:tab w:val="clear" w:pos="426"/>
        </w:tabs>
        <w:ind w:firstLine="425" w:firstLineChars="152"/>
        <w:rPr>
          <w:sz w:val="28"/>
          <w:szCs w:val="28"/>
          <w:highlight w:val="none"/>
        </w:rPr>
      </w:pPr>
    </w:p>
    <w:p>
      <w:pPr>
        <w:tabs>
          <w:tab w:val="clear" w:pos="426"/>
        </w:tabs>
        <w:ind w:firstLine="425" w:firstLineChars="152"/>
        <w:rPr>
          <w:sz w:val="28"/>
          <w:szCs w:val="28"/>
          <w:highlight w:val="none"/>
        </w:rPr>
      </w:pPr>
    </w:p>
    <w:p>
      <w:pPr>
        <w:tabs>
          <w:tab w:val="clear" w:pos="426"/>
        </w:tabs>
        <w:ind w:firstLine="425" w:firstLineChars="152"/>
        <w:rPr>
          <w:sz w:val="28"/>
          <w:szCs w:val="28"/>
          <w:highlight w:val="none"/>
        </w:rPr>
      </w:pPr>
    </w:p>
    <w:p>
      <w:pPr>
        <w:shd w:val="clear" w:color="auto" w:fill="auto"/>
        <w:tabs>
          <w:tab w:val="clear" w:pos="426"/>
        </w:tabs>
        <w:adjustRightInd/>
        <w:snapToGrid/>
        <w:spacing w:line="240" w:lineRule="auto"/>
        <w:jc w:val="left"/>
        <w:rPr>
          <w:rFonts w:ascii="Cambria" w:hAnsi="Cambria" w:cs="Times New Roman"/>
          <w:b/>
          <w:bCs/>
          <w:kern w:val="28"/>
          <w:sz w:val="28"/>
          <w:szCs w:val="32"/>
          <w:highlight w:val="none"/>
        </w:rPr>
      </w:pPr>
      <w:r>
        <w:rPr>
          <w:rFonts w:ascii="Cambria" w:hAnsi="Cambria" w:cs="Times New Roman"/>
          <w:b/>
          <w:bCs/>
          <w:kern w:val="28"/>
          <w:sz w:val="28"/>
          <w:szCs w:val="32"/>
          <w:highlight w:val="none"/>
        </w:rPr>
        <w:br w:type="page"/>
      </w:r>
    </w:p>
    <w:p>
      <w:pPr>
        <w:shd w:val="clear" w:color="auto" w:fill="auto"/>
        <w:tabs>
          <w:tab w:val="clear" w:pos="426"/>
        </w:tabs>
        <w:adjustRightInd/>
        <w:snapToGrid/>
        <w:spacing w:line="240" w:lineRule="auto"/>
        <w:jc w:val="left"/>
        <w:rPr>
          <w:rFonts w:ascii="Cambria" w:hAnsi="Cambria" w:cs="Times New Roman"/>
          <w:b/>
          <w:bCs/>
          <w:kern w:val="28"/>
          <w:sz w:val="28"/>
          <w:szCs w:val="32"/>
          <w:highlight w:val="none"/>
        </w:rPr>
      </w:pPr>
    </w:p>
    <w:p>
      <w:pPr>
        <w:pStyle w:val="33"/>
        <w:tabs>
          <w:tab w:val="clear" w:pos="426"/>
        </w:tabs>
        <w:rPr>
          <w:highlight w:val="none"/>
        </w:rPr>
      </w:pPr>
      <w:bookmarkStart w:id="2" w:name="_Toc12610117"/>
      <w:bookmarkStart w:id="3" w:name="_Hlk4694126"/>
      <w:r>
        <w:rPr>
          <w:rFonts w:hint="eastAsia"/>
          <w:highlight w:val="none"/>
        </w:rPr>
        <w:t>项目关键信息</w:t>
      </w:r>
      <w:bookmarkEnd w:id="1"/>
      <w:bookmarkEnd w:id="2"/>
    </w:p>
    <w:bookmarkEnd w:id="3"/>
    <w:tbl>
      <w:tblPr>
        <w:tblStyle w:val="44"/>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84"/>
        <w:gridCol w:w="62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84" w:type="dxa"/>
            <w:vAlign w:val="center"/>
          </w:tcPr>
          <w:p>
            <w:pPr>
              <w:tabs>
                <w:tab w:val="clear" w:pos="426"/>
              </w:tabs>
              <w:adjustRightInd/>
              <w:snapToGrid/>
              <w:spacing w:line="240" w:lineRule="auto"/>
              <w:rPr>
                <w:szCs w:val="21"/>
                <w:highlight w:val="none"/>
              </w:rPr>
            </w:pPr>
            <w:r>
              <w:rPr>
                <w:rFonts w:hint="eastAsia"/>
                <w:szCs w:val="21"/>
                <w:highlight w:val="none"/>
              </w:rPr>
              <w:t>项目编号</w:t>
            </w:r>
          </w:p>
        </w:tc>
        <w:tc>
          <w:tcPr>
            <w:tcW w:w="6244" w:type="dxa"/>
            <w:vAlign w:val="center"/>
          </w:tcPr>
          <w:p>
            <w:pPr>
              <w:tabs>
                <w:tab w:val="clear" w:pos="426"/>
              </w:tabs>
              <w:adjustRightInd/>
              <w:snapToGrid/>
              <w:spacing w:line="240" w:lineRule="auto"/>
              <w:rPr>
                <w:rFonts w:hint="eastAsia" w:eastAsia="宋体"/>
                <w:szCs w:val="21"/>
                <w:highlight w:val="none"/>
                <w:lang w:eastAsia="zh-CN"/>
              </w:rPr>
            </w:pPr>
            <w:r>
              <w:rPr>
                <w:rFonts w:hint="eastAsia"/>
                <w:szCs w:val="21"/>
                <w:highlight w:val="none"/>
                <w:lang w:eastAsia="zh-CN"/>
              </w:rPr>
              <w:t>SSZX2019-333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84" w:type="dxa"/>
            <w:vAlign w:val="center"/>
          </w:tcPr>
          <w:p>
            <w:pPr>
              <w:tabs>
                <w:tab w:val="clear" w:pos="426"/>
              </w:tabs>
              <w:adjustRightInd/>
              <w:snapToGrid/>
              <w:spacing w:line="240" w:lineRule="auto"/>
              <w:rPr>
                <w:szCs w:val="21"/>
                <w:highlight w:val="none"/>
              </w:rPr>
            </w:pPr>
            <w:r>
              <w:rPr>
                <w:rFonts w:hint="eastAsia"/>
                <w:szCs w:val="21"/>
                <w:highlight w:val="none"/>
              </w:rPr>
              <w:t>项目名称</w:t>
            </w:r>
          </w:p>
        </w:tc>
        <w:tc>
          <w:tcPr>
            <w:tcW w:w="6244" w:type="dxa"/>
            <w:vAlign w:val="center"/>
          </w:tcPr>
          <w:p>
            <w:pPr>
              <w:tabs>
                <w:tab w:val="clear" w:pos="426"/>
              </w:tabs>
              <w:adjustRightInd/>
              <w:snapToGrid/>
              <w:spacing w:line="240" w:lineRule="auto"/>
              <w:rPr>
                <w:rFonts w:hint="eastAsia" w:eastAsia="宋体"/>
                <w:szCs w:val="21"/>
                <w:highlight w:val="none"/>
                <w:lang w:eastAsia="zh-CN"/>
              </w:rPr>
            </w:pPr>
            <w:r>
              <w:rPr>
                <w:rFonts w:hint="eastAsia"/>
                <w:szCs w:val="21"/>
                <w:highlight w:val="none"/>
                <w:lang w:eastAsia="zh-CN"/>
              </w:rPr>
              <w:t>南头街道政务自助服务终端设备采购项目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84" w:type="dxa"/>
            <w:vAlign w:val="center"/>
          </w:tcPr>
          <w:p>
            <w:pPr>
              <w:tabs>
                <w:tab w:val="clear" w:pos="426"/>
              </w:tabs>
              <w:adjustRightInd/>
              <w:snapToGrid/>
              <w:spacing w:line="240" w:lineRule="auto"/>
              <w:rPr>
                <w:szCs w:val="21"/>
                <w:highlight w:val="none"/>
              </w:rPr>
            </w:pPr>
            <w:r>
              <w:rPr>
                <w:szCs w:val="21"/>
                <w:highlight w:val="none"/>
              </w:rPr>
              <w:t>项目类型</w:t>
            </w:r>
          </w:p>
        </w:tc>
        <w:tc>
          <w:tcPr>
            <w:tcW w:w="6244" w:type="dxa"/>
            <w:vAlign w:val="center"/>
          </w:tcPr>
          <w:p>
            <w:pPr>
              <w:tabs>
                <w:tab w:val="clear" w:pos="426"/>
              </w:tabs>
              <w:adjustRightInd/>
              <w:snapToGrid/>
              <w:spacing w:line="240" w:lineRule="auto"/>
              <w:rPr>
                <w:szCs w:val="21"/>
                <w:highlight w:val="none"/>
              </w:rPr>
            </w:pPr>
            <w:r>
              <w:rPr>
                <w:rFonts w:hint="eastAsia"/>
                <w:szCs w:val="21"/>
                <w:highlight w:val="none"/>
              </w:rPr>
              <w:t>货物类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84" w:type="dxa"/>
            <w:vAlign w:val="center"/>
          </w:tcPr>
          <w:p>
            <w:pPr>
              <w:tabs>
                <w:tab w:val="clear" w:pos="426"/>
              </w:tabs>
              <w:adjustRightInd/>
              <w:snapToGrid/>
              <w:spacing w:line="240" w:lineRule="auto"/>
              <w:rPr>
                <w:szCs w:val="21"/>
                <w:highlight w:val="none"/>
              </w:rPr>
            </w:pPr>
            <w:r>
              <w:rPr>
                <w:szCs w:val="21"/>
                <w:highlight w:val="none"/>
              </w:rPr>
              <w:t>采购方式</w:t>
            </w:r>
          </w:p>
        </w:tc>
        <w:tc>
          <w:tcPr>
            <w:tcW w:w="6244" w:type="dxa"/>
            <w:vAlign w:val="center"/>
          </w:tcPr>
          <w:p>
            <w:pPr>
              <w:tabs>
                <w:tab w:val="clear" w:pos="426"/>
              </w:tabs>
              <w:adjustRightInd/>
              <w:snapToGrid/>
              <w:spacing w:line="240" w:lineRule="auto"/>
              <w:rPr>
                <w:szCs w:val="21"/>
                <w:highlight w:val="none"/>
              </w:rPr>
            </w:pPr>
            <w:r>
              <w:rPr>
                <w:rFonts w:hint="eastAsia"/>
                <w:szCs w:val="21"/>
                <w:highlight w:val="none"/>
              </w:rPr>
              <w:t>公开招标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84" w:type="dxa"/>
            <w:vAlign w:val="center"/>
          </w:tcPr>
          <w:p>
            <w:pPr>
              <w:tabs>
                <w:tab w:val="clear" w:pos="426"/>
              </w:tabs>
              <w:adjustRightInd/>
              <w:snapToGrid/>
              <w:spacing w:line="240" w:lineRule="auto"/>
              <w:rPr>
                <w:szCs w:val="21"/>
                <w:highlight w:val="none"/>
              </w:rPr>
            </w:pPr>
            <w:r>
              <w:rPr>
                <w:szCs w:val="21"/>
                <w:highlight w:val="none"/>
              </w:rPr>
              <w:t>货币类型</w:t>
            </w:r>
          </w:p>
        </w:tc>
        <w:tc>
          <w:tcPr>
            <w:tcW w:w="6244" w:type="dxa"/>
            <w:vAlign w:val="center"/>
          </w:tcPr>
          <w:p>
            <w:pPr>
              <w:tabs>
                <w:tab w:val="clear" w:pos="426"/>
              </w:tabs>
              <w:adjustRightInd/>
              <w:snapToGrid/>
              <w:spacing w:line="240" w:lineRule="auto"/>
              <w:rPr>
                <w:szCs w:val="21"/>
                <w:highlight w:val="none"/>
              </w:rPr>
            </w:pPr>
            <w:r>
              <w:rPr>
                <w:szCs w:val="21"/>
                <w:highlight w:val="none"/>
              </w:rPr>
              <w:t>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84" w:type="dxa"/>
            <w:vAlign w:val="center"/>
          </w:tcPr>
          <w:p>
            <w:pPr>
              <w:tabs>
                <w:tab w:val="clear" w:pos="426"/>
              </w:tabs>
              <w:adjustRightInd/>
              <w:snapToGrid/>
              <w:spacing w:line="240" w:lineRule="auto"/>
              <w:rPr>
                <w:szCs w:val="21"/>
                <w:highlight w:val="none"/>
              </w:rPr>
            </w:pPr>
            <w:r>
              <w:rPr>
                <w:rFonts w:hint="eastAsia"/>
                <w:szCs w:val="21"/>
                <w:highlight w:val="none"/>
              </w:rPr>
              <w:t>预算金额</w:t>
            </w:r>
          </w:p>
        </w:tc>
        <w:tc>
          <w:tcPr>
            <w:tcW w:w="6244" w:type="dxa"/>
            <w:vAlign w:val="center"/>
          </w:tcPr>
          <w:p>
            <w:pPr>
              <w:tabs>
                <w:tab w:val="clear" w:pos="426"/>
              </w:tabs>
              <w:adjustRightInd/>
              <w:snapToGrid/>
              <w:spacing w:line="240" w:lineRule="auto"/>
              <w:rPr>
                <w:bCs/>
                <w:szCs w:val="21"/>
                <w:highlight w:val="none"/>
              </w:rPr>
            </w:pPr>
            <w:r>
              <w:rPr>
                <w:rFonts w:hint="eastAsia" w:eastAsia="微软雅黑"/>
                <w:bCs/>
                <w:szCs w:val="21"/>
                <w:highlight w:val="none"/>
              </w:rPr>
              <w:t>¥</w:t>
            </w:r>
            <w:r>
              <w:rPr>
                <w:rFonts w:hint="eastAsia" w:eastAsia="微软雅黑"/>
                <w:bCs/>
                <w:szCs w:val="21"/>
                <w:highlight w:val="none"/>
                <w:lang w:eastAsia="zh-CN"/>
              </w:rPr>
              <w:t>765，000.00</w:t>
            </w:r>
            <w:r>
              <w:rPr>
                <w:rFonts w:hint="eastAsia"/>
                <w:bCs/>
                <w:szCs w:val="21"/>
                <w:highlight w:val="none"/>
              </w:rPr>
              <w:t>元（人民币</w:t>
            </w:r>
            <w:r>
              <w:rPr>
                <w:rFonts w:hint="eastAsia"/>
                <w:bCs/>
                <w:szCs w:val="21"/>
                <w:highlight w:val="none"/>
                <w:lang w:eastAsia="zh-CN"/>
              </w:rPr>
              <w:t>柒拾陆万伍仟元整</w:t>
            </w:r>
            <w:r>
              <w:rPr>
                <w:rFonts w:hint="eastAsia"/>
                <w:bCs/>
                <w:szCs w:val="21"/>
                <w:highlight w:val="none"/>
              </w:rPr>
              <w:t>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2284" w:type="dxa"/>
            <w:vAlign w:val="center"/>
          </w:tcPr>
          <w:p>
            <w:pPr>
              <w:tabs>
                <w:tab w:val="clear" w:pos="426"/>
              </w:tabs>
              <w:adjustRightInd/>
              <w:snapToGrid/>
              <w:spacing w:line="240" w:lineRule="auto"/>
              <w:rPr>
                <w:bCs/>
                <w:szCs w:val="21"/>
                <w:highlight w:val="none"/>
              </w:rPr>
            </w:pPr>
            <w:r>
              <w:rPr>
                <w:rFonts w:hint="eastAsia"/>
                <w:bCs/>
                <w:szCs w:val="21"/>
                <w:highlight w:val="none"/>
              </w:rPr>
              <w:t>投标保证金</w:t>
            </w:r>
          </w:p>
        </w:tc>
        <w:tc>
          <w:tcPr>
            <w:tcW w:w="6244" w:type="dxa"/>
            <w:vAlign w:val="center"/>
          </w:tcPr>
          <w:p>
            <w:pPr>
              <w:tabs>
                <w:tab w:val="clear" w:pos="426"/>
              </w:tabs>
              <w:adjustRightInd/>
              <w:snapToGrid/>
              <w:spacing w:line="240" w:lineRule="auto"/>
              <w:rPr>
                <w:rFonts w:hint="eastAsia" w:eastAsia="宋体"/>
                <w:snapToGrid w:val="0"/>
                <w:szCs w:val="21"/>
                <w:highlight w:val="none"/>
                <w:u w:val="single"/>
                <w:lang w:val="zh-CN" w:eastAsia="zh-CN"/>
              </w:rPr>
            </w:pPr>
            <w:r>
              <w:rPr>
                <w:rFonts w:hint="eastAsia"/>
                <w:szCs w:val="21"/>
                <w:highlight w:val="none"/>
                <w:lang w:eastAsia="zh-CN"/>
              </w:rPr>
              <w:t>本项目无需缴纳投标保证金。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84" w:type="dxa"/>
            <w:vAlign w:val="center"/>
          </w:tcPr>
          <w:p>
            <w:pPr>
              <w:tabs>
                <w:tab w:val="clear" w:pos="426"/>
              </w:tabs>
              <w:adjustRightInd/>
              <w:snapToGrid/>
              <w:spacing w:line="240" w:lineRule="auto"/>
              <w:rPr>
                <w:highlight w:val="none"/>
              </w:rPr>
            </w:pPr>
            <w:r>
              <w:rPr>
                <w:rFonts w:hint="eastAsia"/>
                <w:highlight w:val="none"/>
              </w:rPr>
              <w:t>评定分离</w:t>
            </w:r>
          </w:p>
        </w:tc>
        <w:tc>
          <w:tcPr>
            <w:tcW w:w="6244" w:type="dxa"/>
            <w:vAlign w:val="center"/>
          </w:tcPr>
          <w:p>
            <w:pPr>
              <w:tabs>
                <w:tab w:val="clear" w:pos="426"/>
              </w:tabs>
              <w:adjustRightInd/>
              <w:snapToGrid/>
              <w:spacing w:line="240" w:lineRule="auto"/>
              <w:rPr>
                <w:highlight w:val="none"/>
              </w:rPr>
            </w:pPr>
            <w:r>
              <w:rPr>
                <w:rFonts w:hint="eastAsia"/>
                <w:highlight w:val="none"/>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84" w:type="dxa"/>
            <w:vAlign w:val="center"/>
          </w:tcPr>
          <w:p>
            <w:pPr>
              <w:tabs>
                <w:tab w:val="clear" w:pos="426"/>
              </w:tabs>
              <w:adjustRightInd/>
              <w:snapToGrid/>
              <w:spacing w:line="240" w:lineRule="auto"/>
              <w:rPr>
                <w:bCs/>
                <w:color w:val="000000"/>
                <w:szCs w:val="21"/>
                <w:highlight w:val="none"/>
              </w:rPr>
            </w:pPr>
            <w:r>
              <w:rPr>
                <w:rFonts w:hint="eastAsia"/>
                <w:bCs/>
                <w:color w:val="000000"/>
                <w:szCs w:val="21"/>
                <w:highlight w:val="none"/>
              </w:rPr>
              <w:t>评标方法</w:t>
            </w:r>
          </w:p>
        </w:tc>
        <w:tc>
          <w:tcPr>
            <w:tcW w:w="6244" w:type="dxa"/>
            <w:vAlign w:val="center"/>
          </w:tcPr>
          <w:p>
            <w:pPr>
              <w:tabs>
                <w:tab w:val="clear" w:pos="426"/>
              </w:tabs>
              <w:adjustRightInd/>
              <w:snapToGrid/>
              <w:spacing w:line="240" w:lineRule="auto"/>
              <w:rPr>
                <w:color w:val="000000"/>
                <w:szCs w:val="21"/>
                <w:highlight w:val="none"/>
              </w:rPr>
            </w:pPr>
            <w:r>
              <w:rPr>
                <w:highlight w:val="none"/>
              </w:rPr>
              <w:t>■</w:t>
            </w:r>
            <w:r>
              <w:rPr>
                <w:rFonts w:hint="eastAsia"/>
                <w:color w:val="000000"/>
                <w:szCs w:val="21"/>
                <w:highlight w:val="none"/>
              </w:rPr>
              <w:t xml:space="preserve">综合评分法     </w:t>
            </w:r>
            <w:r>
              <w:rPr>
                <w:rFonts w:hint="eastAsia"/>
                <w:highlight w:val="none"/>
              </w:rPr>
              <w:t>□</w:t>
            </w:r>
            <w:r>
              <w:rPr>
                <w:rFonts w:hint="eastAsia"/>
                <w:color w:val="000000"/>
                <w:szCs w:val="21"/>
                <w:highlight w:val="none"/>
              </w:rPr>
              <w:t xml:space="preserve">定性评审法     </w:t>
            </w:r>
            <w:r>
              <w:rPr>
                <w:rFonts w:hint="eastAsia"/>
                <w:highlight w:val="none"/>
              </w:rPr>
              <w:t>□</w:t>
            </w:r>
            <w:r>
              <w:rPr>
                <w:rFonts w:hint="eastAsia"/>
                <w:color w:val="000000"/>
                <w:szCs w:val="21"/>
                <w:highlight w:val="none"/>
              </w:rPr>
              <w:t>最低价法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84" w:type="dxa"/>
            <w:vAlign w:val="center"/>
          </w:tcPr>
          <w:p>
            <w:pPr>
              <w:tabs>
                <w:tab w:val="clear" w:pos="426"/>
              </w:tabs>
              <w:adjustRightInd/>
              <w:snapToGrid/>
              <w:spacing w:line="240" w:lineRule="auto"/>
              <w:rPr>
                <w:bCs/>
                <w:color w:val="000000"/>
                <w:szCs w:val="21"/>
                <w:highlight w:val="none"/>
              </w:rPr>
            </w:pPr>
            <w:r>
              <w:rPr>
                <w:rFonts w:hint="eastAsia"/>
                <w:bCs/>
                <w:color w:val="000000"/>
                <w:szCs w:val="21"/>
                <w:highlight w:val="none"/>
              </w:rPr>
              <w:t>定标方法</w:t>
            </w:r>
          </w:p>
        </w:tc>
        <w:tc>
          <w:tcPr>
            <w:tcW w:w="6244" w:type="dxa"/>
            <w:vAlign w:val="center"/>
          </w:tcPr>
          <w:p>
            <w:pPr>
              <w:tabs>
                <w:tab w:val="clear" w:pos="426"/>
              </w:tabs>
              <w:adjustRightInd/>
              <w:snapToGrid/>
              <w:spacing w:line="240" w:lineRule="auto"/>
              <w:rPr>
                <w:color w:val="000000"/>
                <w:szCs w:val="21"/>
                <w:highlight w:val="none"/>
              </w:rPr>
            </w:pPr>
            <w:r>
              <w:rPr>
                <w:highlight w:val="none"/>
              </w:rPr>
              <w:t>■</w:t>
            </w:r>
            <w:r>
              <w:rPr>
                <w:rFonts w:hint="eastAsia"/>
                <w:color w:val="000000"/>
                <w:szCs w:val="21"/>
                <w:highlight w:val="none"/>
              </w:rPr>
              <w:t xml:space="preserve">自定法         </w:t>
            </w:r>
            <w:r>
              <w:rPr>
                <w:rFonts w:hint="eastAsia"/>
                <w:highlight w:val="none"/>
              </w:rPr>
              <w:t>口</w:t>
            </w:r>
            <w:r>
              <w:rPr>
                <w:rFonts w:hint="eastAsia"/>
                <w:color w:val="000000"/>
                <w:szCs w:val="21"/>
                <w:highlight w:val="none"/>
              </w:rPr>
              <w:t xml:space="preserve">抽签法         </w:t>
            </w:r>
            <w:r>
              <w:rPr>
                <w:rFonts w:hint="eastAsia"/>
                <w:highlight w:val="none"/>
              </w:rPr>
              <w:t>口</w:t>
            </w:r>
            <w:r>
              <w:rPr>
                <w:rFonts w:hint="eastAsia"/>
                <w:color w:val="000000"/>
                <w:szCs w:val="21"/>
                <w:highlight w:val="none"/>
              </w:rPr>
              <w:t>竞价法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84" w:type="dxa"/>
            <w:vAlign w:val="center"/>
          </w:tcPr>
          <w:p>
            <w:pPr>
              <w:tabs>
                <w:tab w:val="clear" w:pos="426"/>
              </w:tabs>
              <w:adjustRightInd/>
              <w:snapToGrid/>
              <w:spacing w:line="240" w:lineRule="auto"/>
              <w:rPr>
                <w:highlight w:val="none"/>
              </w:rPr>
            </w:pPr>
            <w:r>
              <w:rPr>
                <w:rFonts w:hint="eastAsia"/>
                <w:highlight w:val="none"/>
              </w:rPr>
              <w:t>投标人的替代方案</w:t>
            </w:r>
          </w:p>
        </w:tc>
        <w:tc>
          <w:tcPr>
            <w:tcW w:w="6244" w:type="dxa"/>
            <w:vAlign w:val="center"/>
          </w:tcPr>
          <w:p>
            <w:pPr>
              <w:tabs>
                <w:tab w:val="clear" w:pos="426"/>
              </w:tabs>
              <w:adjustRightInd/>
              <w:snapToGrid/>
              <w:spacing w:line="240" w:lineRule="auto"/>
              <w:rPr>
                <w:highlight w:val="none"/>
                <w:u w:val="single"/>
              </w:rPr>
            </w:pPr>
            <w:r>
              <w:rPr>
                <w:rFonts w:hint="eastAsia"/>
                <w:szCs w:val="21"/>
                <w:highlight w:val="none"/>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84" w:type="dxa"/>
            <w:vAlign w:val="center"/>
          </w:tcPr>
          <w:p>
            <w:pPr>
              <w:tabs>
                <w:tab w:val="clear" w:pos="426"/>
              </w:tabs>
              <w:adjustRightInd/>
              <w:snapToGrid/>
              <w:spacing w:line="240" w:lineRule="auto"/>
              <w:rPr>
                <w:highlight w:val="none"/>
              </w:rPr>
            </w:pPr>
            <w:r>
              <w:rPr>
                <w:rFonts w:hint="eastAsia"/>
                <w:highlight w:val="none"/>
              </w:rPr>
              <w:t>投标有效期</w:t>
            </w:r>
          </w:p>
        </w:tc>
        <w:tc>
          <w:tcPr>
            <w:tcW w:w="6244" w:type="dxa"/>
            <w:vAlign w:val="center"/>
          </w:tcPr>
          <w:p>
            <w:pPr>
              <w:tabs>
                <w:tab w:val="clear" w:pos="426"/>
              </w:tabs>
              <w:adjustRightInd/>
              <w:snapToGrid/>
              <w:spacing w:line="240" w:lineRule="auto"/>
              <w:rPr>
                <w:szCs w:val="21"/>
                <w:highlight w:val="none"/>
              </w:rPr>
            </w:pPr>
            <w:r>
              <w:rPr>
                <w:rFonts w:hint="eastAsia"/>
                <w:szCs w:val="21"/>
                <w:highlight w:val="none"/>
              </w:rPr>
              <w:t>90天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jc w:val="center"/>
        </w:trPr>
        <w:tc>
          <w:tcPr>
            <w:tcW w:w="2284" w:type="dxa"/>
            <w:vAlign w:val="center"/>
          </w:tcPr>
          <w:p>
            <w:pPr>
              <w:tabs>
                <w:tab w:val="clear" w:pos="426"/>
              </w:tabs>
              <w:adjustRightInd/>
              <w:snapToGrid/>
              <w:spacing w:line="240" w:lineRule="auto"/>
              <w:rPr>
                <w:highlight w:val="none"/>
              </w:rPr>
            </w:pPr>
            <w:r>
              <w:rPr>
                <w:rFonts w:hint="eastAsia"/>
                <w:highlight w:val="none"/>
              </w:rPr>
              <w:t>履约担保金额</w:t>
            </w:r>
          </w:p>
        </w:tc>
        <w:tc>
          <w:tcPr>
            <w:tcW w:w="6244" w:type="dxa"/>
            <w:vAlign w:val="center"/>
          </w:tcPr>
          <w:p>
            <w:pPr>
              <w:tabs>
                <w:tab w:val="clear" w:pos="426"/>
              </w:tabs>
              <w:adjustRightInd/>
              <w:snapToGrid/>
              <w:spacing w:line="240" w:lineRule="auto"/>
              <w:rPr>
                <w:highlight w:val="none"/>
              </w:rPr>
            </w:pPr>
            <w:r>
              <w:rPr>
                <w:highlight w:val="none"/>
              </w:rPr>
              <w:t>■</w:t>
            </w:r>
            <w:r>
              <w:rPr>
                <w:rFonts w:hint="eastAsia"/>
                <w:highlight w:val="none"/>
              </w:rPr>
              <w:t>不提交□</w:t>
            </w:r>
            <w:r>
              <w:rPr>
                <w:highlight w:val="none"/>
              </w:rPr>
              <w:t>提交</w:t>
            </w:r>
          </w:p>
          <w:p>
            <w:pPr>
              <w:tabs>
                <w:tab w:val="clear" w:pos="426"/>
              </w:tabs>
              <w:adjustRightInd/>
              <w:snapToGrid/>
              <w:spacing w:line="240" w:lineRule="auto"/>
              <w:rPr>
                <w:highlight w:val="none"/>
              </w:rPr>
            </w:pPr>
            <w:r>
              <w:rPr>
                <w:rFonts w:hint="eastAsia"/>
                <w:highlight w:val="none"/>
              </w:rPr>
              <w:t>担保金额：为中标价的</w:t>
            </w:r>
            <w:r>
              <w:rPr>
                <w:rFonts w:hint="eastAsia"/>
                <w:highlight w:val="none"/>
                <w:u w:val="single"/>
              </w:rPr>
              <w:t>/</w:t>
            </w:r>
            <w:r>
              <w:rPr>
                <w:highlight w:val="none"/>
              </w:rPr>
              <w:t>% 或</w:t>
            </w:r>
            <w:r>
              <w:rPr>
                <w:highlight w:val="none"/>
                <w:u w:val="single"/>
              </w:rPr>
              <w:t xml:space="preserve"> / </w:t>
            </w:r>
            <w:r>
              <w:rPr>
                <w:highlight w:val="none"/>
              </w:rPr>
              <w:t>万元</w:t>
            </w:r>
          </w:p>
          <w:p>
            <w:pPr>
              <w:tabs>
                <w:tab w:val="clear" w:pos="426"/>
              </w:tabs>
              <w:adjustRightInd/>
              <w:snapToGrid/>
              <w:spacing w:line="240" w:lineRule="auto"/>
              <w:rPr>
                <w:highlight w:val="none"/>
              </w:rPr>
            </w:pPr>
            <w:r>
              <w:rPr>
                <w:rFonts w:hint="eastAsia"/>
                <w:highlight w:val="none"/>
              </w:rPr>
              <w:t>担保提交时间：收到中标通知书后，并在签订合同前提交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84" w:type="dxa"/>
            <w:vAlign w:val="center"/>
          </w:tcPr>
          <w:p>
            <w:pPr>
              <w:tabs>
                <w:tab w:val="clear" w:pos="426"/>
              </w:tabs>
              <w:adjustRightInd/>
              <w:snapToGrid/>
              <w:spacing w:line="240" w:lineRule="auto"/>
              <w:rPr>
                <w:highlight w:val="none"/>
              </w:rPr>
            </w:pPr>
            <w:r>
              <w:rPr>
                <w:rFonts w:hint="eastAsia"/>
                <w:highlight w:val="none"/>
              </w:rPr>
              <w:t>投标文件份数</w:t>
            </w:r>
          </w:p>
        </w:tc>
        <w:tc>
          <w:tcPr>
            <w:tcW w:w="6244" w:type="dxa"/>
            <w:vAlign w:val="center"/>
          </w:tcPr>
          <w:p>
            <w:pPr>
              <w:tabs>
                <w:tab w:val="clear" w:pos="426"/>
              </w:tabs>
              <w:adjustRightInd/>
              <w:snapToGrid/>
              <w:spacing w:line="240" w:lineRule="auto"/>
              <w:rPr>
                <w:highlight w:val="none"/>
              </w:rPr>
            </w:pPr>
            <w:r>
              <w:rPr>
                <w:rFonts w:hint="eastAsia"/>
                <w:highlight w:val="none"/>
              </w:rPr>
              <w:t>纸质投标文件一正、四副，开标信封一份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84" w:type="dxa"/>
            <w:vAlign w:val="center"/>
          </w:tcPr>
          <w:p>
            <w:pPr>
              <w:tabs>
                <w:tab w:val="clear" w:pos="426"/>
              </w:tabs>
              <w:adjustRightInd/>
              <w:snapToGrid/>
              <w:spacing w:line="240" w:lineRule="auto"/>
              <w:rPr>
                <w:highlight w:val="none"/>
              </w:rPr>
            </w:pPr>
            <w:r>
              <w:rPr>
                <w:rFonts w:hint="eastAsia"/>
                <w:highlight w:val="none"/>
              </w:rPr>
              <w:t>投标文件电子档</w:t>
            </w:r>
          </w:p>
        </w:tc>
        <w:tc>
          <w:tcPr>
            <w:tcW w:w="6244" w:type="dxa"/>
            <w:vAlign w:val="center"/>
          </w:tcPr>
          <w:p>
            <w:pPr>
              <w:tabs>
                <w:tab w:val="clear" w:pos="426"/>
              </w:tabs>
              <w:adjustRightInd/>
              <w:snapToGrid/>
              <w:spacing w:line="240" w:lineRule="auto"/>
              <w:rPr>
                <w:highlight w:val="none"/>
              </w:rPr>
            </w:pPr>
            <w:r>
              <w:rPr>
                <w:rFonts w:hint="eastAsia"/>
                <w:highlight w:val="none"/>
              </w:rPr>
              <w:t>电子光盘一张（投标文件正本盖章后的彩色扫描件</w:t>
            </w:r>
            <w:r>
              <w:rPr>
                <w:highlight w:val="none"/>
              </w:rPr>
              <w:t>PDF格式）</w:t>
            </w:r>
          </w:p>
        </w:tc>
      </w:tr>
    </w:tbl>
    <w:p>
      <w:pPr>
        <w:widowControl w:val="0"/>
        <w:shd w:val="clear" w:color="auto" w:fill="auto"/>
        <w:tabs>
          <w:tab w:val="clear" w:pos="426"/>
        </w:tabs>
        <w:adjustRightInd/>
        <w:snapToGrid/>
        <w:spacing w:line="240" w:lineRule="auto"/>
        <w:jc w:val="left"/>
        <w:rPr>
          <w:rFonts w:ascii="Calibri" w:hAnsi="Calibri" w:cs="Times New Roman"/>
          <w:b/>
          <w:kern w:val="2"/>
          <w:szCs w:val="22"/>
          <w:highlight w:val="none"/>
        </w:rPr>
      </w:pPr>
    </w:p>
    <w:p>
      <w:pPr>
        <w:widowControl w:val="0"/>
        <w:shd w:val="clear" w:color="auto" w:fill="auto"/>
        <w:tabs>
          <w:tab w:val="clear" w:pos="426"/>
        </w:tabs>
        <w:adjustRightInd/>
        <w:snapToGrid/>
        <w:spacing w:line="240" w:lineRule="auto"/>
        <w:jc w:val="left"/>
        <w:rPr>
          <w:rFonts w:ascii="Calibri" w:hAnsi="Calibri" w:cs="Times New Roman"/>
          <w:b/>
          <w:kern w:val="2"/>
          <w:szCs w:val="22"/>
          <w:highlight w:val="none"/>
        </w:rPr>
      </w:pPr>
    </w:p>
    <w:p>
      <w:pPr>
        <w:widowControl w:val="0"/>
        <w:shd w:val="clear" w:color="auto" w:fill="auto"/>
        <w:tabs>
          <w:tab w:val="clear" w:pos="426"/>
        </w:tabs>
        <w:adjustRightInd/>
        <w:snapToGrid/>
        <w:spacing w:line="240" w:lineRule="auto"/>
        <w:jc w:val="left"/>
        <w:rPr>
          <w:rFonts w:ascii="Calibri" w:hAnsi="Calibri" w:cs="Times New Roman"/>
          <w:b/>
          <w:kern w:val="2"/>
          <w:szCs w:val="22"/>
          <w:highlight w:val="none"/>
        </w:rPr>
      </w:pPr>
    </w:p>
    <w:p>
      <w:pPr>
        <w:tabs>
          <w:tab w:val="clear" w:pos="426"/>
        </w:tabs>
        <w:spacing w:line="240" w:lineRule="auto"/>
        <w:ind w:firstLine="426" w:firstLineChars="202"/>
        <w:rPr>
          <w:rFonts w:ascii="Calibri" w:hAnsi="Calibri" w:cs="Times New Roman"/>
          <w:b/>
          <w:kern w:val="2"/>
          <w:szCs w:val="22"/>
          <w:highlight w:val="none"/>
        </w:rPr>
      </w:pPr>
    </w:p>
    <w:p>
      <w:pPr>
        <w:tabs>
          <w:tab w:val="clear" w:pos="426"/>
        </w:tabs>
        <w:spacing w:line="240" w:lineRule="auto"/>
        <w:ind w:firstLine="424" w:firstLineChars="202"/>
        <w:rPr>
          <w:bCs/>
          <w:color w:val="000000"/>
          <w:highlight w:val="none"/>
        </w:rPr>
      </w:pPr>
    </w:p>
    <w:p>
      <w:pPr>
        <w:tabs>
          <w:tab w:val="clear" w:pos="426"/>
        </w:tabs>
        <w:spacing w:line="240" w:lineRule="auto"/>
        <w:ind w:firstLine="424" w:firstLineChars="202"/>
        <w:rPr>
          <w:bCs/>
          <w:color w:val="000000"/>
          <w:highlight w:val="none"/>
        </w:rPr>
      </w:pPr>
    </w:p>
    <w:p>
      <w:pPr>
        <w:pStyle w:val="33"/>
        <w:tabs>
          <w:tab w:val="clear" w:pos="426"/>
        </w:tabs>
        <w:rPr>
          <w:highlight w:val="none"/>
        </w:rPr>
      </w:pPr>
      <w:r>
        <w:rPr>
          <w:highlight w:val="none"/>
        </w:rPr>
        <w:br w:type="page"/>
      </w:r>
      <w:bookmarkStart w:id="4" w:name="_Toc12610118"/>
      <w:r>
        <w:rPr>
          <w:rFonts w:hint="eastAsia"/>
          <w:highlight w:val="none"/>
        </w:rPr>
        <w:t>资格性审查表、符合性审查表</w:t>
      </w:r>
      <w:bookmarkEnd w:id="4"/>
    </w:p>
    <w:p>
      <w:pPr>
        <w:jc w:val="center"/>
        <w:rPr>
          <w:b/>
          <w:color w:val="FF0000"/>
          <w:highlight w:val="none"/>
        </w:rPr>
      </w:pPr>
      <w:r>
        <w:rPr>
          <w:rFonts w:hint="eastAsia"/>
          <w:b/>
          <w:color w:val="FF0000"/>
          <w:highlight w:val="none"/>
        </w:rPr>
        <w:t>（凡有下列情形之一的，投标文件无效，投标作无效标处理</w:t>
      </w:r>
      <w:r>
        <w:rPr>
          <w:rFonts w:hint="eastAsia" w:ascii="黑体" w:eastAsia="黑体"/>
          <w:color w:val="FF0000"/>
          <w:szCs w:val="21"/>
          <w:highlight w:val="none"/>
        </w:rPr>
        <w:t>）</w:t>
      </w:r>
    </w:p>
    <w:tbl>
      <w:tblPr>
        <w:tblStyle w:val="44"/>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5"/>
        <w:gridCol w:w="78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645" w:type="dxa"/>
            <w:vAlign w:val="center"/>
          </w:tcPr>
          <w:p>
            <w:pPr>
              <w:tabs>
                <w:tab w:val="clear" w:pos="426"/>
              </w:tabs>
              <w:adjustRightInd/>
              <w:snapToGrid/>
              <w:spacing w:line="240" w:lineRule="auto"/>
              <w:jc w:val="center"/>
              <w:rPr>
                <w:b/>
                <w:highlight w:val="none"/>
              </w:rPr>
            </w:pPr>
            <w:r>
              <w:rPr>
                <w:rFonts w:hint="eastAsia"/>
                <w:b/>
                <w:highlight w:val="none"/>
              </w:rPr>
              <w:t>序号</w:t>
            </w:r>
          </w:p>
        </w:tc>
        <w:tc>
          <w:tcPr>
            <w:tcW w:w="7883" w:type="dxa"/>
            <w:vAlign w:val="center"/>
          </w:tcPr>
          <w:p>
            <w:pPr>
              <w:tabs>
                <w:tab w:val="clear" w:pos="426"/>
              </w:tabs>
              <w:adjustRightInd/>
              <w:snapToGrid/>
              <w:spacing w:line="240" w:lineRule="auto"/>
              <w:jc w:val="center"/>
              <w:rPr>
                <w:b/>
                <w:highlight w:val="none"/>
              </w:rPr>
            </w:pPr>
            <w:r>
              <w:rPr>
                <w:rFonts w:hint="eastAsia"/>
                <w:b/>
                <w:highlight w:val="none"/>
              </w:rPr>
              <w:t>评 审 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8528" w:type="dxa"/>
            <w:gridSpan w:val="2"/>
            <w:vAlign w:val="center"/>
          </w:tcPr>
          <w:p>
            <w:pPr>
              <w:tabs>
                <w:tab w:val="clear" w:pos="426"/>
              </w:tabs>
              <w:adjustRightInd/>
              <w:snapToGrid/>
              <w:spacing w:line="240" w:lineRule="auto"/>
              <w:jc w:val="center"/>
              <w:rPr>
                <w:b/>
                <w:highlight w:val="none"/>
              </w:rPr>
            </w:pPr>
            <w:r>
              <w:rPr>
                <w:rFonts w:hint="eastAsia"/>
                <w:highlight w:val="none"/>
              </w:rPr>
              <w:t>资格性审查表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trPr>
        <w:tc>
          <w:tcPr>
            <w:tcW w:w="645" w:type="dxa"/>
            <w:vAlign w:val="center"/>
          </w:tcPr>
          <w:p>
            <w:pPr>
              <w:numPr>
                <w:ilvl w:val="0"/>
                <w:numId w:val="21"/>
              </w:numPr>
              <w:tabs>
                <w:tab w:val="clear" w:pos="426"/>
              </w:tabs>
              <w:adjustRightInd/>
              <w:snapToGrid/>
              <w:spacing w:line="240" w:lineRule="auto"/>
              <w:ind w:left="0" w:firstLine="0"/>
              <w:jc w:val="center"/>
              <w:rPr>
                <w:highlight w:val="none"/>
              </w:rPr>
            </w:pPr>
          </w:p>
        </w:tc>
        <w:tc>
          <w:tcPr>
            <w:tcW w:w="7883" w:type="dxa"/>
            <w:vAlign w:val="center"/>
          </w:tcPr>
          <w:p>
            <w:pPr>
              <w:tabs>
                <w:tab w:val="clear" w:pos="426"/>
              </w:tabs>
              <w:adjustRightInd/>
              <w:snapToGrid/>
              <w:spacing w:line="240" w:lineRule="auto"/>
              <w:rPr>
                <w:highlight w:val="none"/>
              </w:rPr>
            </w:pPr>
            <w:r>
              <w:rPr>
                <w:rFonts w:hint="eastAsia"/>
                <w:highlight w:val="none"/>
              </w:rPr>
              <w:t>投标人不具备招标资质要求，或未提交相应资质证明材料；(详见采购公告“投标人资质要求”，其中未列示的资质要求不得导致废标。)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8528" w:type="dxa"/>
            <w:gridSpan w:val="2"/>
            <w:vAlign w:val="center"/>
          </w:tcPr>
          <w:p>
            <w:pPr>
              <w:tabs>
                <w:tab w:val="clear" w:pos="426"/>
              </w:tabs>
              <w:adjustRightInd/>
              <w:snapToGrid/>
              <w:spacing w:line="240" w:lineRule="auto"/>
              <w:jc w:val="center"/>
              <w:rPr>
                <w:highlight w:val="none"/>
              </w:rPr>
            </w:pPr>
            <w:r>
              <w:rPr>
                <w:rFonts w:hint="eastAsia"/>
                <w:highlight w:val="none"/>
              </w:rPr>
              <w:t>符合性审查表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trPr>
        <w:tc>
          <w:tcPr>
            <w:tcW w:w="645" w:type="dxa"/>
            <w:vAlign w:val="center"/>
          </w:tcPr>
          <w:p>
            <w:pPr>
              <w:widowControl w:val="0"/>
              <w:numPr>
                <w:ilvl w:val="0"/>
                <w:numId w:val="22"/>
              </w:numPr>
              <w:shd w:val="clear" w:color="auto" w:fill="auto"/>
              <w:tabs>
                <w:tab w:val="clear" w:pos="426"/>
              </w:tabs>
              <w:adjustRightInd/>
              <w:snapToGrid/>
              <w:spacing w:line="240" w:lineRule="auto"/>
              <w:ind w:left="0" w:firstLine="0"/>
              <w:jc w:val="center"/>
              <w:rPr>
                <w:highlight w:val="none"/>
              </w:rPr>
            </w:pPr>
          </w:p>
        </w:tc>
        <w:tc>
          <w:tcPr>
            <w:tcW w:w="7883" w:type="dxa"/>
            <w:vAlign w:val="center"/>
          </w:tcPr>
          <w:p>
            <w:pPr>
              <w:tabs>
                <w:tab w:val="clear" w:pos="426"/>
              </w:tabs>
              <w:adjustRightInd/>
              <w:snapToGrid/>
              <w:spacing w:line="240" w:lineRule="auto"/>
              <w:rPr>
                <w:highlight w:val="none"/>
              </w:rPr>
            </w:pPr>
            <w:r>
              <w:rPr>
                <w:rFonts w:hint="eastAsia"/>
                <w:highlight w:val="none"/>
              </w:rPr>
              <w:t>将一个包或一个标段的内容拆开投标；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trPr>
        <w:tc>
          <w:tcPr>
            <w:tcW w:w="645" w:type="dxa"/>
            <w:vAlign w:val="center"/>
          </w:tcPr>
          <w:p>
            <w:pPr>
              <w:widowControl w:val="0"/>
              <w:numPr>
                <w:ilvl w:val="0"/>
                <w:numId w:val="22"/>
              </w:numPr>
              <w:shd w:val="clear" w:color="auto" w:fill="auto"/>
              <w:tabs>
                <w:tab w:val="clear" w:pos="426"/>
              </w:tabs>
              <w:adjustRightInd/>
              <w:snapToGrid/>
              <w:spacing w:line="240" w:lineRule="auto"/>
              <w:ind w:left="0" w:firstLine="0"/>
              <w:jc w:val="center"/>
              <w:rPr>
                <w:highlight w:val="none"/>
              </w:rPr>
            </w:pPr>
          </w:p>
        </w:tc>
        <w:tc>
          <w:tcPr>
            <w:tcW w:w="7883" w:type="dxa"/>
            <w:vAlign w:val="center"/>
          </w:tcPr>
          <w:p>
            <w:pPr>
              <w:tabs>
                <w:tab w:val="clear" w:pos="426"/>
              </w:tabs>
              <w:adjustRightInd/>
              <w:snapToGrid/>
              <w:spacing w:line="240" w:lineRule="auto"/>
              <w:rPr>
                <w:highlight w:val="none"/>
              </w:rPr>
            </w:pPr>
            <w:r>
              <w:rPr>
                <w:rFonts w:hint="eastAsia"/>
                <w:highlight w:val="none"/>
              </w:rPr>
              <w:t>投标文件及开标一览表未按招标文件规定密封、签字、盖章；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trPr>
        <w:tc>
          <w:tcPr>
            <w:tcW w:w="645" w:type="dxa"/>
            <w:vAlign w:val="center"/>
          </w:tcPr>
          <w:p>
            <w:pPr>
              <w:widowControl w:val="0"/>
              <w:numPr>
                <w:ilvl w:val="0"/>
                <w:numId w:val="22"/>
              </w:numPr>
              <w:shd w:val="clear" w:color="auto" w:fill="auto"/>
              <w:tabs>
                <w:tab w:val="clear" w:pos="426"/>
              </w:tabs>
              <w:adjustRightInd/>
              <w:snapToGrid/>
              <w:spacing w:line="240" w:lineRule="auto"/>
              <w:ind w:left="0" w:firstLine="0"/>
              <w:jc w:val="center"/>
              <w:rPr>
                <w:highlight w:val="none"/>
              </w:rPr>
            </w:pPr>
          </w:p>
        </w:tc>
        <w:tc>
          <w:tcPr>
            <w:tcW w:w="7883" w:type="dxa"/>
            <w:vAlign w:val="center"/>
          </w:tcPr>
          <w:p>
            <w:pPr>
              <w:tabs>
                <w:tab w:val="clear" w:pos="426"/>
              </w:tabs>
              <w:adjustRightInd/>
              <w:snapToGrid/>
              <w:spacing w:line="240" w:lineRule="auto"/>
              <w:rPr>
                <w:highlight w:val="none"/>
              </w:rPr>
            </w:pPr>
            <w:r>
              <w:rPr>
                <w:rFonts w:hint="eastAsia"/>
                <w:highlight w:val="none"/>
              </w:rPr>
              <w:t>对同一项目投标时，提供两套以上的投标方案（招标文件另有规定的除外）；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trPr>
        <w:tc>
          <w:tcPr>
            <w:tcW w:w="645" w:type="dxa"/>
            <w:vAlign w:val="center"/>
          </w:tcPr>
          <w:p>
            <w:pPr>
              <w:widowControl w:val="0"/>
              <w:numPr>
                <w:ilvl w:val="0"/>
                <w:numId w:val="22"/>
              </w:numPr>
              <w:shd w:val="clear" w:color="auto" w:fill="auto"/>
              <w:tabs>
                <w:tab w:val="clear" w:pos="426"/>
              </w:tabs>
              <w:adjustRightInd/>
              <w:snapToGrid/>
              <w:spacing w:line="240" w:lineRule="auto"/>
              <w:ind w:left="0" w:firstLine="0"/>
              <w:jc w:val="center"/>
              <w:rPr>
                <w:highlight w:val="none"/>
              </w:rPr>
            </w:pPr>
          </w:p>
        </w:tc>
        <w:tc>
          <w:tcPr>
            <w:tcW w:w="7883" w:type="dxa"/>
            <w:vAlign w:val="center"/>
          </w:tcPr>
          <w:p>
            <w:pPr>
              <w:tabs>
                <w:tab w:val="clear" w:pos="426"/>
              </w:tabs>
              <w:adjustRightInd/>
              <w:snapToGrid/>
              <w:spacing w:line="240" w:lineRule="auto"/>
              <w:rPr>
                <w:highlight w:val="none"/>
              </w:rPr>
            </w:pPr>
            <w:r>
              <w:rPr>
                <w:rFonts w:hint="eastAsia"/>
                <w:highlight w:val="none"/>
              </w:rPr>
              <w:t>未按照招标文件规定要求签署、盖章或投标文件没有法定代表人签字，或签字人没有法定代表人有效授权书的；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trPr>
        <w:tc>
          <w:tcPr>
            <w:tcW w:w="645" w:type="dxa"/>
            <w:vAlign w:val="center"/>
          </w:tcPr>
          <w:p>
            <w:pPr>
              <w:widowControl w:val="0"/>
              <w:numPr>
                <w:ilvl w:val="0"/>
                <w:numId w:val="22"/>
              </w:numPr>
              <w:shd w:val="clear" w:color="auto" w:fill="auto"/>
              <w:tabs>
                <w:tab w:val="clear" w:pos="426"/>
              </w:tabs>
              <w:adjustRightInd/>
              <w:snapToGrid/>
              <w:spacing w:line="240" w:lineRule="auto"/>
              <w:ind w:left="0" w:firstLine="0"/>
              <w:jc w:val="center"/>
              <w:rPr>
                <w:highlight w:val="none"/>
              </w:rPr>
            </w:pPr>
          </w:p>
        </w:tc>
        <w:tc>
          <w:tcPr>
            <w:tcW w:w="7883" w:type="dxa"/>
            <w:vAlign w:val="center"/>
          </w:tcPr>
          <w:p>
            <w:pPr>
              <w:tabs>
                <w:tab w:val="clear" w:pos="426"/>
              </w:tabs>
              <w:adjustRightInd/>
              <w:snapToGrid/>
              <w:spacing w:line="240" w:lineRule="auto"/>
              <w:rPr>
                <w:highlight w:val="none"/>
              </w:rPr>
            </w:pPr>
            <w:r>
              <w:rPr>
                <w:rFonts w:hint="eastAsia"/>
                <w:highlight w:val="none"/>
              </w:rPr>
              <w:t>未按招标文件所提供的样式填写</w:t>
            </w:r>
            <w:r>
              <w:rPr>
                <w:highlight w:val="none"/>
              </w:rPr>
              <w:t>《</w:t>
            </w:r>
            <w:r>
              <w:rPr>
                <w:rFonts w:hint="eastAsia"/>
                <w:highlight w:val="none"/>
              </w:rPr>
              <w:t>投标函》；未按招标文件所提供的《政府采购投标及履约承诺函》进行承诺；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trPr>
        <w:tc>
          <w:tcPr>
            <w:tcW w:w="645" w:type="dxa"/>
            <w:vAlign w:val="center"/>
          </w:tcPr>
          <w:p>
            <w:pPr>
              <w:widowControl w:val="0"/>
              <w:numPr>
                <w:ilvl w:val="0"/>
                <w:numId w:val="22"/>
              </w:numPr>
              <w:shd w:val="clear" w:color="auto" w:fill="auto"/>
              <w:tabs>
                <w:tab w:val="clear" w:pos="426"/>
              </w:tabs>
              <w:adjustRightInd/>
              <w:snapToGrid/>
              <w:spacing w:line="240" w:lineRule="auto"/>
              <w:ind w:left="0" w:firstLine="0"/>
              <w:jc w:val="center"/>
              <w:rPr>
                <w:highlight w:val="none"/>
              </w:rPr>
            </w:pPr>
          </w:p>
        </w:tc>
        <w:tc>
          <w:tcPr>
            <w:tcW w:w="7883" w:type="dxa"/>
            <w:vAlign w:val="center"/>
          </w:tcPr>
          <w:p>
            <w:pPr>
              <w:tabs>
                <w:tab w:val="clear" w:pos="426"/>
              </w:tabs>
              <w:adjustRightInd/>
              <w:snapToGrid/>
              <w:spacing w:line="240" w:lineRule="auto"/>
              <w:rPr>
                <w:highlight w:val="none"/>
              </w:rPr>
            </w:pPr>
            <w:r>
              <w:rPr>
                <w:rFonts w:hint="eastAsia"/>
                <w:highlight w:val="none"/>
              </w:rPr>
              <w:t>投标总价或分项报价高于财政预算限额（最高投标限价）；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9" w:hRule="atLeast"/>
        </w:trPr>
        <w:tc>
          <w:tcPr>
            <w:tcW w:w="645" w:type="dxa"/>
            <w:vAlign w:val="center"/>
          </w:tcPr>
          <w:p>
            <w:pPr>
              <w:widowControl w:val="0"/>
              <w:numPr>
                <w:ilvl w:val="0"/>
                <w:numId w:val="22"/>
              </w:numPr>
              <w:shd w:val="clear" w:color="auto" w:fill="auto"/>
              <w:tabs>
                <w:tab w:val="clear" w:pos="426"/>
              </w:tabs>
              <w:adjustRightInd/>
              <w:snapToGrid/>
              <w:spacing w:line="240" w:lineRule="auto"/>
              <w:ind w:left="0" w:firstLine="0"/>
              <w:jc w:val="center"/>
              <w:rPr>
                <w:highlight w:val="none"/>
              </w:rPr>
            </w:pPr>
          </w:p>
        </w:tc>
        <w:tc>
          <w:tcPr>
            <w:tcW w:w="7883" w:type="dxa"/>
            <w:vAlign w:val="center"/>
          </w:tcPr>
          <w:p>
            <w:pPr>
              <w:tabs>
                <w:tab w:val="clear" w:pos="426"/>
              </w:tabs>
              <w:adjustRightInd/>
              <w:snapToGrid/>
              <w:spacing w:line="240" w:lineRule="auto"/>
              <w:rPr>
                <w:highlight w:val="none"/>
              </w:rPr>
            </w:pPr>
            <w:r>
              <w:rPr>
                <w:szCs w:val="21"/>
                <w:highlight w:val="none"/>
              </w:rPr>
              <w:t>同一项目出现两个及以上报价，且按规定无法确定哪个是有效报价；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trPr>
        <w:tc>
          <w:tcPr>
            <w:tcW w:w="645" w:type="dxa"/>
            <w:vAlign w:val="center"/>
          </w:tcPr>
          <w:p>
            <w:pPr>
              <w:widowControl w:val="0"/>
              <w:numPr>
                <w:ilvl w:val="0"/>
                <w:numId w:val="22"/>
              </w:numPr>
              <w:shd w:val="clear" w:color="auto" w:fill="auto"/>
              <w:tabs>
                <w:tab w:val="clear" w:pos="426"/>
              </w:tabs>
              <w:adjustRightInd/>
              <w:snapToGrid/>
              <w:spacing w:line="240" w:lineRule="auto"/>
              <w:ind w:left="0" w:firstLine="0"/>
              <w:jc w:val="center"/>
              <w:rPr>
                <w:highlight w:val="none"/>
              </w:rPr>
            </w:pPr>
          </w:p>
        </w:tc>
        <w:tc>
          <w:tcPr>
            <w:tcW w:w="7883" w:type="dxa"/>
            <w:vAlign w:val="center"/>
          </w:tcPr>
          <w:p>
            <w:pPr>
              <w:tabs>
                <w:tab w:val="clear" w:pos="426"/>
              </w:tabs>
              <w:adjustRightInd/>
              <w:snapToGrid/>
              <w:spacing w:line="240" w:lineRule="auto"/>
              <w:rPr>
                <w:highlight w:val="none"/>
              </w:rPr>
            </w:pPr>
            <w:r>
              <w:rPr>
                <w:rFonts w:hint="eastAsia"/>
                <w:highlight w:val="none"/>
              </w:rPr>
              <w:t>评标委员会认为投标人的报价明显低于其他通过符合性审查投标人的报价，有可能影响产品质量或者不能诚信履约的，且不能在合理的时间内提供书面说明，或无法提交相关证明材料，投标人不能证明其报价合理性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trPr>
        <w:tc>
          <w:tcPr>
            <w:tcW w:w="645" w:type="dxa"/>
            <w:vAlign w:val="center"/>
          </w:tcPr>
          <w:p>
            <w:pPr>
              <w:widowControl w:val="0"/>
              <w:numPr>
                <w:ilvl w:val="0"/>
                <w:numId w:val="22"/>
              </w:numPr>
              <w:shd w:val="clear" w:color="auto" w:fill="auto"/>
              <w:tabs>
                <w:tab w:val="clear" w:pos="426"/>
              </w:tabs>
              <w:adjustRightInd/>
              <w:snapToGrid/>
              <w:spacing w:line="240" w:lineRule="auto"/>
              <w:ind w:left="0" w:firstLine="0"/>
              <w:jc w:val="center"/>
              <w:rPr>
                <w:highlight w:val="none"/>
              </w:rPr>
            </w:pPr>
          </w:p>
        </w:tc>
        <w:tc>
          <w:tcPr>
            <w:tcW w:w="7883" w:type="dxa"/>
            <w:vAlign w:val="center"/>
          </w:tcPr>
          <w:p>
            <w:pPr>
              <w:spacing w:line="240" w:lineRule="auto"/>
              <w:jc w:val="left"/>
              <w:rPr>
                <w:highlight w:val="none"/>
              </w:rPr>
            </w:pPr>
            <w:r>
              <w:rPr>
                <w:rFonts w:hint="eastAsia"/>
                <w:highlight w:val="none"/>
              </w:rPr>
              <w:t>投标文件载明的交货期超过招标文件规定的期限；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trPr>
        <w:tc>
          <w:tcPr>
            <w:tcW w:w="645" w:type="dxa"/>
            <w:vAlign w:val="center"/>
          </w:tcPr>
          <w:p>
            <w:pPr>
              <w:widowControl w:val="0"/>
              <w:numPr>
                <w:ilvl w:val="0"/>
                <w:numId w:val="22"/>
              </w:numPr>
              <w:shd w:val="clear" w:color="auto" w:fill="auto"/>
              <w:tabs>
                <w:tab w:val="clear" w:pos="426"/>
              </w:tabs>
              <w:adjustRightInd/>
              <w:snapToGrid/>
              <w:spacing w:line="240" w:lineRule="auto"/>
              <w:ind w:left="0" w:firstLine="0"/>
              <w:jc w:val="center"/>
              <w:rPr>
                <w:highlight w:val="none"/>
              </w:rPr>
            </w:pPr>
          </w:p>
        </w:tc>
        <w:tc>
          <w:tcPr>
            <w:tcW w:w="7883" w:type="dxa"/>
            <w:vAlign w:val="center"/>
          </w:tcPr>
          <w:p>
            <w:pPr>
              <w:spacing w:line="240" w:lineRule="auto"/>
              <w:jc w:val="left"/>
              <w:rPr>
                <w:highlight w:val="none"/>
              </w:rPr>
            </w:pPr>
            <w:r>
              <w:rPr>
                <w:rFonts w:hint="eastAsia"/>
                <w:highlight w:val="none"/>
              </w:rPr>
              <w:t>投标文件载明的免费保修期低于招标文件规定的期限；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trPr>
        <w:tc>
          <w:tcPr>
            <w:tcW w:w="645" w:type="dxa"/>
            <w:vAlign w:val="center"/>
          </w:tcPr>
          <w:p>
            <w:pPr>
              <w:widowControl w:val="0"/>
              <w:numPr>
                <w:ilvl w:val="0"/>
                <w:numId w:val="22"/>
              </w:numPr>
              <w:shd w:val="clear" w:color="auto" w:fill="auto"/>
              <w:tabs>
                <w:tab w:val="clear" w:pos="426"/>
              </w:tabs>
              <w:adjustRightInd/>
              <w:snapToGrid/>
              <w:spacing w:line="240" w:lineRule="auto"/>
              <w:ind w:left="0" w:firstLine="0"/>
              <w:jc w:val="center"/>
              <w:rPr>
                <w:highlight w:val="none"/>
              </w:rPr>
            </w:pPr>
          </w:p>
        </w:tc>
        <w:tc>
          <w:tcPr>
            <w:tcW w:w="7883" w:type="dxa"/>
            <w:vAlign w:val="center"/>
          </w:tcPr>
          <w:p>
            <w:pPr>
              <w:tabs>
                <w:tab w:val="clear" w:pos="426"/>
              </w:tabs>
              <w:adjustRightInd/>
              <w:snapToGrid/>
              <w:spacing w:line="240" w:lineRule="auto"/>
              <w:rPr>
                <w:highlight w:val="none"/>
              </w:rPr>
            </w:pPr>
            <w:r>
              <w:rPr>
                <w:rFonts w:hint="eastAsia"/>
                <w:highlight w:val="none"/>
              </w:rPr>
              <w:t>所投产品、工程、服务在商务、技术等方面没有实质性满足招标文件要求的；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trPr>
        <w:tc>
          <w:tcPr>
            <w:tcW w:w="645" w:type="dxa"/>
            <w:vAlign w:val="center"/>
          </w:tcPr>
          <w:p>
            <w:pPr>
              <w:widowControl w:val="0"/>
              <w:numPr>
                <w:ilvl w:val="0"/>
                <w:numId w:val="22"/>
              </w:numPr>
              <w:shd w:val="clear" w:color="auto" w:fill="auto"/>
              <w:tabs>
                <w:tab w:val="clear" w:pos="426"/>
              </w:tabs>
              <w:adjustRightInd/>
              <w:snapToGrid/>
              <w:spacing w:line="240" w:lineRule="auto"/>
              <w:ind w:left="0" w:firstLine="0"/>
              <w:jc w:val="center"/>
              <w:rPr>
                <w:highlight w:val="none"/>
              </w:rPr>
            </w:pPr>
          </w:p>
        </w:tc>
        <w:tc>
          <w:tcPr>
            <w:tcW w:w="7883" w:type="dxa"/>
            <w:vAlign w:val="center"/>
          </w:tcPr>
          <w:p>
            <w:pPr>
              <w:tabs>
                <w:tab w:val="clear" w:pos="426"/>
              </w:tabs>
              <w:adjustRightInd/>
              <w:snapToGrid/>
              <w:spacing w:line="240" w:lineRule="auto"/>
              <w:rPr>
                <w:highlight w:val="none"/>
              </w:rPr>
            </w:pPr>
            <w:r>
              <w:rPr>
                <w:rFonts w:hint="eastAsia"/>
                <w:highlight w:val="none"/>
              </w:rPr>
              <w:t>《技术规格偏离表》或《商务需求偏离表》填写不全、不明或不实；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trPr>
        <w:tc>
          <w:tcPr>
            <w:tcW w:w="645" w:type="dxa"/>
            <w:vAlign w:val="center"/>
          </w:tcPr>
          <w:p>
            <w:pPr>
              <w:widowControl w:val="0"/>
              <w:numPr>
                <w:ilvl w:val="0"/>
                <w:numId w:val="22"/>
              </w:numPr>
              <w:shd w:val="clear" w:color="auto" w:fill="auto"/>
              <w:tabs>
                <w:tab w:val="clear" w:pos="426"/>
              </w:tabs>
              <w:adjustRightInd/>
              <w:snapToGrid/>
              <w:spacing w:line="240" w:lineRule="auto"/>
              <w:ind w:left="0" w:firstLine="0"/>
              <w:jc w:val="center"/>
              <w:rPr>
                <w:highlight w:val="none"/>
              </w:rPr>
            </w:pPr>
          </w:p>
        </w:tc>
        <w:tc>
          <w:tcPr>
            <w:tcW w:w="7883" w:type="dxa"/>
            <w:vAlign w:val="center"/>
          </w:tcPr>
          <w:p>
            <w:pPr>
              <w:tabs>
                <w:tab w:val="clear" w:pos="426"/>
              </w:tabs>
              <w:adjustRightInd/>
              <w:snapToGrid/>
              <w:spacing w:line="240" w:lineRule="auto"/>
              <w:rPr>
                <w:highlight w:val="none"/>
              </w:rPr>
            </w:pPr>
            <w:r>
              <w:rPr>
                <w:rFonts w:hint="eastAsia"/>
                <w:highlight w:val="none"/>
              </w:rPr>
              <w:t>投标文件存在招标文件中规定的其它投标无效条款的；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trPr>
        <w:tc>
          <w:tcPr>
            <w:tcW w:w="645" w:type="dxa"/>
            <w:vAlign w:val="center"/>
          </w:tcPr>
          <w:p>
            <w:pPr>
              <w:widowControl w:val="0"/>
              <w:numPr>
                <w:ilvl w:val="0"/>
                <w:numId w:val="22"/>
              </w:numPr>
              <w:shd w:val="clear" w:color="auto" w:fill="auto"/>
              <w:tabs>
                <w:tab w:val="clear" w:pos="426"/>
              </w:tabs>
              <w:adjustRightInd/>
              <w:snapToGrid/>
              <w:spacing w:line="240" w:lineRule="auto"/>
              <w:ind w:left="0" w:firstLine="0"/>
              <w:jc w:val="center"/>
              <w:rPr>
                <w:highlight w:val="none"/>
              </w:rPr>
            </w:pPr>
          </w:p>
        </w:tc>
        <w:tc>
          <w:tcPr>
            <w:tcW w:w="7883" w:type="dxa"/>
            <w:vAlign w:val="center"/>
          </w:tcPr>
          <w:p>
            <w:pPr>
              <w:tabs>
                <w:tab w:val="clear" w:pos="426"/>
              </w:tabs>
              <w:adjustRightInd/>
              <w:snapToGrid/>
              <w:spacing w:line="240" w:lineRule="auto"/>
              <w:rPr>
                <w:highlight w:val="none"/>
              </w:rPr>
            </w:pPr>
            <w:r>
              <w:rPr>
                <w:rFonts w:hint="eastAsia"/>
                <w:highlight w:val="none"/>
              </w:rPr>
              <w:t>法律、法规规定的属于投标无效的其他情形。</w:t>
            </w:r>
          </w:p>
        </w:tc>
      </w:tr>
    </w:tbl>
    <w:p>
      <w:pPr>
        <w:rPr>
          <w:highlight w:val="none"/>
        </w:rPr>
      </w:pPr>
    </w:p>
    <w:p>
      <w:pPr>
        <w:rPr>
          <w:highlight w:val="none"/>
        </w:rPr>
      </w:pPr>
    </w:p>
    <w:p>
      <w:pPr>
        <w:rPr>
          <w:highlight w:val="none"/>
        </w:rPr>
      </w:pPr>
    </w:p>
    <w:p>
      <w:pPr>
        <w:pStyle w:val="33"/>
        <w:tabs>
          <w:tab w:val="clear" w:pos="426"/>
        </w:tabs>
        <w:rPr>
          <w:highlight w:val="none"/>
        </w:rPr>
      </w:pPr>
      <w:r>
        <w:rPr>
          <w:sz w:val="24"/>
          <w:highlight w:val="none"/>
        </w:rPr>
        <w:br w:type="page"/>
      </w:r>
      <w:bookmarkStart w:id="5" w:name="_Toc12610119"/>
      <w:bookmarkStart w:id="6" w:name="_Toc435514846"/>
      <w:r>
        <w:rPr>
          <w:highlight w:val="none"/>
        </w:rPr>
        <w:t>评标信息</w:t>
      </w:r>
      <w:bookmarkEnd w:id="5"/>
    </w:p>
    <w:p>
      <w:pPr>
        <w:widowControl w:val="0"/>
        <w:shd w:val="clear" w:color="auto" w:fill="auto"/>
        <w:tabs>
          <w:tab w:val="clear" w:pos="426"/>
        </w:tabs>
        <w:adjustRightInd/>
        <w:snapToGrid/>
        <w:spacing w:line="300" w:lineRule="auto"/>
        <w:ind w:firstLine="422" w:firstLineChars="200"/>
        <w:rPr>
          <w:b/>
          <w:szCs w:val="21"/>
          <w:highlight w:val="none"/>
        </w:rPr>
      </w:pPr>
    </w:p>
    <w:p>
      <w:pPr>
        <w:widowControl w:val="0"/>
        <w:shd w:val="clear" w:color="auto" w:fill="auto"/>
        <w:tabs>
          <w:tab w:val="clear" w:pos="426"/>
        </w:tabs>
        <w:adjustRightInd/>
        <w:snapToGrid/>
        <w:spacing w:line="300" w:lineRule="auto"/>
        <w:ind w:firstLine="422" w:firstLineChars="200"/>
        <w:rPr>
          <w:b/>
          <w:szCs w:val="21"/>
          <w:highlight w:val="none"/>
        </w:rPr>
      </w:pPr>
      <w:r>
        <w:rPr>
          <w:b/>
          <w:szCs w:val="21"/>
          <w:highlight w:val="none"/>
        </w:rPr>
        <w:t>1.本项目的评审办法采用：综合评分法。</w:t>
      </w:r>
      <w:r>
        <w:rPr>
          <w:rFonts w:hint="eastAsia"/>
          <w:b/>
          <w:szCs w:val="21"/>
          <w:highlight w:val="none"/>
        </w:rPr>
        <w:t>本招标文件所述评标方法和定标方法与招标文件《通用条款</w:t>
      </w:r>
      <w:r>
        <w:rPr>
          <w:b/>
          <w:szCs w:val="21"/>
          <w:highlight w:val="none"/>
        </w:rPr>
        <w:t>》所述不一致之处，以以下方法为准。</w:t>
      </w:r>
    </w:p>
    <w:p>
      <w:pPr>
        <w:widowControl w:val="0"/>
        <w:shd w:val="clear" w:color="auto" w:fill="auto"/>
        <w:tabs>
          <w:tab w:val="clear" w:pos="426"/>
        </w:tabs>
        <w:adjustRightInd/>
        <w:snapToGrid/>
        <w:spacing w:line="300" w:lineRule="auto"/>
        <w:ind w:firstLine="420" w:firstLineChars="200"/>
        <w:rPr>
          <w:szCs w:val="21"/>
          <w:highlight w:val="none"/>
        </w:rPr>
      </w:pPr>
      <w:r>
        <w:rPr>
          <w:szCs w:val="21"/>
          <w:highlight w:val="none"/>
        </w:rPr>
        <w:t>中标人数量为：1家。</w:t>
      </w:r>
    </w:p>
    <w:p>
      <w:pPr>
        <w:widowControl w:val="0"/>
        <w:shd w:val="clear" w:color="auto" w:fill="auto"/>
        <w:tabs>
          <w:tab w:val="clear" w:pos="426"/>
        </w:tabs>
        <w:adjustRightInd/>
        <w:snapToGrid/>
        <w:spacing w:line="300" w:lineRule="auto"/>
        <w:ind w:firstLine="420" w:firstLineChars="200"/>
        <w:rPr>
          <w:szCs w:val="21"/>
          <w:highlight w:val="none"/>
        </w:rPr>
      </w:pPr>
      <w:r>
        <w:rPr>
          <w:rFonts w:hint="eastAsia"/>
          <w:szCs w:val="21"/>
          <w:highlight w:val="none"/>
        </w:rPr>
        <w:t>综合评分法，是指投标文件满足招标文件全部实质性要求，且按照评审因素的量化指标评审得分最高的投标人为候选中标人的评标方法。</w:t>
      </w:r>
    </w:p>
    <w:p>
      <w:pPr>
        <w:widowControl w:val="0"/>
        <w:shd w:val="clear" w:color="auto" w:fill="auto"/>
        <w:tabs>
          <w:tab w:val="clear" w:pos="426"/>
        </w:tabs>
        <w:adjustRightInd/>
        <w:snapToGrid/>
        <w:spacing w:line="300" w:lineRule="auto"/>
        <w:ind w:firstLine="420" w:firstLineChars="200"/>
        <w:rPr>
          <w:szCs w:val="21"/>
          <w:highlight w:val="none"/>
        </w:rPr>
      </w:pPr>
      <w:r>
        <w:rPr>
          <w:rFonts w:hint="eastAsia"/>
          <w:szCs w:val="21"/>
          <w:highlight w:val="none"/>
        </w:rPr>
        <w:t>评标时，评标委员会各成员应当独立对每个通过资格性审查和符合性审查且报价不超过预算控制金额的投标人的投标文件进行评价，并汇总每个投标人每项评分因素的评分、评标委员会各成员对每个投标人评分的和，取算术平均值确定每个投标人的评审总得分，评审总得分最高的投标人将被推荐为候选中标人，并作出评审结论</w:t>
      </w:r>
      <w:r>
        <w:rPr>
          <w:rFonts w:hint="eastAsia"/>
          <w:bCs/>
          <w:szCs w:val="21"/>
          <w:highlight w:val="none"/>
        </w:rPr>
        <w:t>。经采购人同意后，确定为中标人。</w:t>
      </w:r>
    </w:p>
    <w:p>
      <w:pPr>
        <w:tabs>
          <w:tab w:val="clear" w:pos="426"/>
        </w:tabs>
        <w:spacing w:line="300" w:lineRule="auto"/>
        <w:ind w:firstLine="420" w:firstLineChars="200"/>
        <w:rPr>
          <w:rFonts w:cs="Times New Roman"/>
          <w:b/>
          <w:bCs/>
          <w:kern w:val="2"/>
          <w:szCs w:val="21"/>
          <w:highlight w:val="none"/>
        </w:rPr>
      </w:pPr>
      <w:r>
        <w:rPr>
          <w:rFonts w:hint="eastAsia"/>
          <w:szCs w:val="21"/>
          <w:highlight w:val="none"/>
        </w:rPr>
        <w:t>候选中标人按评审后得分由高到低顺序排列；得分相同的，按投标报价由低到高顺序排列；得分且投标报价相同的，按技术指标或服务方案优劣顺序排列；排列第一名的投标人获得候选中标人推荐资格。得分且投标报价相同的且技术指标或服务方案优劣相同的，</w:t>
      </w:r>
      <w:r>
        <w:rPr>
          <w:rFonts w:cs="Times New Roman"/>
          <w:bCs/>
          <w:kern w:val="2"/>
          <w:szCs w:val="21"/>
          <w:highlight w:val="none"/>
        </w:rPr>
        <w:t>采取随机抽取方式确定</w:t>
      </w:r>
      <w:r>
        <w:rPr>
          <w:rFonts w:hint="eastAsia" w:cs="Times New Roman"/>
          <w:bCs/>
          <w:kern w:val="2"/>
          <w:szCs w:val="21"/>
          <w:highlight w:val="none"/>
        </w:rPr>
        <w:t>候选</w:t>
      </w:r>
      <w:r>
        <w:rPr>
          <w:rFonts w:cs="Times New Roman"/>
          <w:bCs/>
          <w:kern w:val="2"/>
          <w:szCs w:val="21"/>
          <w:highlight w:val="none"/>
        </w:rPr>
        <w:t>中标人推荐资格</w:t>
      </w:r>
      <w:r>
        <w:rPr>
          <w:rFonts w:hint="eastAsia" w:cs="Times New Roman"/>
          <w:bCs/>
          <w:kern w:val="2"/>
          <w:szCs w:val="21"/>
          <w:highlight w:val="none"/>
        </w:rPr>
        <w:t>。</w:t>
      </w:r>
    </w:p>
    <w:p>
      <w:pPr>
        <w:tabs>
          <w:tab w:val="clear" w:pos="426"/>
        </w:tabs>
        <w:spacing w:line="300" w:lineRule="auto"/>
        <w:ind w:firstLine="420" w:firstLineChars="200"/>
        <w:rPr>
          <w:highlight w:val="none"/>
        </w:rPr>
      </w:pPr>
      <w:r>
        <w:rPr>
          <w:rFonts w:hint="eastAsia"/>
          <w:highlight w:val="none"/>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widowControl w:val="0"/>
        <w:shd w:val="clear" w:color="auto" w:fill="auto"/>
        <w:tabs>
          <w:tab w:val="clear" w:pos="426"/>
        </w:tabs>
        <w:adjustRightInd/>
        <w:snapToGrid/>
        <w:spacing w:line="300" w:lineRule="auto"/>
        <w:ind w:firstLine="420" w:firstLineChars="200"/>
        <w:rPr>
          <w:szCs w:val="21"/>
          <w:highlight w:val="none"/>
        </w:rPr>
      </w:pPr>
      <w:r>
        <w:rPr>
          <w:rFonts w:hint="eastAsia"/>
          <w:szCs w:val="21"/>
          <w:highlight w:val="none"/>
        </w:rPr>
        <w:t>2</w:t>
      </w:r>
      <w:r>
        <w:rPr>
          <w:szCs w:val="21"/>
          <w:highlight w:val="none"/>
        </w:rPr>
        <w:t>.价格分计算方法：</w:t>
      </w:r>
    </w:p>
    <w:p>
      <w:pPr>
        <w:tabs>
          <w:tab w:val="clear" w:pos="426"/>
        </w:tabs>
        <w:spacing w:line="300" w:lineRule="auto"/>
        <w:ind w:firstLine="420" w:firstLineChars="200"/>
        <w:rPr>
          <w:szCs w:val="21"/>
          <w:highlight w:val="none"/>
        </w:rPr>
      </w:pPr>
      <w:r>
        <w:rPr>
          <w:rFonts w:hint="eastAsia"/>
          <w:szCs w:val="21"/>
          <w:highlight w:val="none"/>
        </w:rPr>
        <w:t>依据《</w:t>
      </w:r>
      <w:r>
        <w:rPr>
          <w:szCs w:val="21"/>
          <w:highlight w:val="none"/>
        </w:rPr>
        <w:t>深圳市财政委员会关于严格执行财政部87号令价格分计算规定的通知</w:t>
      </w:r>
      <w:r>
        <w:rPr>
          <w:rFonts w:hint="eastAsia"/>
          <w:szCs w:val="21"/>
          <w:highlight w:val="none"/>
        </w:rPr>
        <w:t>》（深财购〔</w:t>
      </w:r>
      <w:r>
        <w:rPr>
          <w:szCs w:val="21"/>
          <w:highlight w:val="none"/>
        </w:rPr>
        <w:t>2018〕33号</w:t>
      </w:r>
      <w:r>
        <w:rPr>
          <w:rFonts w:hint="eastAsia"/>
          <w:szCs w:val="21"/>
          <w:highlight w:val="none"/>
        </w:rPr>
        <w:t>）、《</w:t>
      </w:r>
      <w:r>
        <w:rPr>
          <w:szCs w:val="21"/>
          <w:highlight w:val="none"/>
        </w:rPr>
        <w:t>政府采购货物和服务招标投标管理办法</w:t>
      </w:r>
      <w:r>
        <w:rPr>
          <w:rFonts w:hint="eastAsia"/>
          <w:szCs w:val="21"/>
          <w:highlight w:val="none"/>
        </w:rPr>
        <w:t>》（财政部令第</w:t>
      </w:r>
      <w:r>
        <w:rPr>
          <w:szCs w:val="21"/>
          <w:highlight w:val="none"/>
        </w:rPr>
        <w:t>87号）</w:t>
      </w:r>
      <w:r>
        <w:rPr>
          <w:rFonts w:hint="eastAsia"/>
          <w:szCs w:val="21"/>
          <w:highlight w:val="none"/>
        </w:rPr>
        <w:t>第五十五条第六款之规定：价格分应当采用低价优先法计算，即满足招标文件要求且投标价格最低的投标报价为评标基准价，其价格分为满分。其他投标人的价格分统一按照下列公式计算：</w:t>
      </w:r>
    </w:p>
    <w:p>
      <w:pPr>
        <w:tabs>
          <w:tab w:val="clear" w:pos="426"/>
        </w:tabs>
        <w:spacing w:line="300" w:lineRule="auto"/>
        <w:ind w:firstLine="420" w:firstLineChars="200"/>
        <w:rPr>
          <w:szCs w:val="21"/>
          <w:highlight w:val="none"/>
        </w:rPr>
      </w:pPr>
      <w:r>
        <w:rPr>
          <w:rFonts w:hint="eastAsia"/>
          <w:szCs w:val="21"/>
          <w:highlight w:val="none"/>
        </w:rPr>
        <w:t>投标报价得分</w:t>
      </w:r>
      <w:r>
        <w:rPr>
          <w:szCs w:val="21"/>
          <w:highlight w:val="none"/>
        </w:rPr>
        <w:t>=(评标基准价／投标报价)×100</w:t>
      </w:r>
    </w:p>
    <w:p>
      <w:pPr>
        <w:tabs>
          <w:tab w:val="clear" w:pos="426"/>
        </w:tabs>
        <w:spacing w:line="300" w:lineRule="auto"/>
        <w:ind w:firstLine="420" w:firstLineChars="200"/>
        <w:rPr>
          <w:szCs w:val="21"/>
          <w:highlight w:val="none"/>
        </w:rPr>
      </w:pPr>
      <w:r>
        <w:rPr>
          <w:rFonts w:hint="eastAsia"/>
          <w:szCs w:val="21"/>
          <w:highlight w:val="none"/>
        </w:rPr>
        <w:t>评标总得分＝</w:t>
      </w:r>
      <w:r>
        <w:rPr>
          <w:szCs w:val="21"/>
          <w:highlight w:val="none"/>
        </w:rPr>
        <w:t>F1×A1＋F2×A2＋……＋Fn×An</w:t>
      </w:r>
    </w:p>
    <w:p>
      <w:pPr>
        <w:tabs>
          <w:tab w:val="clear" w:pos="426"/>
        </w:tabs>
        <w:spacing w:line="300" w:lineRule="auto"/>
        <w:ind w:firstLine="420" w:firstLineChars="200"/>
        <w:rPr>
          <w:szCs w:val="21"/>
          <w:highlight w:val="none"/>
        </w:rPr>
      </w:pPr>
      <w:r>
        <w:rPr>
          <w:szCs w:val="21"/>
          <w:highlight w:val="none"/>
        </w:rPr>
        <w:t>F1、F2……Fn分别为各项评审因素的得分；</w:t>
      </w:r>
    </w:p>
    <w:p>
      <w:pPr>
        <w:tabs>
          <w:tab w:val="clear" w:pos="426"/>
        </w:tabs>
        <w:spacing w:line="300" w:lineRule="auto"/>
        <w:ind w:firstLine="420" w:firstLineChars="200"/>
        <w:rPr>
          <w:szCs w:val="21"/>
          <w:highlight w:val="none"/>
        </w:rPr>
      </w:pPr>
      <w:r>
        <w:rPr>
          <w:szCs w:val="21"/>
          <w:highlight w:val="none"/>
        </w:rPr>
        <w:t>A1、A2、……An 分别为各项评审因素所占的权重(A1＋A2＋……＋An＝1)。</w:t>
      </w:r>
    </w:p>
    <w:p>
      <w:pPr>
        <w:tabs>
          <w:tab w:val="clear" w:pos="426"/>
        </w:tabs>
        <w:spacing w:line="300" w:lineRule="auto"/>
        <w:ind w:firstLine="420" w:firstLineChars="200"/>
        <w:rPr>
          <w:szCs w:val="21"/>
          <w:highlight w:val="none"/>
        </w:rPr>
      </w:pPr>
      <w:r>
        <w:rPr>
          <w:rFonts w:hint="eastAsia"/>
          <w:szCs w:val="21"/>
          <w:highlight w:val="none"/>
        </w:rPr>
        <w:t>评标过程中，不得去掉报价中的最高报价和最低报价。</w:t>
      </w:r>
    </w:p>
    <w:p>
      <w:pPr>
        <w:tabs>
          <w:tab w:val="clear" w:pos="426"/>
        </w:tabs>
        <w:spacing w:line="300" w:lineRule="auto"/>
        <w:ind w:firstLine="420" w:firstLineChars="200"/>
        <w:rPr>
          <w:szCs w:val="21"/>
          <w:highlight w:val="none"/>
        </w:rPr>
      </w:pPr>
      <w:r>
        <w:rPr>
          <w:rFonts w:hint="eastAsia"/>
          <w:szCs w:val="21"/>
          <w:highlight w:val="none"/>
        </w:rPr>
        <w:t>因落实政府采购政策进行价格调整的，以调整后的价格计算评标基准价和投标报价。</w:t>
      </w:r>
    </w:p>
    <w:p>
      <w:pPr>
        <w:tabs>
          <w:tab w:val="clear" w:pos="426"/>
        </w:tabs>
        <w:spacing w:line="300" w:lineRule="auto"/>
        <w:ind w:firstLine="420" w:firstLineChars="200"/>
        <w:rPr>
          <w:szCs w:val="21"/>
          <w:highlight w:val="none"/>
        </w:rPr>
      </w:pPr>
      <w:r>
        <w:rPr>
          <w:rFonts w:hint="eastAsia"/>
          <w:szCs w:val="21"/>
          <w:highlight w:val="none"/>
        </w:rPr>
        <w:t>在实际评标过程中，《评分细则表》中的“分值”项为各项评审因素的实际分</w:t>
      </w:r>
      <w:r>
        <w:rPr>
          <w:szCs w:val="21"/>
          <w:highlight w:val="none"/>
        </w:rPr>
        <w:t>Sn，Sn=Fn×An，评标总得分=S1＋S2＋……＋Sn，投标报价的实际分=(评标基准价／投标报价)×100×价格权重。</w:t>
      </w:r>
    </w:p>
    <w:p>
      <w:pPr>
        <w:tabs>
          <w:tab w:val="clear" w:pos="426"/>
        </w:tabs>
        <w:spacing w:line="300" w:lineRule="auto"/>
        <w:ind w:firstLine="420" w:firstLineChars="200"/>
        <w:rPr>
          <w:szCs w:val="21"/>
          <w:highlight w:val="none"/>
        </w:rPr>
      </w:pPr>
      <w:bookmarkStart w:id="7" w:name="_Hlk535523259"/>
      <w:r>
        <w:rPr>
          <w:szCs w:val="21"/>
          <w:highlight w:val="none"/>
        </w:rPr>
        <w:t>3.</w:t>
      </w:r>
      <w:r>
        <w:rPr>
          <w:rFonts w:hint="eastAsia"/>
          <w:szCs w:val="21"/>
          <w:highlight w:val="none"/>
        </w:rPr>
        <w:t>评标优惠政策</w:t>
      </w:r>
    </w:p>
    <w:p>
      <w:pPr>
        <w:tabs>
          <w:tab w:val="clear" w:pos="426"/>
        </w:tabs>
        <w:spacing w:line="300" w:lineRule="auto"/>
        <w:ind w:firstLine="420" w:firstLineChars="200"/>
        <w:rPr>
          <w:szCs w:val="21"/>
          <w:highlight w:val="none"/>
        </w:rPr>
      </w:pPr>
      <w:r>
        <w:rPr>
          <w:szCs w:val="21"/>
          <w:highlight w:val="none"/>
        </w:rPr>
        <w:t>3.1.根据《政府采购促进中小企业发展暂行办法》（财库[2011]181号）、《财政部 司法部关于政府采购支持监狱企业发展有关问题的通知》（财库〔2014〕68号）和《三部门联合发布关于促进残疾人就业政府采购政策的通知》（财库〔2017〕141号）的规定，对满足价格扣除条件且在投标文件中提交了《投标人企业类型声明函》、《残疾人福利性单位声明函》或省级以上监狱管理局、戒毒管理局（含新疆生产建设兵团）出具的属于监狱企业的证明文件的投标人，其投标报价扣除</w:t>
      </w:r>
      <w:r>
        <w:rPr>
          <w:szCs w:val="21"/>
          <w:highlight w:val="none"/>
          <w:u w:val="single"/>
        </w:rPr>
        <w:t xml:space="preserve"> 6 </w:t>
      </w:r>
      <w:r>
        <w:rPr>
          <w:szCs w:val="21"/>
          <w:highlight w:val="none"/>
        </w:rPr>
        <w:t>%后参与评审。对于同时属于小微企业、监狱企业或残疾人福利性</w:t>
      </w:r>
      <w:r>
        <w:rPr>
          <w:rFonts w:hint="eastAsia"/>
          <w:szCs w:val="21"/>
          <w:highlight w:val="none"/>
        </w:rPr>
        <w:t>单位的，不重复进行投标报价扣除。如有其它政策支持因素（如鼓励创新等）需一并列出。</w:t>
      </w:r>
    </w:p>
    <w:p>
      <w:pPr>
        <w:tabs>
          <w:tab w:val="clear" w:pos="426"/>
        </w:tabs>
        <w:spacing w:line="300" w:lineRule="auto"/>
        <w:ind w:firstLine="420" w:firstLineChars="200"/>
        <w:rPr>
          <w:szCs w:val="21"/>
          <w:highlight w:val="none"/>
        </w:rPr>
      </w:pPr>
      <w:r>
        <w:rPr>
          <w:szCs w:val="21"/>
          <w:highlight w:val="none"/>
        </w:rPr>
        <w:t>3.2.联合协议中约定，小型、微型企业、残疾人福利性单位和监狱企业的协议合同金额占到联合体协议合同总金额</w:t>
      </w:r>
      <w:r>
        <w:rPr>
          <w:szCs w:val="21"/>
          <w:highlight w:val="none"/>
          <w:u w:val="single"/>
        </w:rPr>
        <w:t>30%</w:t>
      </w:r>
      <w:r>
        <w:rPr>
          <w:szCs w:val="21"/>
          <w:highlight w:val="none"/>
        </w:rPr>
        <w:t>以上的，可给予联合体</w:t>
      </w:r>
      <w:r>
        <w:rPr>
          <w:szCs w:val="21"/>
          <w:highlight w:val="none"/>
          <w:u w:val="single"/>
        </w:rPr>
        <w:t xml:space="preserve">2 </w:t>
      </w:r>
      <w:r>
        <w:rPr>
          <w:szCs w:val="21"/>
          <w:highlight w:val="none"/>
        </w:rPr>
        <w:t>% （请在2%-3%范围内选择）的价格扣除。</w:t>
      </w:r>
    </w:p>
    <w:p>
      <w:pPr>
        <w:tabs>
          <w:tab w:val="clear" w:pos="426"/>
        </w:tabs>
        <w:spacing w:line="300" w:lineRule="auto"/>
        <w:ind w:firstLine="420" w:firstLineChars="200"/>
        <w:rPr>
          <w:szCs w:val="21"/>
          <w:highlight w:val="none"/>
        </w:rPr>
      </w:pPr>
      <w:r>
        <w:rPr>
          <w:rFonts w:hint="eastAsia"/>
          <w:szCs w:val="21"/>
          <w:highlight w:val="none"/>
        </w:rPr>
        <w:t>联合体各方均为小型、微型企业和监狱企业的，联合体视同为小型、微型企业和监狱企业，均享受</w:t>
      </w:r>
      <w:r>
        <w:rPr>
          <w:rFonts w:hint="eastAsia"/>
          <w:b/>
          <w:color w:val="FF0000"/>
          <w:szCs w:val="21"/>
          <w:highlight w:val="none"/>
        </w:rPr>
        <w:t>评标优惠政策</w:t>
      </w:r>
      <w:r>
        <w:rPr>
          <w:rFonts w:hint="eastAsia"/>
          <w:szCs w:val="21"/>
          <w:highlight w:val="none"/>
        </w:rPr>
        <w:t>第一款的优惠政策。</w:t>
      </w:r>
    </w:p>
    <w:p>
      <w:pPr>
        <w:tabs>
          <w:tab w:val="clear" w:pos="426"/>
        </w:tabs>
        <w:spacing w:line="300" w:lineRule="auto"/>
        <w:ind w:firstLine="422" w:firstLineChars="200"/>
        <w:rPr>
          <w:b/>
          <w:szCs w:val="21"/>
          <w:highlight w:val="none"/>
        </w:rPr>
      </w:pPr>
      <w:r>
        <w:rPr>
          <w:b/>
          <w:color w:val="FF0000"/>
          <w:szCs w:val="21"/>
          <w:highlight w:val="none"/>
        </w:rPr>
        <w:t>3.3.</w:t>
      </w:r>
      <w:r>
        <w:rPr>
          <w:rFonts w:hint="eastAsia"/>
          <w:b/>
          <w:color w:val="FF0000"/>
          <w:szCs w:val="21"/>
          <w:highlight w:val="none"/>
        </w:rPr>
        <w:t>如采购人所采购产品为政府强制采购的节能产品，投标人所投产品的品牌及型号必须为清单中有效期内产品并提供证明文件，否则其投标将被认定为投标无效。</w:t>
      </w:r>
    </w:p>
    <w:p>
      <w:pPr>
        <w:tabs>
          <w:tab w:val="clear" w:pos="426"/>
        </w:tabs>
        <w:spacing w:line="300" w:lineRule="auto"/>
        <w:ind w:firstLine="420" w:firstLineChars="200"/>
        <w:rPr>
          <w:szCs w:val="21"/>
          <w:highlight w:val="none"/>
        </w:rPr>
      </w:pPr>
      <w:r>
        <w:rPr>
          <w:szCs w:val="21"/>
          <w:highlight w:val="none"/>
        </w:rPr>
        <w:t>4.评标专家应对通过投标文件初审进入评标程序的投标文件先评技术标、再评商务标；</w:t>
      </w:r>
    </w:p>
    <w:p>
      <w:pPr>
        <w:tabs>
          <w:tab w:val="clear" w:pos="426"/>
        </w:tabs>
        <w:spacing w:line="300" w:lineRule="auto"/>
        <w:ind w:firstLine="420" w:firstLineChars="200"/>
        <w:rPr>
          <w:szCs w:val="21"/>
          <w:highlight w:val="none"/>
        </w:rPr>
      </w:pPr>
      <w:r>
        <w:rPr>
          <w:szCs w:val="21"/>
          <w:highlight w:val="none"/>
        </w:rPr>
        <w:t>5.评标专家需按招标文件规定的评审标准对投标人提交的投标文件进行评审，投标文件中与评审标准无关的内容不作为评审内容</w:t>
      </w:r>
      <w:r>
        <w:rPr>
          <w:rFonts w:hint="eastAsia"/>
          <w:szCs w:val="21"/>
          <w:highlight w:val="none"/>
        </w:rPr>
        <w:t>。</w:t>
      </w:r>
    </w:p>
    <w:p>
      <w:pPr>
        <w:widowControl w:val="0"/>
        <w:shd w:val="clear" w:color="auto" w:fill="auto"/>
        <w:tabs>
          <w:tab w:val="clear" w:pos="426"/>
        </w:tabs>
        <w:adjustRightInd/>
        <w:snapToGrid/>
        <w:ind w:left="420"/>
        <w:rPr>
          <w:szCs w:val="21"/>
          <w:highlight w:val="none"/>
        </w:rPr>
      </w:pPr>
      <w:r>
        <w:rPr>
          <w:szCs w:val="21"/>
          <w:highlight w:val="none"/>
        </w:rPr>
        <w:t>6.</w:t>
      </w:r>
      <w:r>
        <w:rPr>
          <w:rFonts w:hint="eastAsia"/>
          <w:szCs w:val="21"/>
          <w:highlight w:val="none"/>
        </w:rPr>
        <w:t>评标委员会在评标时，应按照以下量化的评审因素，对各投标文件进行分析和比较：</w:t>
      </w:r>
    </w:p>
    <w:p>
      <w:pPr>
        <w:tabs>
          <w:tab w:val="clear" w:pos="426"/>
        </w:tabs>
        <w:spacing w:line="300" w:lineRule="auto"/>
        <w:rPr>
          <w:b/>
          <w:szCs w:val="21"/>
          <w:highlight w:val="none"/>
        </w:rPr>
      </w:pPr>
    </w:p>
    <w:p>
      <w:pPr>
        <w:tabs>
          <w:tab w:val="clear" w:pos="426"/>
        </w:tabs>
        <w:spacing w:line="300" w:lineRule="auto"/>
        <w:ind w:firstLine="422" w:firstLineChars="200"/>
        <w:rPr>
          <w:b/>
          <w:szCs w:val="21"/>
          <w:highlight w:val="none"/>
        </w:rPr>
      </w:pPr>
    </w:p>
    <w:bookmarkEnd w:id="6"/>
    <w:bookmarkEnd w:id="7"/>
    <w:p>
      <w:pPr>
        <w:pStyle w:val="33"/>
        <w:widowControl w:val="0"/>
        <w:shd w:val="clear" w:color="auto" w:fill="auto"/>
        <w:tabs>
          <w:tab w:val="clear" w:pos="426"/>
        </w:tabs>
        <w:adjustRightInd/>
        <w:snapToGrid/>
        <w:outlineLvl w:val="9"/>
        <w:rPr>
          <w:rFonts w:ascii="宋体" w:hAnsi="宋体"/>
          <w:bCs w:val="0"/>
          <w:sz w:val="24"/>
          <w:szCs w:val="24"/>
          <w:highlight w:val="none"/>
        </w:rPr>
      </w:pPr>
      <w:r>
        <w:rPr>
          <w:bCs w:val="0"/>
          <w:sz w:val="24"/>
          <w:highlight w:val="none"/>
        </w:rPr>
        <w:br w:type="page"/>
      </w:r>
      <w:bookmarkStart w:id="8" w:name="_Toc12610120"/>
      <w:r>
        <w:rPr>
          <w:rFonts w:hint="eastAsia" w:ascii="宋体" w:hAnsi="宋体"/>
          <w:bCs w:val="0"/>
          <w:sz w:val="24"/>
          <w:szCs w:val="24"/>
          <w:highlight w:val="none"/>
        </w:rPr>
        <w:t>评分细则表</w:t>
      </w:r>
      <w:bookmarkEnd w:id="8"/>
    </w:p>
    <w:p>
      <w:pPr>
        <w:widowControl w:val="0"/>
        <w:shd w:val="clear" w:color="auto" w:fill="auto"/>
        <w:tabs>
          <w:tab w:val="clear" w:pos="426"/>
        </w:tabs>
        <w:adjustRightInd/>
        <w:snapToGrid/>
        <w:spacing w:line="240" w:lineRule="auto"/>
        <w:rPr>
          <w:rFonts w:cs="Times New Roman"/>
          <w:b/>
          <w:kern w:val="2"/>
          <w:szCs w:val="21"/>
          <w:highlight w:val="none"/>
        </w:rPr>
      </w:pPr>
      <w:bookmarkStart w:id="9" w:name="合同格式"/>
      <w:bookmarkEnd w:id="9"/>
      <w:bookmarkStart w:id="10" w:name="bt本工程承诺书"/>
      <w:bookmarkEnd w:id="10"/>
      <w:bookmarkStart w:id="11" w:name="bt投标人须知"/>
      <w:bookmarkEnd w:id="11"/>
      <w:bookmarkStart w:id="12" w:name="bt商务标投标文件格式"/>
      <w:bookmarkEnd w:id="12"/>
      <w:bookmarkStart w:id="13" w:name="bt合同条款"/>
      <w:bookmarkEnd w:id="13"/>
      <w:bookmarkStart w:id="14" w:name="bt说明"/>
      <w:bookmarkEnd w:id="14"/>
      <w:bookmarkStart w:id="15" w:name="bt开标一览表"/>
      <w:bookmarkEnd w:id="15"/>
      <w:bookmarkStart w:id="16" w:name="bt其他资料2"/>
      <w:bookmarkEnd w:id="16"/>
      <w:bookmarkStart w:id="17" w:name="bt合同格式"/>
      <w:bookmarkEnd w:id="17"/>
      <w:bookmarkStart w:id="18" w:name="bt技术标投标文件格式"/>
      <w:bookmarkEnd w:id="18"/>
      <w:bookmarkStart w:id="19" w:name="bt投标人情况介绍"/>
      <w:bookmarkEnd w:id="19"/>
      <w:bookmarkStart w:id="20" w:name="bt合同条款及格式"/>
      <w:bookmarkEnd w:id="20"/>
      <w:bookmarkStart w:id="21" w:name="bt其他资料由投标人自定"/>
      <w:bookmarkEnd w:id="21"/>
      <w:bookmarkStart w:id="22" w:name="bt项目管理班子配备情况"/>
      <w:bookmarkEnd w:id="22"/>
      <w:bookmarkStart w:id="23" w:name="bt投标报价汇总表"/>
      <w:bookmarkEnd w:id="23"/>
      <w:bookmarkStart w:id="24" w:name="bt投标函"/>
      <w:bookmarkEnd w:id="24"/>
      <w:bookmarkStart w:id="25" w:name="bt投标文件签署授权委托书"/>
      <w:bookmarkEnd w:id="25"/>
      <w:bookmarkStart w:id="26" w:name="_Toc432592812"/>
      <w:r>
        <w:rPr>
          <w:rFonts w:hint="eastAsia" w:cs="Times New Roman"/>
          <w:b/>
          <w:kern w:val="2"/>
          <w:szCs w:val="21"/>
          <w:highlight w:val="none"/>
        </w:rPr>
        <w:t>1、权重范围</w:t>
      </w:r>
    </w:p>
    <w:tbl>
      <w:tblPr>
        <w:tblStyle w:val="44"/>
        <w:tblW w:w="879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098"/>
        <w:gridCol w:w="3144"/>
        <w:gridCol w:w="255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4" w:hRule="atLeast"/>
        </w:trPr>
        <w:tc>
          <w:tcPr>
            <w:tcW w:w="3098" w:type="dxa"/>
            <w:vAlign w:val="center"/>
          </w:tcPr>
          <w:p>
            <w:pPr>
              <w:widowControl w:val="0"/>
              <w:shd w:val="clear" w:color="auto" w:fill="auto"/>
              <w:tabs>
                <w:tab w:val="clear" w:pos="426"/>
              </w:tabs>
              <w:adjustRightInd/>
              <w:snapToGrid/>
              <w:spacing w:line="240" w:lineRule="auto"/>
              <w:jc w:val="center"/>
              <w:rPr>
                <w:rFonts w:cs="Times New Roman"/>
                <w:kern w:val="2"/>
                <w:szCs w:val="21"/>
                <w:highlight w:val="none"/>
              </w:rPr>
            </w:pPr>
            <w:r>
              <w:rPr>
                <w:rFonts w:hint="eastAsia" w:cs="Times New Roman"/>
                <w:kern w:val="2"/>
                <w:szCs w:val="21"/>
                <w:highlight w:val="none"/>
              </w:rPr>
              <w:t>价格</w:t>
            </w:r>
          </w:p>
        </w:tc>
        <w:tc>
          <w:tcPr>
            <w:tcW w:w="3144" w:type="dxa"/>
            <w:vAlign w:val="center"/>
          </w:tcPr>
          <w:p>
            <w:pPr>
              <w:widowControl w:val="0"/>
              <w:shd w:val="clear" w:color="auto" w:fill="auto"/>
              <w:tabs>
                <w:tab w:val="clear" w:pos="426"/>
              </w:tabs>
              <w:adjustRightInd/>
              <w:snapToGrid/>
              <w:spacing w:line="240" w:lineRule="auto"/>
              <w:jc w:val="center"/>
              <w:rPr>
                <w:rFonts w:cs="Times New Roman"/>
                <w:kern w:val="2"/>
                <w:szCs w:val="21"/>
                <w:highlight w:val="none"/>
              </w:rPr>
            </w:pPr>
            <w:r>
              <w:rPr>
                <w:rFonts w:hint="eastAsia" w:cs="Times New Roman"/>
                <w:kern w:val="2"/>
                <w:szCs w:val="21"/>
                <w:highlight w:val="none"/>
              </w:rPr>
              <w:t>技术</w:t>
            </w:r>
          </w:p>
        </w:tc>
        <w:tc>
          <w:tcPr>
            <w:tcW w:w="2553" w:type="dxa"/>
            <w:vAlign w:val="center"/>
          </w:tcPr>
          <w:p>
            <w:pPr>
              <w:widowControl w:val="0"/>
              <w:shd w:val="clear" w:color="auto" w:fill="auto"/>
              <w:tabs>
                <w:tab w:val="clear" w:pos="426"/>
              </w:tabs>
              <w:adjustRightInd/>
              <w:snapToGrid/>
              <w:spacing w:line="240" w:lineRule="auto"/>
              <w:jc w:val="center"/>
              <w:rPr>
                <w:rFonts w:cs="Times New Roman"/>
                <w:kern w:val="2"/>
                <w:szCs w:val="21"/>
                <w:highlight w:val="none"/>
              </w:rPr>
            </w:pPr>
            <w:r>
              <w:rPr>
                <w:rFonts w:hint="eastAsia" w:cs="Times New Roman"/>
                <w:kern w:val="2"/>
                <w:szCs w:val="21"/>
                <w:highlight w:val="none"/>
              </w:rPr>
              <w:t>商务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4" w:hRule="atLeast"/>
        </w:trPr>
        <w:tc>
          <w:tcPr>
            <w:tcW w:w="3098" w:type="dxa"/>
            <w:vAlign w:val="center"/>
          </w:tcPr>
          <w:p>
            <w:pPr>
              <w:widowControl w:val="0"/>
              <w:shd w:val="clear" w:color="auto" w:fill="auto"/>
              <w:tabs>
                <w:tab w:val="clear" w:pos="426"/>
              </w:tabs>
              <w:adjustRightInd/>
              <w:snapToGrid/>
              <w:spacing w:line="240" w:lineRule="auto"/>
              <w:jc w:val="center"/>
              <w:rPr>
                <w:rFonts w:cs="Times New Roman"/>
                <w:kern w:val="2"/>
                <w:szCs w:val="21"/>
                <w:highlight w:val="none"/>
              </w:rPr>
            </w:pPr>
            <w:r>
              <w:rPr>
                <w:rFonts w:hint="eastAsia" w:cs="Times New Roman"/>
                <w:kern w:val="2"/>
                <w:szCs w:val="21"/>
                <w:highlight w:val="none"/>
              </w:rPr>
              <w:t>30分</w:t>
            </w:r>
          </w:p>
        </w:tc>
        <w:tc>
          <w:tcPr>
            <w:tcW w:w="3144" w:type="dxa"/>
            <w:vAlign w:val="center"/>
          </w:tcPr>
          <w:p>
            <w:pPr>
              <w:widowControl w:val="0"/>
              <w:shd w:val="clear" w:color="auto" w:fill="auto"/>
              <w:tabs>
                <w:tab w:val="clear" w:pos="426"/>
              </w:tabs>
              <w:adjustRightInd/>
              <w:snapToGrid/>
              <w:spacing w:line="240" w:lineRule="auto"/>
              <w:jc w:val="center"/>
              <w:rPr>
                <w:rFonts w:cs="Times New Roman"/>
                <w:kern w:val="2"/>
                <w:szCs w:val="21"/>
                <w:highlight w:val="none"/>
              </w:rPr>
            </w:pPr>
            <w:r>
              <w:rPr>
                <w:rFonts w:hint="eastAsia" w:cs="Times New Roman"/>
                <w:kern w:val="2"/>
                <w:szCs w:val="21"/>
                <w:highlight w:val="none"/>
              </w:rPr>
              <w:t>52分</w:t>
            </w:r>
          </w:p>
        </w:tc>
        <w:tc>
          <w:tcPr>
            <w:tcW w:w="2553" w:type="dxa"/>
            <w:vAlign w:val="center"/>
          </w:tcPr>
          <w:p>
            <w:pPr>
              <w:widowControl w:val="0"/>
              <w:shd w:val="clear" w:color="auto" w:fill="auto"/>
              <w:tabs>
                <w:tab w:val="clear" w:pos="426"/>
              </w:tabs>
              <w:adjustRightInd/>
              <w:snapToGrid/>
              <w:spacing w:line="240" w:lineRule="auto"/>
              <w:jc w:val="center"/>
              <w:rPr>
                <w:rFonts w:cs="Times New Roman"/>
                <w:kern w:val="2"/>
                <w:szCs w:val="21"/>
                <w:highlight w:val="none"/>
              </w:rPr>
            </w:pPr>
            <w:r>
              <w:rPr>
                <w:rFonts w:hint="eastAsia" w:cs="Times New Roman"/>
                <w:kern w:val="2"/>
                <w:szCs w:val="21"/>
                <w:highlight w:val="none"/>
              </w:rPr>
              <w:t>18分</w:t>
            </w:r>
          </w:p>
        </w:tc>
      </w:tr>
    </w:tbl>
    <w:p>
      <w:pPr>
        <w:tabs>
          <w:tab w:val="clear" w:pos="426"/>
        </w:tabs>
        <w:spacing w:line="240" w:lineRule="auto"/>
        <w:rPr>
          <w:highlight w:val="none"/>
        </w:rPr>
      </w:pPr>
    </w:p>
    <w:p>
      <w:pPr>
        <w:widowControl w:val="0"/>
        <w:shd w:val="clear" w:color="auto" w:fill="auto"/>
        <w:tabs>
          <w:tab w:val="left" w:pos="1815"/>
          <w:tab w:val="clear" w:pos="426"/>
        </w:tabs>
        <w:adjustRightInd/>
        <w:snapToGrid/>
        <w:spacing w:line="240" w:lineRule="auto"/>
        <w:rPr>
          <w:rFonts w:cs="Times New Roman"/>
          <w:b/>
          <w:kern w:val="2"/>
          <w:szCs w:val="21"/>
          <w:highlight w:val="none"/>
        </w:rPr>
      </w:pPr>
      <w:r>
        <w:rPr>
          <w:rFonts w:hint="eastAsia" w:cs="Times New Roman"/>
          <w:b/>
          <w:kern w:val="2"/>
          <w:szCs w:val="21"/>
          <w:highlight w:val="none"/>
        </w:rPr>
        <w:t>2、具体细则</w:t>
      </w:r>
    </w:p>
    <w:tbl>
      <w:tblPr>
        <w:tblStyle w:val="44"/>
        <w:tblW w:w="9337"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41"/>
        <w:gridCol w:w="1890"/>
        <w:gridCol w:w="757"/>
        <w:gridCol w:w="4591"/>
        <w:gridCol w:w="1358"/>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3" w:hRule="atLeast"/>
          <w:jc w:val="center"/>
        </w:trPr>
        <w:tc>
          <w:tcPr>
            <w:tcW w:w="7979" w:type="dxa"/>
            <w:gridSpan w:val="4"/>
            <w:vAlign w:val="center"/>
          </w:tcPr>
          <w:p>
            <w:pPr>
              <w:autoSpaceDE w:val="0"/>
              <w:autoSpaceDN w:val="0"/>
              <w:jc w:val="center"/>
              <w:rPr>
                <w:rFonts w:asciiTheme="minorEastAsia" w:hAnsiTheme="minorEastAsia" w:eastAsiaTheme="minorEastAsia"/>
                <w:b/>
                <w:color w:val="000000" w:themeColor="text1"/>
                <w:szCs w:val="21"/>
                <w:highlight w:val="none"/>
                <w:lang w:val="zh-CN"/>
              </w:rPr>
            </w:pPr>
            <w:r>
              <w:rPr>
                <w:rFonts w:hint="eastAsia" w:asciiTheme="minorEastAsia" w:hAnsiTheme="minorEastAsia" w:eastAsiaTheme="minorEastAsia"/>
                <w:b/>
                <w:color w:val="000000" w:themeColor="text1"/>
                <w:szCs w:val="21"/>
                <w:highlight w:val="none"/>
                <w:lang w:val="zh-CN"/>
              </w:rPr>
              <w:t>评分项及评分规则</w:t>
            </w:r>
          </w:p>
        </w:tc>
        <w:tc>
          <w:tcPr>
            <w:tcW w:w="1358" w:type="dxa"/>
            <w:vAlign w:val="center"/>
          </w:tcPr>
          <w:p>
            <w:pPr>
              <w:autoSpaceDE w:val="0"/>
              <w:autoSpaceDN w:val="0"/>
              <w:jc w:val="center"/>
              <w:rPr>
                <w:rFonts w:asciiTheme="minorEastAsia" w:hAnsiTheme="minorEastAsia" w:eastAsiaTheme="minorEastAsia"/>
                <w:b/>
                <w:color w:val="000000" w:themeColor="text1"/>
                <w:szCs w:val="21"/>
                <w:highlight w:val="none"/>
                <w:lang w:val="zh-CN"/>
              </w:rPr>
            </w:pPr>
            <w:r>
              <w:rPr>
                <w:rFonts w:hint="eastAsia" w:asciiTheme="minorEastAsia" w:hAnsiTheme="minorEastAsia" w:eastAsiaTheme="minorEastAsia"/>
                <w:b/>
                <w:color w:val="000000" w:themeColor="text1"/>
                <w:szCs w:val="21"/>
                <w:highlight w:val="none"/>
                <w:lang w:val="zh-CN"/>
              </w:rPr>
              <w:t>权重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8" w:hRule="atLeast"/>
          <w:jc w:val="center"/>
        </w:trPr>
        <w:tc>
          <w:tcPr>
            <w:tcW w:w="7979" w:type="dxa"/>
            <w:gridSpan w:val="4"/>
            <w:vAlign w:val="center"/>
          </w:tcPr>
          <w:p>
            <w:pPr>
              <w:autoSpaceDE w:val="0"/>
              <w:autoSpaceDN w:val="0"/>
              <w:jc w:val="center"/>
              <w:rPr>
                <w:rFonts w:asciiTheme="minorEastAsia" w:hAnsiTheme="minorEastAsia" w:eastAsiaTheme="minorEastAsia"/>
                <w:b/>
                <w:color w:val="000000" w:themeColor="text1"/>
                <w:szCs w:val="21"/>
                <w:highlight w:val="none"/>
                <w:lang w:val="zh-CN"/>
              </w:rPr>
            </w:pPr>
            <w:r>
              <w:rPr>
                <w:rFonts w:hint="eastAsia" w:asciiTheme="minorEastAsia" w:hAnsiTheme="minorEastAsia" w:eastAsiaTheme="minorEastAsia"/>
                <w:b/>
                <w:color w:val="000000" w:themeColor="text1"/>
                <w:szCs w:val="21"/>
                <w:highlight w:val="none"/>
                <w:lang w:val="zh-CN"/>
              </w:rPr>
              <w:t>一、价格部分</w:t>
            </w:r>
          </w:p>
        </w:tc>
        <w:tc>
          <w:tcPr>
            <w:tcW w:w="1358" w:type="dxa"/>
            <w:vAlign w:val="center"/>
          </w:tcPr>
          <w:p>
            <w:pPr>
              <w:autoSpaceDE w:val="0"/>
              <w:autoSpaceDN w:val="0"/>
              <w:jc w:val="center"/>
              <w:rPr>
                <w:rFonts w:asciiTheme="minorEastAsia" w:hAnsiTheme="minorEastAsia" w:eastAsiaTheme="minorEastAsia"/>
                <w:color w:val="000000" w:themeColor="text1"/>
                <w:szCs w:val="21"/>
                <w:highlight w:val="none"/>
              </w:rPr>
            </w:pPr>
            <w:r>
              <w:rPr>
                <w:rFonts w:hint="eastAsia" w:asciiTheme="minorEastAsia" w:hAnsiTheme="minorEastAsia" w:eastAsiaTheme="minorEastAsia"/>
                <w:color w:val="000000" w:themeColor="text1"/>
                <w:szCs w:val="21"/>
                <w:highlight w:val="none"/>
              </w:rPr>
              <w:t>30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9" w:hRule="atLeast"/>
          <w:jc w:val="center"/>
        </w:trPr>
        <w:tc>
          <w:tcPr>
            <w:tcW w:w="7979" w:type="dxa"/>
            <w:gridSpan w:val="4"/>
            <w:vAlign w:val="center"/>
          </w:tcPr>
          <w:p>
            <w:pPr>
              <w:autoSpaceDE w:val="0"/>
              <w:autoSpaceDN w:val="0"/>
              <w:jc w:val="center"/>
              <w:rPr>
                <w:rFonts w:asciiTheme="minorEastAsia" w:hAnsiTheme="minorEastAsia" w:eastAsiaTheme="minorEastAsia"/>
                <w:b/>
                <w:color w:val="000000" w:themeColor="text1"/>
                <w:szCs w:val="21"/>
                <w:highlight w:val="none"/>
              </w:rPr>
            </w:pPr>
            <w:r>
              <w:rPr>
                <w:rFonts w:hint="eastAsia" w:asciiTheme="minorEastAsia" w:hAnsiTheme="minorEastAsia" w:eastAsiaTheme="minorEastAsia"/>
                <w:b/>
                <w:color w:val="000000" w:themeColor="text1"/>
                <w:szCs w:val="21"/>
                <w:highlight w:val="none"/>
                <w:lang w:val="zh-CN"/>
              </w:rPr>
              <w:t>二、技术部分</w:t>
            </w:r>
          </w:p>
        </w:tc>
        <w:tc>
          <w:tcPr>
            <w:tcW w:w="1358" w:type="dxa"/>
            <w:vAlign w:val="center"/>
          </w:tcPr>
          <w:p>
            <w:pPr>
              <w:autoSpaceDE w:val="0"/>
              <w:autoSpaceDN w:val="0"/>
              <w:jc w:val="center"/>
              <w:rPr>
                <w:rFonts w:asciiTheme="minorEastAsia" w:hAnsiTheme="minorEastAsia" w:eastAsiaTheme="minorEastAsia"/>
                <w:color w:val="000000" w:themeColor="text1"/>
                <w:szCs w:val="21"/>
                <w:highlight w:val="none"/>
              </w:rPr>
            </w:pPr>
            <w:r>
              <w:rPr>
                <w:rFonts w:hint="eastAsia" w:asciiTheme="minorEastAsia" w:hAnsiTheme="minorEastAsia" w:eastAsiaTheme="minorEastAsia"/>
                <w:color w:val="000000" w:themeColor="text1"/>
                <w:szCs w:val="21"/>
                <w:highlight w:val="none"/>
              </w:rPr>
              <w:t>52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5" w:hRule="atLeast"/>
          <w:jc w:val="center"/>
        </w:trPr>
        <w:tc>
          <w:tcPr>
            <w:tcW w:w="741" w:type="dxa"/>
            <w:vAlign w:val="center"/>
          </w:tcPr>
          <w:p>
            <w:pPr>
              <w:autoSpaceDE w:val="0"/>
              <w:autoSpaceDN w:val="0"/>
              <w:jc w:val="center"/>
              <w:rPr>
                <w:rFonts w:asciiTheme="minorEastAsia" w:hAnsiTheme="minorEastAsia" w:eastAsiaTheme="minorEastAsia"/>
                <w:color w:val="000000" w:themeColor="text1"/>
                <w:szCs w:val="21"/>
                <w:highlight w:val="none"/>
              </w:rPr>
            </w:pPr>
            <w:r>
              <w:rPr>
                <w:rFonts w:hint="eastAsia" w:asciiTheme="minorEastAsia" w:hAnsiTheme="minorEastAsia" w:eastAsiaTheme="minorEastAsia"/>
                <w:color w:val="000000" w:themeColor="text1"/>
                <w:szCs w:val="21"/>
                <w:highlight w:val="none"/>
                <w:lang w:val="zh-CN"/>
              </w:rPr>
              <w:t>序号</w:t>
            </w:r>
          </w:p>
        </w:tc>
        <w:tc>
          <w:tcPr>
            <w:tcW w:w="1890" w:type="dxa"/>
            <w:vAlign w:val="center"/>
          </w:tcPr>
          <w:p>
            <w:pPr>
              <w:autoSpaceDE w:val="0"/>
              <w:autoSpaceDN w:val="0"/>
              <w:jc w:val="center"/>
              <w:rPr>
                <w:rFonts w:asciiTheme="minorEastAsia" w:hAnsiTheme="minorEastAsia" w:eastAsiaTheme="minorEastAsia"/>
                <w:color w:val="000000" w:themeColor="text1"/>
                <w:szCs w:val="21"/>
                <w:highlight w:val="none"/>
              </w:rPr>
            </w:pPr>
            <w:r>
              <w:rPr>
                <w:rFonts w:hint="eastAsia" w:asciiTheme="minorEastAsia" w:hAnsiTheme="minorEastAsia" w:eastAsiaTheme="minorEastAsia"/>
                <w:color w:val="000000" w:themeColor="text1"/>
                <w:szCs w:val="21"/>
                <w:highlight w:val="none"/>
                <w:lang w:val="zh-CN"/>
              </w:rPr>
              <w:t>内容</w:t>
            </w:r>
          </w:p>
        </w:tc>
        <w:tc>
          <w:tcPr>
            <w:tcW w:w="757" w:type="dxa"/>
            <w:vAlign w:val="center"/>
          </w:tcPr>
          <w:p>
            <w:pPr>
              <w:autoSpaceDE w:val="0"/>
              <w:autoSpaceDN w:val="0"/>
              <w:jc w:val="center"/>
              <w:rPr>
                <w:rFonts w:asciiTheme="minorEastAsia" w:hAnsiTheme="minorEastAsia" w:eastAsiaTheme="minorEastAsia"/>
                <w:color w:val="000000" w:themeColor="text1"/>
                <w:szCs w:val="21"/>
                <w:highlight w:val="none"/>
              </w:rPr>
            </w:pPr>
            <w:r>
              <w:rPr>
                <w:rFonts w:hint="eastAsia" w:asciiTheme="minorEastAsia" w:hAnsiTheme="minorEastAsia" w:eastAsiaTheme="minorEastAsia"/>
                <w:color w:val="000000" w:themeColor="text1"/>
                <w:szCs w:val="21"/>
                <w:highlight w:val="none"/>
                <w:lang w:val="zh-CN"/>
              </w:rPr>
              <w:t>权重</w:t>
            </w:r>
          </w:p>
        </w:tc>
        <w:tc>
          <w:tcPr>
            <w:tcW w:w="4591" w:type="dxa"/>
            <w:vAlign w:val="center"/>
          </w:tcPr>
          <w:p>
            <w:pPr>
              <w:autoSpaceDE w:val="0"/>
              <w:autoSpaceDN w:val="0"/>
              <w:jc w:val="center"/>
              <w:rPr>
                <w:rFonts w:asciiTheme="minorEastAsia" w:hAnsiTheme="minorEastAsia" w:eastAsiaTheme="minorEastAsia"/>
                <w:color w:val="000000" w:themeColor="text1"/>
                <w:szCs w:val="21"/>
                <w:highlight w:val="none"/>
              </w:rPr>
            </w:pPr>
            <w:r>
              <w:rPr>
                <w:rFonts w:hint="eastAsia" w:asciiTheme="minorEastAsia" w:hAnsiTheme="minorEastAsia" w:eastAsiaTheme="minorEastAsia"/>
                <w:color w:val="000000" w:themeColor="text1"/>
                <w:szCs w:val="21"/>
                <w:highlight w:val="none"/>
                <w:lang w:val="zh-CN"/>
              </w:rPr>
              <w:t>评分规则</w:t>
            </w:r>
          </w:p>
        </w:tc>
        <w:tc>
          <w:tcPr>
            <w:tcW w:w="1358" w:type="dxa"/>
            <w:vAlign w:val="center"/>
          </w:tcPr>
          <w:p>
            <w:pPr>
              <w:autoSpaceDE w:val="0"/>
              <w:autoSpaceDN w:val="0"/>
              <w:jc w:val="center"/>
              <w:rPr>
                <w:rFonts w:asciiTheme="minorEastAsia" w:hAnsiTheme="minorEastAsia" w:eastAsiaTheme="minorEastAsia"/>
                <w:color w:val="000000" w:themeColor="text1"/>
                <w:szCs w:val="21"/>
                <w:highlight w:val="none"/>
              </w:rPr>
            </w:pPr>
            <w:r>
              <w:rPr>
                <w:rFonts w:hint="eastAsia" w:asciiTheme="minorEastAsia" w:hAnsiTheme="minorEastAsia" w:eastAsiaTheme="minorEastAsia"/>
                <w:color w:val="000000" w:themeColor="text1"/>
                <w:szCs w:val="21"/>
                <w:highlight w:val="none"/>
                <w:lang w:val="zh-CN"/>
              </w:rPr>
              <w:t>评分方式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00" w:hRule="atLeast"/>
          <w:jc w:val="center"/>
        </w:trPr>
        <w:tc>
          <w:tcPr>
            <w:tcW w:w="741" w:type="dxa"/>
            <w:vAlign w:val="center"/>
          </w:tcPr>
          <w:p>
            <w:pPr>
              <w:autoSpaceDE w:val="0"/>
              <w:autoSpaceDN w:val="0"/>
              <w:jc w:val="center"/>
              <w:rPr>
                <w:rFonts w:asciiTheme="minorEastAsia" w:hAnsiTheme="minorEastAsia" w:eastAsiaTheme="minorEastAsia"/>
                <w:color w:val="000000" w:themeColor="text1"/>
                <w:szCs w:val="21"/>
                <w:highlight w:val="none"/>
                <w:lang w:val="zh-CN"/>
              </w:rPr>
            </w:pPr>
            <w:r>
              <w:rPr>
                <w:rFonts w:hint="eastAsia" w:asciiTheme="minorEastAsia" w:hAnsiTheme="minorEastAsia" w:eastAsiaTheme="minorEastAsia"/>
                <w:color w:val="000000" w:themeColor="text1"/>
                <w:szCs w:val="21"/>
                <w:highlight w:val="none"/>
                <w:lang w:val="zh-CN"/>
              </w:rPr>
              <w:t>1</w:t>
            </w:r>
          </w:p>
        </w:tc>
        <w:tc>
          <w:tcPr>
            <w:tcW w:w="1890" w:type="dxa"/>
            <w:shd w:val="clear" w:color="auto" w:fill="auto"/>
            <w:vAlign w:val="center"/>
          </w:tcPr>
          <w:p>
            <w:pPr>
              <w:jc w:val="center"/>
              <w:rPr>
                <w:rFonts w:hint="eastAsia" w:asciiTheme="minorEastAsia" w:hAnsiTheme="minorEastAsia" w:eastAsiaTheme="minorEastAsia"/>
                <w:color w:val="000000" w:themeColor="text1"/>
                <w:szCs w:val="21"/>
                <w:highlight w:val="none"/>
                <w:lang w:eastAsia="zh-CN"/>
              </w:rPr>
            </w:pPr>
            <w:r>
              <w:rPr>
                <w:rFonts w:hint="eastAsia" w:asciiTheme="minorEastAsia" w:hAnsiTheme="minorEastAsia" w:eastAsiaTheme="minorEastAsia"/>
                <w:color w:val="000000" w:themeColor="text1"/>
                <w:szCs w:val="21"/>
                <w:highlight w:val="none"/>
                <w:lang w:eastAsia="zh-CN"/>
              </w:rPr>
              <w:t>项目团队实力</w:t>
            </w:r>
          </w:p>
        </w:tc>
        <w:tc>
          <w:tcPr>
            <w:tcW w:w="757" w:type="dxa"/>
            <w:shd w:val="clear" w:color="auto" w:fill="auto"/>
            <w:vAlign w:val="center"/>
          </w:tcPr>
          <w:p>
            <w:pPr>
              <w:jc w:val="center"/>
              <w:rPr>
                <w:rFonts w:asciiTheme="minorEastAsia" w:hAnsiTheme="minorEastAsia" w:eastAsiaTheme="minorEastAsia"/>
                <w:color w:val="000000" w:themeColor="text1"/>
                <w:szCs w:val="21"/>
                <w:highlight w:val="none"/>
              </w:rPr>
            </w:pPr>
            <w:r>
              <w:rPr>
                <w:rFonts w:hint="eastAsia" w:asciiTheme="minorEastAsia" w:hAnsiTheme="minorEastAsia" w:eastAsiaTheme="minorEastAsia"/>
                <w:color w:val="000000" w:themeColor="text1"/>
                <w:szCs w:val="21"/>
                <w:highlight w:val="none"/>
              </w:rPr>
              <w:t>5</w:t>
            </w:r>
          </w:p>
        </w:tc>
        <w:tc>
          <w:tcPr>
            <w:tcW w:w="4591" w:type="dxa"/>
            <w:shd w:val="clear" w:color="auto" w:fill="auto"/>
            <w:vAlign w:val="center"/>
          </w:tcPr>
          <w:p>
            <w:pPr>
              <w:rPr>
                <w:rFonts w:asciiTheme="minorEastAsia" w:hAnsiTheme="minorEastAsia" w:eastAsiaTheme="minorEastAsia"/>
                <w:color w:val="000000" w:themeColor="text1"/>
                <w:szCs w:val="21"/>
                <w:highlight w:val="none"/>
              </w:rPr>
            </w:pPr>
            <w:r>
              <w:rPr>
                <w:rFonts w:asciiTheme="minorEastAsia" w:hAnsiTheme="minorEastAsia" w:eastAsiaTheme="minorEastAsia"/>
                <w:color w:val="000000" w:themeColor="text1"/>
                <w:szCs w:val="21"/>
                <w:highlight w:val="none"/>
              </w:rPr>
              <w:t>投标方须提供为保障本项目顺利实施所具备的集成</w:t>
            </w:r>
            <w:r>
              <w:rPr>
                <w:rFonts w:hint="eastAsia" w:asciiTheme="minorEastAsia" w:hAnsiTheme="minorEastAsia" w:eastAsiaTheme="minorEastAsia"/>
                <w:color w:val="000000" w:themeColor="text1"/>
                <w:szCs w:val="21"/>
                <w:highlight w:val="none"/>
              </w:rPr>
              <w:t>、</w:t>
            </w:r>
            <w:r>
              <w:rPr>
                <w:rFonts w:asciiTheme="minorEastAsia" w:hAnsiTheme="minorEastAsia" w:eastAsiaTheme="minorEastAsia"/>
                <w:color w:val="000000" w:themeColor="text1"/>
                <w:szCs w:val="21"/>
                <w:highlight w:val="none"/>
              </w:rPr>
              <w:t>运维能力和配备的项目实施团队</w:t>
            </w:r>
            <w:r>
              <w:rPr>
                <w:rFonts w:hint="eastAsia" w:asciiTheme="minorEastAsia" w:hAnsiTheme="minorEastAsia" w:eastAsiaTheme="minorEastAsia"/>
                <w:color w:val="000000" w:themeColor="text1"/>
                <w:szCs w:val="21"/>
                <w:highlight w:val="none"/>
              </w:rPr>
              <w:t>，具体要求如下：</w:t>
            </w:r>
          </w:p>
          <w:p>
            <w:pPr>
              <w:rPr>
                <w:rFonts w:asciiTheme="minorEastAsia" w:hAnsiTheme="minorEastAsia" w:eastAsiaTheme="minorEastAsia"/>
                <w:color w:val="000000" w:themeColor="text1"/>
                <w:szCs w:val="21"/>
                <w:highlight w:val="none"/>
              </w:rPr>
            </w:pPr>
            <w:r>
              <w:rPr>
                <w:rFonts w:hint="eastAsia" w:asciiTheme="minorEastAsia" w:hAnsiTheme="minorEastAsia" w:eastAsiaTheme="minorEastAsia"/>
                <w:color w:val="000000" w:themeColor="text1"/>
                <w:szCs w:val="21"/>
                <w:highlight w:val="none"/>
              </w:rPr>
              <w:t>1、项目负责人1人，该负责人具备：</w:t>
            </w:r>
            <w:bookmarkStart w:id="27" w:name="OLE_LINK1"/>
          </w:p>
          <w:p>
            <w:pPr>
              <w:rPr>
                <w:rFonts w:asciiTheme="minorEastAsia" w:hAnsiTheme="minorEastAsia" w:eastAsiaTheme="minorEastAsia"/>
                <w:color w:val="000000" w:themeColor="text1"/>
                <w:szCs w:val="21"/>
                <w:highlight w:val="none"/>
              </w:rPr>
            </w:pPr>
            <w:r>
              <w:rPr>
                <w:rFonts w:hint="eastAsia" w:asciiTheme="minorEastAsia" w:hAnsiTheme="minorEastAsia" w:eastAsiaTheme="minorEastAsia"/>
                <w:color w:val="000000" w:themeColor="text1"/>
                <w:szCs w:val="21"/>
                <w:highlight w:val="none"/>
              </w:rPr>
              <w:t>1）智能管理中心技术专家资质的得1分；</w:t>
            </w:r>
          </w:p>
          <w:p>
            <w:pPr>
              <w:rPr>
                <w:rFonts w:asciiTheme="minorEastAsia" w:hAnsiTheme="minorEastAsia" w:eastAsiaTheme="minorEastAsia"/>
                <w:color w:val="000000" w:themeColor="text1"/>
                <w:szCs w:val="21"/>
                <w:highlight w:val="none"/>
              </w:rPr>
            </w:pPr>
            <w:r>
              <w:rPr>
                <w:rFonts w:hint="eastAsia" w:asciiTheme="minorEastAsia" w:hAnsiTheme="minorEastAsia" w:eastAsiaTheme="minorEastAsia"/>
                <w:color w:val="000000" w:themeColor="text1"/>
                <w:szCs w:val="21"/>
                <w:highlight w:val="none"/>
              </w:rPr>
              <w:t>2）路由交换网络高级工程师资质</w:t>
            </w:r>
            <w:bookmarkEnd w:id="27"/>
            <w:r>
              <w:rPr>
                <w:rFonts w:hint="eastAsia" w:asciiTheme="minorEastAsia" w:hAnsiTheme="minorEastAsia" w:eastAsiaTheme="minorEastAsia"/>
                <w:color w:val="000000" w:themeColor="text1"/>
                <w:szCs w:val="21"/>
                <w:highlight w:val="none"/>
              </w:rPr>
              <w:t>的得1分；</w:t>
            </w:r>
          </w:p>
          <w:p>
            <w:pPr>
              <w:rPr>
                <w:rFonts w:asciiTheme="minorEastAsia" w:hAnsiTheme="minorEastAsia" w:eastAsiaTheme="minorEastAsia"/>
                <w:color w:val="000000" w:themeColor="text1"/>
                <w:szCs w:val="21"/>
                <w:highlight w:val="none"/>
              </w:rPr>
            </w:pPr>
            <w:r>
              <w:rPr>
                <w:rFonts w:hint="eastAsia" w:asciiTheme="minorEastAsia" w:hAnsiTheme="minorEastAsia" w:eastAsiaTheme="minorEastAsia"/>
                <w:color w:val="000000" w:themeColor="text1"/>
                <w:szCs w:val="21"/>
                <w:highlight w:val="none"/>
              </w:rPr>
              <w:t>2、团队成员总人数要求至少</w:t>
            </w:r>
            <w:r>
              <w:rPr>
                <w:rFonts w:asciiTheme="minorEastAsia" w:hAnsiTheme="minorEastAsia" w:eastAsiaTheme="minorEastAsia"/>
                <w:color w:val="000000" w:themeColor="text1"/>
                <w:szCs w:val="21"/>
                <w:highlight w:val="none"/>
              </w:rPr>
              <w:t>5</w:t>
            </w:r>
            <w:r>
              <w:rPr>
                <w:rFonts w:hint="eastAsia" w:asciiTheme="minorEastAsia" w:hAnsiTheme="minorEastAsia" w:eastAsiaTheme="minorEastAsia"/>
                <w:color w:val="000000" w:themeColor="text1"/>
                <w:szCs w:val="21"/>
                <w:highlight w:val="none"/>
              </w:rPr>
              <w:t>人（不含项目负责人），未达到人数要求的，不得分。在此基础上，考察内容：</w:t>
            </w:r>
          </w:p>
          <w:p>
            <w:pPr>
              <w:rPr>
                <w:rFonts w:asciiTheme="minorEastAsia" w:hAnsiTheme="minorEastAsia" w:eastAsiaTheme="minorEastAsia"/>
                <w:color w:val="000000" w:themeColor="text1"/>
                <w:szCs w:val="21"/>
                <w:highlight w:val="none"/>
              </w:rPr>
            </w:pPr>
            <w:r>
              <w:rPr>
                <w:rFonts w:hint="eastAsia" w:asciiTheme="minorEastAsia" w:hAnsiTheme="minorEastAsia" w:eastAsiaTheme="minorEastAsia"/>
                <w:color w:val="000000" w:themeColor="text1"/>
                <w:szCs w:val="21"/>
                <w:highlight w:val="none"/>
              </w:rPr>
              <w:t>拟安排的项目</w:t>
            </w:r>
            <w:r>
              <w:rPr>
                <w:rFonts w:hint="eastAsia" w:asciiTheme="minorEastAsia" w:hAnsiTheme="minorEastAsia" w:eastAsiaTheme="minorEastAsia"/>
                <w:color w:val="000000" w:themeColor="text1"/>
                <w:szCs w:val="21"/>
                <w:highlight w:val="none"/>
                <w:lang w:eastAsia="zh-CN"/>
              </w:rPr>
              <w:t>团队</w:t>
            </w:r>
            <w:r>
              <w:rPr>
                <w:rFonts w:asciiTheme="minorEastAsia" w:hAnsiTheme="minorEastAsia" w:eastAsiaTheme="minorEastAsia"/>
                <w:color w:val="000000" w:themeColor="text1"/>
                <w:szCs w:val="21"/>
                <w:highlight w:val="none"/>
              </w:rPr>
              <w:t>同时具备</w:t>
            </w:r>
            <w:r>
              <w:rPr>
                <w:rFonts w:hint="eastAsia" w:asciiTheme="minorEastAsia" w:hAnsiTheme="minorEastAsia" w:eastAsiaTheme="minorEastAsia"/>
                <w:color w:val="000000" w:themeColor="text1"/>
                <w:szCs w:val="21"/>
                <w:highlight w:val="none"/>
              </w:rPr>
              <w:t>信息系统项目管理师（高级）</w:t>
            </w:r>
            <w:r>
              <w:rPr>
                <w:rFonts w:asciiTheme="minorEastAsia" w:hAnsiTheme="minorEastAsia" w:eastAsiaTheme="minorEastAsia"/>
                <w:color w:val="000000" w:themeColor="text1"/>
                <w:szCs w:val="21"/>
                <w:highlight w:val="none"/>
              </w:rPr>
              <w:t>、系统架构师、</w:t>
            </w:r>
            <w:r>
              <w:rPr>
                <w:rFonts w:hint="eastAsia" w:asciiTheme="minorEastAsia" w:hAnsiTheme="minorEastAsia" w:eastAsiaTheme="minorEastAsia"/>
                <w:color w:val="000000" w:themeColor="text1"/>
                <w:szCs w:val="21"/>
                <w:highlight w:val="none"/>
              </w:rPr>
              <w:t>注册信息安全工程师</w:t>
            </w:r>
            <w:r>
              <w:rPr>
                <w:rFonts w:asciiTheme="minorEastAsia" w:hAnsiTheme="minorEastAsia" w:eastAsiaTheme="minorEastAsia"/>
                <w:color w:val="000000" w:themeColor="text1"/>
                <w:szCs w:val="21"/>
                <w:highlight w:val="none"/>
              </w:rPr>
              <w:t>、系统分析师、</w:t>
            </w:r>
            <w:r>
              <w:rPr>
                <w:rFonts w:hint="eastAsia" w:asciiTheme="minorEastAsia" w:hAnsiTheme="minorEastAsia" w:eastAsiaTheme="minorEastAsia"/>
                <w:color w:val="000000" w:themeColor="text1"/>
                <w:szCs w:val="21"/>
                <w:highlight w:val="none"/>
              </w:rPr>
              <w:t>网络工程师五</w:t>
            </w:r>
            <w:r>
              <w:rPr>
                <w:rFonts w:asciiTheme="minorEastAsia" w:hAnsiTheme="minorEastAsia" w:eastAsiaTheme="minorEastAsia"/>
                <w:color w:val="000000" w:themeColor="text1"/>
                <w:szCs w:val="21"/>
                <w:highlight w:val="none"/>
              </w:rPr>
              <w:t>类资格人员得</w:t>
            </w:r>
            <w:r>
              <w:rPr>
                <w:rFonts w:hint="eastAsia" w:asciiTheme="minorEastAsia" w:hAnsiTheme="minorEastAsia" w:eastAsiaTheme="minorEastAsia"/>
                <w:color w:val="000000" w:themeColor="text1"/>
                <w:szCs w:val="21"/>
                <w:highlight w:val="none"/>
              </w:rPr>
              <w:t>3</w:t>
            </w:r>
            <w:r>
              <w:rPr>
                <w:rFonts w:asciiTheme="minorEastAsia" w:hAnsiTheme="minorEastAsia" w:eastAsiaTheme="minorEastAsia"/>
                <w:color w:val="000000" w:themeColor="text1"/>
                <w:szCs w:val="21"/>
                <w:highlight w:val="none"/>
              </w:rPr>
              <w:t>分，四类得</w:t>
            </w:r>
            <w:r>
              <w:rPr>
                <w:rFonts w:hint="eastAsia" w:asciiTheme="minorEastAsia" w:hAnsiTheme="minorEastAsia" w:eastAsiaTheme="minorEastAsia"/>
                <w:color w:val="000000" w:themeColor="text1"/>
                <w:szCs w:val="21"/>
                <w:highlight w:val="none"/>
              </w:rPr>
              <w:t>2</w:t>
            </w:r>
            <w:r>
              <w:rPr>
                <w:rFonts w:asciiTheme="minorEastAsia" w:hAnsiTheme="minorEastAsia" w:eastAsiaTheme="minorEastAsia"/>
                <w:color w:val="000000" w:themeColor="text1"/>
                <w:szCs w:val="21"/>
                <w:highlight w:val="none"/>
              </w:rPr>
              <w:t>分，</w:t>
            </w:r>
            <w:r>
              <w:rPr>
                <w:rFonts w:hint="eastAsia" w:asciiTheme="minorEastAsia" w:hAnsiTheme="minorEastAsia" w:eastAsiaTheme="minorEastAsia"/>
                <w:color w:val="000000" w:themeColor="text1"/>
                <w:szCs w:val="21"/>
                <w:highlight w:val="none"/>
              </w:rPr>
              <w:t>三类得1分，</w:t>
            </w:r>
            <w:r>
              <w:rPr>
                <w:rFonts w:asciiTheme="minorEastAsia" w:hAnsiTheme="minorEastAsia" w:eastAsiaTheme="minorEastAsia"/>
                <w:color w:val="000000" w:themeColor="text1"/>
                <w:szCs w:val="21"/>
                <w:highlight w:val="none"/>
              </w:rPr>
              <w:t>不足</w:t>
            </w:r>
            <w:r>
              <w:rPr>
                <w:rFonts w:hint="eastAsia" w:asciiTheme="minorEastAsia" w:hAnsiTheme="minorEastAsia" w:eastAsiaTheme="minorEastAsia"/>
                <w:color w:val="000000" w:themeColor="text1"/>
                <w:szCs w:val="21"/>
                <w:highlight w:val="none"/>
              </w:rPr>
              <w:t>三</w:t>
            </w:r>
            <w:r>
              <w:rPr>
                <w:rFonts w:asciiTheme="minorEastAsia" w:hAnsiTheme="minorEastAsia" w:eastAsiaTheme="minorEastAsia"/>
                <w:color w:val="000000" w:themeColor="text1"/>
                <w:szCs w:val="21"/>
                <w:highlight w:val="none"/>
              </w:rPr>
              <w:t>类得</w:t>
            </w:r>
            <w:r>
              <w:rPr>
                <w:rFonts w:hint="eastAsia" w:asciiTheme="minorEastAsia" w:hAnsiTheme="minorEastAsia" w:eastAsiaTheme="minorEastAsia"/>
                <w:color w:val="000000" w:themeColor="text1"/>
                <w:szCs w:val="21"/>
                <w:highlight w:val="none"/>
              </w:rPr>
              <w:t>0</w:t>
            </w:r>
            <w:r>
              <w:rPr>
                <w:rFonts w:asciiTheme="minorEastAsia" w:hAnsiTheme="minorEastAsia" w:eastAsiaTheme="minorEastAsia"/>
                <w:color w:val="000000" w:themeColor="text1"/>
                <w:szCs w:val="21"/>
                <w:highlight w:val="none"/>
              </w:rPr>
              <w:t>分</w:t>
            </w:r>
            <w:r>
              <w:rPr>
                <w:rFonts w:hint="eastAsia" w:asciiTheme="minorEastAsia" w:hAnsiTheme="minorEastAsia" w:eastAsiaTheme="minorEastAsia"/>
                <w:color w:val="000000" w:themeColor="text1"/>
                <w:szCs w:val="21"/>
                <w:highlight w:val="none"/>
              </w:rPr>
              <w:t>，同一人员具备以上资格可累计得分。</w:t>
            </w:r>
          </w:p>
          <w:p>
            <w:pPr>
              <w:rPr>
                <w:rFonts w:asciiTheme="minorEastAsia" w:hAnsiTheme="minorEastAsia" w:eastAsiaTheme="minorEastAsia"/>
                <w:color w:val="000000" w:themeColor="text1"/>
                <w:szCs w:val="21"/>
                <w:highlight w:val="none"/>
              </w:rPr>
            </w:pPr>
            <w:r>
              <w:rPr>
                <w:rFonts w:hint="eastAsia" w:asciiTheme="minorEastAsia" w:hAnsiTheme="minorEastAsia" w:eastAsiaTheme="minorEastAsia"/>
                <w:color w:val="000000" w:themeColor="text1"/>
                <w:szCs w:val="21"/>
                <w:highlight w:val="none"/>
              </w:rPr>
              <w:t>1、2项累计得分，最高得5分。</w:t>
            </w:r>
          </w:p>
          <w:p>
            <w:pPr>
              <w:spacing w:after="60"/>
              <w:rPr>
                <w:rFonts w:asciiTheme="minorEastAsia" w:hAnsiTheme="minorEastAsia" w:eastAsiaTheme="minorEastAsia"/>
                <w:color w:val="000000" w:themeColor="text1"/>
                <w:szCs w:val="21"/>
                <w:highlight w:val="none"/>
              </w:rPr>
            </w:pPr>
            <w:r>
              <w:rPr>
                <w:rFonts w:hint="eastAsia" w:asciiTheme="minorEastAsia" w:hAnsiTheme="minorEastAsia" w:eastAsiaTheme="minorEastAsia"/>
                <w:color w:val="000000" w:themeColor="text1"/>
                <w:szCs w:val="21"/>
                <w:highlight w:val="none"/>
              </w:rPr>
              <w:t>注：投标人须在投标文件中提供以上人员证书的扫描件，原件备查，并提供上述人员由投标人为其缴交的载有社保部门公章的近三个月社保缴交证明材料（已退休返聘人员需提供聘用合同）以及执业年限有效证明文件，如开标日上一个月的社保材料因社保部门原因暂时无法取得，则可以往前顺延一个月；社保资料必须至少显示缴交养老保险信息，未显示该信息的该社保资料则不符合要求，原件备查。</w:t>
            </w:r>
          </w:p>
        </w:tc>
        <w:tc>
          <w:tcPr>
            <w:tcW w:w="1358" w:type="dxa"/>
            <w:vAlign w:val="center"/>
          </w:tcPr>
          <w:p>
            <w:pPr>
              <w:autoSpaceDE w:val="0"/>
              <w:autoSpaceDN w:val="0"/>
              <w:jc w:val="center"/>
              <w:rPr>
                <w:rFonts w:asciiTheme="minorEastAsia" w:hAnsiTheme="minorEastAsia" w:eastAsiaTheme="minorEastAsia"/>
                <w:color w:val="000000" w:themeColor="text1"/>
                <w:szCs w:val="21"/>
                <w:highlight w:val="none"/>
                <w:lang w:val="zh-CN"/>
              </w:rPr>
            </w:pPr>
            <w:r>
              <w:rPr>
                <w:rFonts w:hint="eastAsia" w:asciiTheme="minorEastAsia" w:hAnsiTheme="minorEastAsia" w:eastAsiaTheme="minorEastAsia"/>
                <w:color w:val="000000" w:themeColor="text1"/>
                <w:szCs w:val="21"/>
                <w:highlight w:val="none"/>
              </w:rPr>
              <w:t>专家打分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00" w:hRule="atLeast"/>
          <w:jc w:val="center"/>
        </w:trPr>
        <w:tc>
          <w:tcPr>
            <w:tcW w:w="741" w:type="dxa"/>
            <w:vAlign w:val="center"/>
          </w:tcPr>
          <w:p>
            <w:pPr>
              <w:autoSpaceDE w:val="0"/>
              <w:autoSpaceDN w:val="0"/>
              <w:jc w:val="center"/>
              <w:rPr>
                <w:rFonts w:asciiTheme="minorEastAsia" w:hAnsiTheme="minorEastAsia" w:eastAsiaTheme="minorEastAsia"/>
                <w:color w:val="000000" w:themeColor="text1"/>
                <w:szCs w:val="21"/>
                <w:highlight w:val="none"/>
                <w:lang w:val="zh-CN"/>
              </w:rPr>
            </w:pPr>
            <w:r>
              <w:rPr>
                <w:rFonts w:hint="eastAsia" w:asciiTheme="minorEastAsia" w:hAnsiTheme="minorEastAsia" w:eastAsiaTheme="minorEastAsia"/>
                <w:color w:val="000000" w:themeColor="text1"/>
                <w:szCs w:val="21"/>
                <w:highlight w:val="none"/>
                <w:lang w:val="zh-CN"/>
              </w:rPr>
              <w:t>2</w:t>
            </w:r>
          </w:p>
        </w:tc>
        <w:tc>
          <w:tcPr>
            <w:tcW w:w="1890" w:type="dxa"/>
            <w:shd w:val="clear" w:color="auto" w:fill="auto"/>
            <w:vAlign w:val="center"/>
          </w:tcPr>
          <w:p>
            <w:pPr>
              <w:jc w:val="center"/>
              <w:rPr>
                <w:rFonts w:asciiTheme="minorEastAsia" w:hAnsiTheme="minorEastAsia" w:eastAsiaTheme="minorEastAsia"/>
                <w:color w:val="000000" w:themeColor="text1"/>
                <w:szCs w:val="21"/>
                <w:highlight w:val="none"/>
              </w:rPr>
            </w:pPr>
            <w:r>
              <w:rPr>
                <w:rFonts w:hint="eastAsia" w:asciiTheme="minorEastAsia" w:hAnsiTheme="minorEastAsia" w:eastAsiaTheme="minorEastAsia"/>
                <w:color w:val="000000" w:themeColor="text1"/>
                <w:szCs w:val="21"/>
                <w:highlight w:val="none"/>
              </w:rPr>
              <w:t>技术规格偏离情况</w:t>
            </w:r>
          </w:p>
        </w:tc>
        <w:tc>
          <w:tcPr>
            <w:tcW w:w="757" w:type="dxa"/>
            <w:shd w:val="clear" w:color="auto" w:fill="auto"/>
            <w:vAlign w:val="center"/>
          </w:tcPr>
          <w:p>
            <w:pPr>
              <w:jc w:val="center"/>
              <w:rPr>
                <w:rFonts w:asciiTheme="minorEastAsia" w:hAnsiTheme="minorEastAsia" w:eastAsiaTheme="minorEastAsia"/>
                <w:color w:val="000000" w:themeColor="text1"/>
                <w:szCs w:val="21"/>
                <w:highlight w:val="none"/>
              </w:rPr>
            </w:pPr>
            <w:r>
              <w:rPr>
                <w:rFonts w:hint="eastAsia" w:asciiTheme="minorEastAsia" w:hAnsiTheme="minorEastAsia" w:eastAsiaTheme="minorEastAsia"/>
                <w:color w:val="000000" w:themeColor="text1"/>
                <w:szCs w:val="21"/>
                <w:highlight w:val="none"/>
              </w:rPr>
              <w:t>47</w:t>
            </w:r>
          </w:p>
        </w:tc>
        <w:tc>
          <w:tcPr>
            <w:tcW w:w="4591" w:type="dxa"/>
            <w:shd w:val="clear" w:color="auto" w:fill="auto"/>
            <w:vAlign w:val="center"/>
          </w:tcPr>
          <w:p>
            <w:pPr>
              <w:spacing w:after="60" w:line="320" w:lineRule="exact"/>
              <w:rPr>
                <w:rFonts w:asciiTheme="minorEastAsia" w:hAnsiTheme="minorEastAsia" w:eastAsiaTheme="minorEastAsia"/>
                <w:color w:val="000000" w:themeColor="text1"/>
                <w:szCs w:val="21"/>
                <w:highlight w:val="none"/>
              </w:rPr>
            </w:pPr>
            <w:r>
              <w:rPr>
                <w:rFonts w:hint="eastAsia" w:asciiTheme="minorEastAsia" w:hAnsiTheme="minorEastAsia" w:eastAsiaTheme="minorEastAsia"/>
                <w:color w:val="000000" w:themeColor="text1"/>
                <w:szCs w:val="21"/>
                <w:highlight w:val="none"/>
              </w:rPr>
              <w:t>投标人应如实填写《技术规格偏离表》，评审委员会根据技术需求参数响应情况进行打分，各项技术参数指标及要求全部满足的得47分，带▲的参数为最重要的参数，每负偏离一项扣3分；其他参数为一般参数，每负偏离一项扣1分，分数扣完为止，最低分</w:t>
            </w:r>
            <w:r>
              <w:rPr>
                <w:rFonts w:asciiTheme="minorEastAsia" w:hAnsiTheme="minorEastAsia" w:eastAsiaTheme="minorEastAsia"/>
                <w:color w:val="000000" w:themeColor="text1"/>
                <w:szCs w:val="21"/>
                <w:highlight w:val="none"/>
              </w:rPr>
              <w:t>0</w:t>
            </w:r>
            <w:r>
              <w:rPr>
                <w:rFonts w:hint="eastAsia" w:asciiTheme="minorEastAsia" w:hAnsiTheme="minorEastAsia" w:eastAsiaTheme="minorEastAsia"/>
                <w:color w:val="000000" w:themeColor="text1"/>
                <w:szCs w:val="21"/>
                <w:highlight w:val="none"/>
              </w:rPr>
              <w:t>分。</w:t>
            </w:r>
          </w:p>
        </w:tc>
        <w:tc>
          <w:tcPr>
            <w:tcW w:w="1358" w:type="dxa"/>
            <w:vAlign w:val="center"/>
          </w:tcPr>
          <w:p>
            <w:pPr>
              <w:autoSpaceDE w:val="0"/>
              <w:autoSpaceDN w:val="0"/>
              <w:jc w:val="center"/>
              <w:rPr>
                <w:rFonts w:asciiTheme="minorEastAsia" w:hAnsiTheme="minorEastAsia" w:eastAsiaTheme="minorEastAsia"/>
                <w:color w:val="000000" w:themeColor="text1"/>
                <w:szCs w:val="21"/>
                <w:highlight w:val="none"/>
                <w:lang w:val="zh-CN"/>
              </w:rPr>
            </w:pPr>
            <w:r>
              <w:rPr>
                <w:rFonts w:hint="eastAsia" w:asciiTheme="minorEastAsia" w:hAnsiTheme="minorEastAsia" w:eastAsiaTheme="minorEastAsia"/>
                <w:color w:val="000000" w:themeColor="text1"/>
                <w:szCs w:val="21"/>
                <w:highlight w:val="none"/>
              </w:rPr>
              <w:t>专家打分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8" w:hRule="atLeast"/>
          <w:jc w:val="center"/>
        </w:trPr>
        <w:tc>
          <w:tcPr>
            <w:tcW w:w="7979" w:type="dxa"/>
            <w:gridSpan w:val="4"/>
            <w:vAlign w:val="center"/>
          </w:tcPr>
          <w:p>
            <w:pPr>
              <w:autoSpaceDE w:val="0"/>
              <w:autoSpaceDN w:val="0"/>
              <w:jc w:val="center"/>
              <w:rPr>
                <w:rFonts w:asciiTheme="minorEastAsia" w:hAnsiTheme="minorEastAsia" w:eastAsiaTheme="minorEastAsia"/>
                <w:color w:val="000000" w:themeColor="text1"/>
                <w:szCs w:val="21"/>
                <w:highlight w:val="none"/>
              </w:rPr>
            </w:pPr>
            <w:r>
              <w:rPr>
                <w:rFonts w:hint="eastAsia" w:asciiTheme="minorEastAsia" w:hAnsiTheme="minorEastAsia" w:eastAsiaTheme="minorEastAsia"/>
                <w:b/>
                <w:color w:val="000000" w:themeColor="text1"/>
                <w:szCs w:val="21"/>
                <w:highlight w:val="none"/>
                <w:lang w:val="zh-CN"/>
              </w:rPr>
              <w:t>三、商务部分</w:t>
            </w:r>
          </w:p>
        </w:tc>
        <w:tc>
          <w:tcPr>
            <w:tcW w:w="1358" w:type="dxa"/>
            <w:vAlign w:val="center"/>
          </w:tcPr>
          <w:p>
            <w:pPr>
              <w:autoSpaceDE w:val="0"/>
              <w:autoSpaceDN w:val="0"/>
              <w:jc w:val="center"/>
              <w:rPr>
                <w:rFonts w:asciiTheme="minorEastAsia" w:hAnsiTheme="minorEastAsia" w:eastAsiaTheme="minorEastAsia"/>
                <w:color w:val="000000" w:themeColor="text1"/>
                <w:szCs w:val="21"/>
                <w:highlight w:val="none"/>
              </w:rPr>
            </w:pPr>
            <w:r>
              <w:rPr>
                <w:rFonts w:hint="eastAsia" w:asciiTheme="minorEastAsia" w:hAnsiTheme="minorEastAsia" w:eastAsiaTheme="minorEastAsia"/>
                <w:color w:val="000000" w:themeColor="text1"/>
                <w:szCs w:val="21"/>
                <w:highlight w:val="none"/>
                <w:lang w:val="zh-CN"/>
              </w:rPr>
              <w:t>18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1" w:hRule="atLeast"/>
          <w:jc w:val="center"/>
        </w:trPr>
        <w:tc>
          <w:tcPr>
            <w:tcW w:w="741" w:type="dxa"/>
            <w:vAlign w:val="center"/>
          </w:tcPr>
          <w:p>
            <w:pPr>
              <w:autoSpaceDE w:val="0"/>
              <w:autoSpaceDN w:val="0"/>
              <w:jc w:val="center"/>
              <w:rPr>
                <w:rFonts w:asciiTheme="minorEastAsia" w:hAnsiTheme="minorEastAsia" w:eastAsiaTheme="minorEastAsia"/>
                <w:color w:val="000000" w:themeColor="text1"/>
                <w:szCs w:val="21"/>
                <w:highlight w:val="none"/>
              </w:rPr>
            </w:pPr>
            <w:r>
              <w:rPr>
                <w:rFonts w:hint="eastAsia" w:asciiTheme="minorEastAsia" w:hAnsiTheme="minorEastAsia" w:eastAsiaTheme="minorEastAsia"/>
                <w:color w:val="000000" w:themeColor="text1"/>
                <w:szCs w:val="21"/>
                <w:highlight w:val="none"/>
                <w:lang w:val="zh-CN"/>
              </w:rPr>
              <w:t>序号</w:t>
            </w:r>
          </w:p>
        </w:tc>
        <w:tc>
          <w:tcPr>
            <w:tcW w:w="1890" w:type="dxa"/>
            <w:vAlign w:val="center"/>
          </w:tcPr>
          <w:p>
            <w:pPr>
              <w:autoSpaceDE w:val="0"/>
              <w:autoSpaceDN w:val="0"/>
              <w:jc w:val="center"/>
              <w:rPr>
                <w:rFonts w:asciiTheme="minorEastAsia" w:hAnsiTheme="minorEastAsia" w:eastAsiaTheme="minorEastAsia"/>
                <w:color w:val="000000" w:themeColor="text1"/>
                <w:szCs w:val="21"/>
                <w:highlight w:val="none"/>
              </w:rPr>
            </w:pPr>
            <w:r>
              <w:rPr>
                <w:rFonts w:hint="eastAsia" w:asciiTheme="minorEastAsia" w:hAnsiTheme="minorEastAsia" w:eastAsiaTheme="minorEastAsia"/>
                <w:color w:val="000000" w:themeColor="text1"/>
                <w:szCs w:val="21"/>
                <w:highlight w:val="none"/>
                <w:lang w:val="zh-CN"/>
              </w:rPr>
              <w:t>内容</w:t>
            </w:r>
          </w:p>
        </w:tc>
        <w:tc>
          <w:tcPr>
            <w:tcW w:w="757" w:type="dxa"/>
            <w:vAlign w:val="center"/>
          </w:tcPr>
          <w:p>
            <w:pPr>
              <w:autoSpaceDE w:val="0"/>
              <w:autoSpaceDN w:val="0"/>
              <w:jc w:val="center"/>
              <w:rPr>
                <w:rFonts w:asciiTheme="minorEastAsia" w:hAnsiTheme="minorEastAsia" w:eastAsiaTheme="minorEastAsia"/>
                <w:color w:val="000000" w:themeColor="text1"/>
                <w:szCs w:val="21"/>
                <w:highlight w:val="none"/>
              </w:rPr>
            </w:pPr>
            <w:r>
              <w:rPr>
                <w:rFonts w:hint="eastAsia" w:asciiTheme="minorEastAsia" w:hAnsiTheme="minorEastAsia" w:eastAsiaTheme="minorEastAsia"/>
                <w:color w:val="000000" w:themeColor="text1"/>
                <w:szCs w:val="21"/>
                <w:highlight w:val="none"/>
                <w:lang w:val="zh-CN"/>
              </w:rPr>
              <w:t>权重</w:t>
            </w:r>
          </w:p>
        </w:tc>
        <w:tc>
          <w:tcPr>
            <w:tcW w:w="4591" w:type="dxa"/>
            <w:vAlign w:val="center"/>
          </w:tcPr>
          <w:p>
            <w:pPr>
              <w:autoSpaceDE w:val="0"/>
              <w:autoSpaceDN w:val="0"/>
              <w:jc w:val="center"/>
              <w:rPr>
                <w:rFonts w:asciiTheme="minorEastAsia" w:hAnsiTheme="minorEastAsia" w:eastAsiaTheme="minorEastAsia"/>
                <w:color w:val="000000" w:themeColor="text1"/>
                <w:szCs w:val="21"/>
                <w:highlight w:val="none"/>
              </w:rPr>
            </w:pPr>
            <w:r>
              <w:rPr>
                <w:rFonts w:hint="eastAsia" w:asciiTheme="minorEastAsia" w:hAnsiTheme="minorEastAsia" w:eastAsiaTheme="minorEastAsia"/>
                <w:color w:val="000000" w:themeColor="text1"/>
                <w:szCs w:val="21"/>
                <w:highlight w:val="none"/>
                <w:lang w:val="zh-CN"/>
              </w:rPr>
              <w:t>评分规则</w:t>
            </w:r>
          </w:p>
        </w:tc>
        <w:tc>
          <w:tcPr>
            <w:tcW w:w="1358" w:type="dxa"/>
            <w:vAlign w:val="center"/>
          </w:tcPr>
          <w:p>
            <w:pPr>
              <w:autoSpaceDE w:val="0"/>
              <w:autoSpaceDN w:val="0"/>
              <w:jc w:val="center"/>
              <w:rPr>
                <w:rFonts w:asciiTheme="minorEastAsia" w:hAnsiTheme="minorEastAsia" w:eastAsiaTheme="minorEastAsia"/>
                <w:color w:val="000000" w:themeColor="text1"/>
                <w:szCs w:val="21"/>
                <w:highlight w:val="none"/>
              </w:rPr>
            </w:pPr>
            <w:r>
              <w:rPr>
                <w:rFonts w:hint="eastAsia" w:asciiTheme="minorEastAsia" w:hAnsiTheme="minorEastAsia" w:eastAsiaTheme="minorEastAsia"/>
                <w:color w:val="000000" w:themeColor="text1"/>
                <w:szCs w:val="21"/>
                <w:highlight w:val="none"/>
                <w:lang w:val="zh-CN"/>
              </w:rPr>
              <w:t>评分方式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1" w:hRule="atLeast"/>
          <w:jc w:val="center"/>
        </w:trPr>
        <w:tc>
          <w:tcPr>
            <w:tcW w:w="741" w:type="dxa"/>
            <w:vAlign w:val="center"/>
          </w:tcPr>
          <w:p>
            <w:pPr>
              <w:spacing w:line="240" w:lineRule="exact"/>
              <w:jc w:val="center"/>
              <w:rPr>
                <w:rFonts w:asciiTheme="minorEastAsia" w:hAnsiTheme="minorEastAsia" w:eastAsiaTheme="minorEastAsia"/>
                <w:color w:val="000000" w:themeColor="text1"/>
                <w:szCs w:val="21"/>
                <w:highlight w:val="none"/>
              </w:rPr>
            </w:pPr>
            <w:r>
              <w:rPr>
                <w:rFonts w:hint="eastAsia" w:asciiTheme="minorEastAsia" w:hAnsiTheme="minorEastAsia" w:eastAsiaTheme="minorEastAsia"/>
                <w:color w:val="000000" w:themeColor="text1"/>
                <w:szCs w:val="21"/>
                <w:highlight w:val="none"/>
              </w:rPr>
              <w:t>1</w:t>
            </w:r>
          </w:p>
        </w:tc>
        <w:tc>
          <w:tcPr>
            <w:tcW w:w="1890" w:type="dxa"/>
            <w:vAlign w:val="center"/>
          </w:tcPr>
          <w:p>
            <w:pPr>
              <w:spacing w:line="240" w:lineRule="exact"/>
              <w:jc w:val="center"/>
              <w:rPr>
                <w:rFonts w:asciiTheme="minorEastAsia" w:hAnsiTheme="minorEastAsia" w:eastAsiaTheme="minorEastAsia"/>
                <w:color w:val="000000" w:themeColor="text1"/>
                <w:szCs w:val="21"/>
                <w:highlight w:val="none"/>
              </w:rPr>
            </w:pPr>
            <w:r>
              <w:rPr>
                <w:rFonts w:hint="eastAsia" w:asciiTheme="minorEastAsia" w:hAnsiTheme="minorEastAsia" w:eastAsiaTheme="minorEastAsia"/>
                <w:color w:val="000000" w:themeColor="text1"/>
                <w:szCs w:val="21"/>
                <w:highlight w:val="none"/>
              </w:rPr>
              <w:t>公司实力</w:t>
            </w:r>
          </w:p>
        </w:tc>
        <w:tc>
          <w:tcPr>
            <w:tcW w:w="757" w:type="dxa"/>
            <w:vAlign w:val="center"/>
          </w:tcPr>
          <w:p>
            <w:pPr>
              <w:spacing w:line="240" w:lineRule="exact"/>
              <w:jc w:val="center"/>
              <w:rPr>
                <w:rFonts w:asciiTheme="minorEastAsia" w:hAnsiTheme="minorEastAsia" w:eastAsiaTheme="minorEastAsia"/>
                <w:color w:val="000000" w:themeColor="text1"/>
                <w:szCs w:val="21"/>
                <w:highlight w:val="none"/>
              </w:rPr>
            </w:pPr>
            <w:r>
              <w:rPr>
                <w:rFonts w:hint="eastAsia" w:asciiTheme="minorEastAsia" w:hAnsiTheme="minorEastAsia" w:eastAsiaTheme="minorEastAsia"/>
                <w:color w:val="000000" w:themeColor="text1"/>
                <w:szCs w:val="21"/>
                <w:highlight w:val="none"/>
              </w:rPr>
              <w:t>7</w:t>
            </w:r>
          </w:p>
        </w:tc>
        <w:tc>
          <w:tcPr>
            <w:tcW w:w="4591" w:type="dxa"/>
            <w:vAlign w:val="center"/>
          </w:tcPr>
          <w:p>
            <w:pPr>
              <w:rPr>
                <w:rFonts w:asciiTheme="minorEastAsia" w:hAnsiTheme="minorEastAsia" w:eastAsiaTheme="minorEastAsia"/>
                <w:color w:val="000000" w:themeColor="text1"/>
                <w:szCs w:val="21"/>
                <w:highlight w:val="none"/>
              </w:rPr>
            </w:pPr>
            <w:r>
              <w:rPr>
                <w:rFonts w:hint="eastAsia" w:asciiTheme="minorEastAsia" w:hAnsiTheme="minorEastAsia" w:eastAsiaTheme="minorEastAsia"/>
                <w:color w:val="000000" w:themeColor="text1"/>
                <w:szCs w:val="21"/>
                <w:highlight w:val="none"/>
              </w:rPr>
              <w:t>1.投标人具有政务大厅数字化运行管理平台类计算机软件著作权登记证书或发明专利得1分；</w:t>
            </w:r>
          </w:p>
          <w:p>
            <w:pPr>
              <w:rPr>
                <w:rFonts w:asciiTheme="minorEastAsia" w:hAnsiTheme="minorEastAsia" w:eastAsiaTheme="minorEastAsia"/>
                <w:color w:val="000000" w:themeColor="text1"/>
                <w:szCs w:val="21"/>
                <w:highlight w:val="none"/>
              </w:rPr>
            </w:pPr>
            <w:r>
              <w:rPr>
                <w:rFonts w:hint="eastAsia" w:asciiTheme="minorEastAsia" w:hAnsiTheme="minorEastAsia" w:eastAsiaTheme="minorEastAsia"/>
                <w:color w:val="000000" w:themeColor="text1"/>
                <w:szCs w:val="21"/>
                <w:highlight w:val="none"/>
              </w:rPr>
              <w:t>2.投标人具有IT运维类计算机软件著作权登记证书或发明专利得1分；</w:t>
            </w:r>
          </w:p>
          <w:p>
            <w:pPr>
              <w:rPr>
                <w:rFonts w:asciiTheme="minorEastAsia" w:hAnsiTheme="minorEastAsia" w:eastAsiaTheme="minorEastAsia"/>
                <w:color w:val="000000" w:themeColor="text1"/>
                <w:szCs w:val="21"/>
                <w:highlight w:val="none"/>
              </w:rPr>
            </w:pPr>
            <w:r>
              <w:rPr>
                <w:rFonts w:hint="eastAsia" w:asciiTheme="minorEastAsia" w:hAnsiTheme="minorEastAsia" w:eastAsiaTheme="minorEastAsia"/>
                <w:color w:val="000000" w:themeColor="text1"/>
                <w:szCs w:val="21"/>
                <w:highlight w:val="none"/>
              </w:rPr>
              <w:t>3.标人具有CMMI5级证书的得1分；</w:t>
            </w:r>
          </w:p>
          <w:p>
            <w:pPr>
              <w:rPr>
                <w:rFonts w:asciiTheme="minorEastAsia" w:hAnsiTheme="minorEastAsia" w:eastAsiaTheme="minorEastAsia"/>
                <w:color w:val="000000" w:themeColor="text1"/>
                <w:szCs w:val="21"/>
                <w:highlight w:val="none"/>
              </w:rPr>
            </w:pPr>
            <w:r>
              <w:rPr>
                <w:rFonts w:hint="eastAsia" w:asciiTheme="minorEastAsia" w:hAnsiTheme="minorEastAsia" w:eastAsiaTheme="minorEastAsia"/>
                <w:color w:val="000000" w:themeColor="text1"/>
                <w:szCs w:val="21"/>
                <w:highlight w:val="none"/>
              </w:rPr>
              <w:t>4.投标人具有国家高新技术</w:t>
            </w:r>
            <w:r>
              <w:rPr>
                <w:rFonts w:asciiTheme="minorEastAsia" w:hAnsiTheme="minorEastAsia" w:eastAsiaTheme="minorEastAsia"/>
                <w:color w:val="000000" w:themeColor="text1"/>
                <w:szCs w:val="21"/>
                <w:highlight w:val="none"/>
              </w:rPr>
              <w:t>企业</w:t>
            </w:r>
            <w:r>
              <w:rPr>
                <w:rFonts w:hint="eastAsia" w:asciiTheme="minorEastAsia" w:hAnsiTheme="minorEastAsia" w:eastAsiaTheme="minorEastAsia"/>
                <w:color w:val="000000" w:themeColor="text1"/>
                <w:szCs w:val="21"/>
                <w:highlight w:val="none"/>
              </w:rPr>
              <w:t>资质的得2分；</w:t>
            </w:r>
          </w:p>
          <w:p>
            <w:pPr>
              <w:rPr>
                <w:rFonts w:asciiTheme="minorEastAsia" w:hAnsiTheme="minorEastAsia" w:eastAsiaTheme="minorEastAsia"/>
                <w:color w:val="000000" w:themeColor="text1"/>
                <w:szCs w:val="21"/>
                <w:highlight w:val="none"/>
              </w:rPr>
            </w:pPr>
            <w:r>
              <w:rPr>
                <w:rFonts w:hint="eastAsia" w:asciiTheme="minorEastAsia" w:hAnsiTheme="minorEastAsia" w:eastAsiaTheme="minorEastAsia"/>
                <w:color w:val="000000" w:themeColor="text1"/>
                <w:szCs w:val="21"/>
                <w:highlight w:val="none"/>
              </w:rPr>
              <w:t>5.投标人具有国家安全可靠计算机信息系统集成重点企业证书的得2分。</w:t>
            </w:r>
          </w:p>
          <w:p>
            <w:pPr>
              <w:rPr>
                <w:rFonts w:asciiTheme="minorEastAsia" w:hAnsiTheme="minorEastAsia" w:eastAsiaTheme="minorEastAsia"/>
                <w:color w:val="000000" w:themeColor="text1"/>
                <w:szCs w:val="21"/>
                <w:highlight w:val="none"/>
              </w:rPr>
            </w:pPr>
            <w:r>
              <w:rPr>
                <w:rFonts w:hint="eastAsia" w:asciiTheme="minorEastAsia" w:hAnsiTheme="minorEastAsia" w:eastAsiaTheme="minorEastAsia"/>
                <w:color w:val="000000" w:themeColor="text1"/>
                <w:szCs w:val="21"/>
                <w:highlight w:val="none"/>
              </w:rPr>
              <w:t>提交证书复印件加盖公章，原件备查。评分中出现无证明资料或专家无法凭所提供资料判断是否得分的情况，一律作不得分处理。</w:t>
            </w:r>
          </w:p>
        </w:tc>
        <w:tc>
          <w:tcPr>
            <w:tcW w:w="1358" w:type="dxa"/>
            <w:vAlign w:val="center"/>
          </w:tcPr>
          <w:p>
            <w:pPr>
              <w:autoSpaceDE w:val="0"/>
              <w:autoSpaceDN w:val="0"/>
              <w:jc w:val="center"/>
              <w:rPr>
                <w:rFonts w:asciiTheme="minorEastAsia" w:hAnsiTheme="minorEastAsia" w:eastAsiaTheme="minorEastAsia"/>
                <w:color w:val="000000" w:themeColor="text1"/>
                <w:szCs w:val="21"/>
                <w:highlight w:val="none"/>
              </w:rPr>
            </w:pPr>
            <w:r>
              <w:rPr>
                <w:rFonts w:hint="eastAsia" w:asciiTheme="minorEastAsia" w:hAnsiTheme="minorEastAsia" w:eastAsiaTheme="minorEastAsia"/>
                <w:color w:val="000000" w:themeColor="text1"/>
                <w:szCs w:val="21"/>
                <w:highlight w:val="none"/>
              </w:rPr>
              <w:t>专家打分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2" w:hRule="atLeast"/>
          <w:jc w:val="center"/>
        </w:trPr>
        <w:tc>
          <w:tcPr>
            <w:tcW w:w="741" w:type="dxa"/>
            <w:shd w:val="clear" w:color="auto" w:fill="auto"/>
            <w:vAlign w:val="center"/>
          </w:tcPr>
          <w:p>
            <w:pPr>
              <w:spacing w:line="240" w:lineRule="exact"/>
              <w:jc w:val="center"/>
              <w:rPr>
                <w:rFonts w:asciiTheme="minorEastAsia" w:hAnsiTheme="minorEastAsia" w:eastAsiaTheme="minorEastAsia"/>
                <w:color w:val="000000" w:themeColor="text1"/>
                <w:szCs w:val="21"/>
                <w:highlight w:val="none"/>
              </w:rPr>
            </w:pPr>
            <w:r>
              <w:rPr>
                <w:rFonts w:hint="eastAsia" w:asciiTheme="minorEastAsia" w:hAnsiTheme="minorEastAsia" w:eastAsiaTheme="minorEastAsia"/>
                <w:color w:val="000000" w:themeColor="text1"/>
                <w:szCs w:val="21"/>
                <w:highlight w:val="none"/>
              </w:rPr>
              <w:t>2</w:t>
            </w:r>
          </w:p>
        </w:tc>
        <w:tc>
          <w:tcPr>
            <w:tcW w:w="1890" w:type="dxa"/>
            <w:shd w:val="clear" w:color="auto" w:fill="auto"/>
            <w:vAlign w:val="center"/>
          </w:tcPr>
          <w:p>
            <w:pPr>
              <w:spacing w:line="240" w:lineRule="exact"/>
              <w:jc w:val="center"/>
              <w:rPr>
                <w:rFonts w:asciiTheme="minorEastAsia" w:hAnsiTheme="minorEastAsia" w:eastAsiaTheme="minorEastAsia"/>
                <w:color w:val="000000" w:themeColor="text1"/>
                <w:szCs w:val="21"/>
                <w:highlight w:val="none"/>
              </w:rPr>
            </w:pPr>
            <w:r>
              <w:rPr>
                <w:rFonts w:hint="eastAsia" w:asciiTheme="minorEastAsia" w:hAnsiTheme="minorEastAsia" w:eastAsiaTheme="minorEastAsia"/>
                <w:color w:val="000000" w:themeColor="text1"/>
                <w:szCs w:val="21"/>
                <w:highlight w:val="none"/>
              </w:rPr>
              <w:t>商务条款偏离情况</w:t>
            </w:r>
          </w:p>
        </w:tc>
        <w:tc>
          <w:tcPr>
            <w:tcW w:w="757" w:type="dxa"/>
            <w:shd w:val="clear" w:color="auto" w:fill="auto"/>
            <w:vAlign w:val="center"/>
          </w:tcPr>
          <w:p>
            <w:pPr>
              <w:spacing w:line="240" w:lineRule="exact"/>
              <w:jc w:val="center"/>
              <w:rPr>
                <w:rFonts w:asciiTheme="minorEastAsia" w:hAnsiTheme="minorEastAsia" w:eastAsiaTheme="minorEastAsia"/>
                <w:color w:val="000000" w:themeColor="text1"/>
                <w:szCs w:val="21"/>
                <w:highlight w:val="none"/>
              </w:rPr>
            </w:pPr>
            <w:r>
              <w:rPr>
                <w:rFonts w:hint="eastAsia" w:asciiTheme="minorEastAsia" w:hAnsiTheme="minorEastAsia" w:eastAsiaTheme="minorEastAsia"/>
                <w:color w:val="000000" w:themeColor="text1"/>
                <w:szCs w:val="21"/>
                <w:highlight w:val="none"/>
              </w:rPr>
              <w:t>2</w:t>
            </w:r>
          </w:p>
        </w:tc>
        <w:tc>
          <w:tcPr>
            <w:tcW w:w="4591" w:type="dxa"/>
            <w:shd w:val="clear" w:color="auto" w:fill="auto"/>
            <w:vAlign w:val="center"/>
          </w:tcPr>
          <w:p>
            <w:pPr>
              <w:rPr>
                <w:rFonts w:asciiTheme="minorEastAsia" w:hAnsiTheme="minorEastAsia" w:eastAsiaTheme="minorEastAsia"/>
                <w:color w:val="000000" w:themeColor="text1"/>
                <w:szCs w:val="21"/>
                <w:highlight w:val="none"/>
              </w:rPr>
            </w:pPr>
            <w:r>
              <w:rPr>
                <w:rFonts w:hint="eastAsia" w:asciiTheme="minorEastAsia" w:hAnsiTheme="minorEastAsia" w:eastAsiaTheme="minorEastAsia"/>
                <w:color w:val="000000" w:themeColor="text1"/>
                <w:szCs w:val="21"/>
                <w:highlight w:val="none"/>
              </w:rPr>
              <w:t>投标人应如实填写《商务条款偏离表》，评审委员会根据响应情况进行打分，除</w:t>
            </w:r>
            <w:r>
              <w:rPr>
                <w:rFonts w:hint="eastAsia"/>
                <w:szCs w:val="21"/>
                <w:highlight w:val="none"/>
              </w:rPr>
              <w:t>“★”条款外，其它</w:t>
            </w:r>
            <w:r>
              <w:rPr>
                <w:rFonts w:hint="eastAsia" w:asciiTheme="minorEastAsia" w:hAnsiTheme="minorEastAsia" w:eastAsiaTheme="minorEastAsia"/>
                <w:color w:val="000000" w:themeColor="text1"/>
                <w:szCs w:val="21"/>
                <w:highlight w:val="none"/>
              </w:rPr>
              <w:t>全部满足要求的得2分，有负偏离得</w:t>
            </w:r>
            <w:r>
              <w:rPr>
                <w:rFonts w:asciiTheme="minorEastAsia" w:hAnsiTheme="minorEastAsia" w:eastAsiaTheme="minorEastAsia"/>
                <w:color w:val="000000" w:themeColor="text1"/>
                <w:szCs w:val="21"/>
                <w:highlight w:val="none"/>
              </w:rPr>
              <w:t>0</w:t>
            </w:r>
            <w:r>
              <w:rPr>
                <w:rFonts w:hint="eastAsia" w:asciiTheme="minorEastAsia" w:hAnsiTheme="minorEastAsia" w:eastAsiaTheme="minorEastAsia"/>
                <w:color w:val="000000" w:themeColor="text1"/>
                <w:szCs w:val="21"/>
                <w:highlight w:val="none"/>
              </w:rPr>
              <w:t>分。</w:t>
            </w:r>
          </w:p>
        </w:tc>
        <w:tc>
          <w:tcPr>
            <w:tcW w:w="1358" w:type="dxa"/>
            <w:vAlign w:val="center"/>
          </w:tcPr>
          <w:p>
            <w:pPr>
              <w:autoSpaceDE w:val="0"/>
              <w:autoSpaceDN w:val="0"/>
              <w:jc w:val="center"/>
              <w:rPr>
                <w:rFonts w:asciiTheme="minorEastAsia" w:hAnsiTheme="minorEastAsia" w:eastAsiaTheme="minorEastAsia"/>
                <w:color w:val="000000" w:themeColor="text1"/>
                <w:szCs w:val="21"/>
                <w:highlight w:val="none"/>
                <w:lang w:val="zh-CN"/>
              </w:rPr>
            </w:pPr>
            <w:r>
              <w:rPr>
                <w:rFonts w:hint="eastAsia" w:asciiTheme="minorEastAsia" w:hAnsiTheme="minorEastAsia" w:eastAsiaTheme="minorEastAsia"/>
                <w:color w:val="000000" w:themeColor="text1"/>
                <w:szCs w:val="21"/>
                <w:highlight w:val="none"/>
              </w:rPr>
              <w:t>专家打分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2" w:hRule="atLeast"/>
          <w:jc w:val="center"/>
        </w:trPr>
        <w:tc>
          <w:tcPr>
            <w:tcW w:w="741" w:type="dxa"/>
            <w:shd w:val="clear" w:color="auto" w:fill="auto"/>
            <w:vAlign w:val="center"/>
          </w:tcPr>
          <w:p>
            <w:pPr>
              <w:spacing w:line="240" w:lineRule="exact"/>
              <w:jc w:val="center"/>
              <w:rPr>
                <w:rFonts w:asciiTheme="minorEastAsia" w:hAnsiTheme="minorEastAsia" w:eastAsiaTheme="minorEastAsia"/>
                <w:color w:val="000000" w:themeColor="text1"/>
                <w:szCs w:val="21"/>
                <w:highlight w:val="none"/>
              </w:rPr>
            </w:pPr>
            <w:r>
              <w:rPr>
                <w:rFonts w:hint="eastAsia" w:asciiTheme="minorEastAsia" w:hAnsiTheme="minorEastAsia" w:eastAsiaTheme="minorEastAsia"/>
                <w:color w:val="000000" w:themeColor="text1"/>
                <w:szCs w:val="21"/>
                <w:highlight w:val="none"/>
              </w:rPr>
              <w:t>3</w:t>
            </w:r>
          </w:p>
        </w:tc>
        <w:tc>
          <w:tcPr>
            <w:tcW w:w="1890" w:type="dxa"/>
            <w:shd w:val="clear" w:color="auto" w:fill="auto"/>
            <w:vAlign w:val="center"/>
          </w:tcPr>
          <w:p>
            <w:pPr>
              <w:spacing w:line="240" w:lineRule="exact"/>
              <w:jc w:val="center"/>
              <w:rPr>
                <w:rFonts w:asciiTheme="minorEastAsia" w:hAnsiTheme="minorEastAsia" w:eastAsiaTheme="minorEastAsia"/>
                <w:color w:val="000000" w:themeColor="text1"/>
                <w:szCs w:val="21"/>
                <w:highlight w:val="none"/>
              </w:rPr>
            </w:pPr>
            <w:r>
              <w:rPr>
                <w:rFonts w:hint="eastAsia" w:asciiTheme="minorEastAsia" w:hAnsiTheme="minorEastAsia" w:eastAsiaTheme="minorEastAsia"/>
                <w:color w:val="000000" w:themeColor="text1"/>
                <w:szCs w:val="21"/>
                <w:highlight w:val="none"/>
              </w:rPr>
              <w:t>投标人近三年同类业绩（以合同时间为准，截止日为本项目公告发布之日）</w:t>
            </w:r>
          </w:p>
        </w:tc>
        <w:tc>
          <w:tcPr>
            <w:tcW w:w="757" w:type="dxa"/>
            <w:shd w:val="clear" w:color="auto" w:fill="auto"/>
            <w:vAlign w:val="center"/>
          </w:tcPr>
          <w:p>
            <w:pPr>
              <w:spacing w:line="240" w:lineRule="exact"/>
              <w:jc w:val="center"/>
              <w:rPr>
                <w:rFonts w:asciiTheme="minorEastAsia" w:hAnsiTheme="minorEastAsia" w:eastAsiaTheme="minorEastAsia"/>
                <w:color w:val="000000" w:themeColor="text1"/>
                <w:szCs w:val="21"/>
                <w:highlight w:val="none"/>
              </w:rPr>
            </w:pPr>
            <w:r>
              <w:rPr>
                <w:rFonts w:asciiTheme="minorEastAsia" w:hAnsiTheme="minorEastAsia" w:eastAsiaTheme="minorEastAsia"/>
                <w:color w:val="000000" w:themeColor="text1"/>
                <w:szCs w:val="21"/>
                <w:highlight w:val="none"/>
              </w:rPr>
              <w:t>2</w:t>
            </w:r>
          </w:p>
        </w:tc>
        <w:tc>
          <w:tcPr>
            <w:tcW w:w="4591" w:type="dxa"/>
            <w:shd w:val="clear" w:color="auto" w:fill="auto"/>
          </w:tcPr>
          <w:p>
            <w:pPr>
              <w:rPr>
                <w:rFonts w:asciiTheme="minorEastAsia" w:hAnsiTheme="minorEastAsia" w:eastAsiaTheme="minorEastAsia"/>
                <w:color w:val="000000" w:themeColor="text1"/>
                <w:szCs w:val="21"/>
                <w:highlight w:val="none"/>
              </w:rPr>
            </w:pPr>
            <w:r>
              <w:rPr>
                <w:rFonts w:hint="eastAsia" w:asciiTheme="minorEastAsia" w:hAnsiTheme="minorEastAsia" w:eastAsiaTheme="minorEastAsia"/>
                <w:color w:val="000000" w:themeColor="text1"/>
                <w:szCs w:val="21"/>
                <w:highlight w:val="none"/>
              </w:rPr>
              <w:t>提供同类业绩即得满分，未提供的不得分。投标人必须在投标文件中提供一个完工项目的合同和终验验收报告，否则不得分。</w:t>
            </w:r>
          </w:p>
        </w:tc>
        <w:tc>
          <w:tcPr>
            <w:tcW w:w="1358" w:type="dxa"/>
            <w:vAlign w:val="center"/>
          </w:tcPr>
          <w:p>
            <w:pPr>
              <w:autoSpaceDE w:val="0"/>
              <w:autoSpaceDN w:val="0"/>
              <w:jc w:val="center"/>
              <w:rPr>
                <w:rFonts w:asciiTheme="minorEastAsia" w:hAnsiTheme="minorEastAsia" w:eastAsiaTheme="minorEastAsia"/>
                <w:color w:val="000000" w:themeColor="text1"/>
                <w:szCs w:val="21"/>
                <w:highlight w:val="none"/>
              </w:rPr>
            </w:pPr>
            <w:r>
              <w:rPr>
                <w:rFonts w:hint="eastAsia" w:asciiTheme="minorEastAsia" w:hAnsiTheme="minorEastAsia" w:eastAsiaTheme="minorEastAsia"/>
                <w:color w:val="000000" w:themeColor="text1"/>
                <w:szCs w:val="21"/>
                <w:highlight w:val="none"/>
              </w:rPr>
              <w:t>专家打分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2" w:hRule="atLeast"/>
          <w:jc w:val="center"/>
        </w:trPr>
        <w:tc>
          <w:tcPr>
            <w:tcW w:w="741" w:type="dxa"/>
            <w:shd w:val="clear" w:color="auto" w:fill="auto"/>
            <w:vAlign w:val="center"/>
          </w:tcPr>
          <w:p>
            <w:pPr>
              <w:spacing w:line="240" w:lineRule="exact"/>
              <w:jc w:val="center"/>
              <w:rPr>
                <w:rFonts w:asciiTheme="minorEastAsia" w:hAnsiTheme="minorEastAsia" w:eastAsiaTheme="minorEastAsia"/>
                <w:color w:val="000000" w:themeColor="text1"/>
                <w:szCs w:val="21"/>
                <w:highlight w:val="none"/>
              </w:rPr>
            </w:pPr>
            <w:r>
              <w:rPr>
                <w:rFonts w:hint="eastAsia" w:asciiTheme="minorEastAsia" w:hAnsiTheme="minorEastAsia" w:eastAsiaTheme="minorEastAsia"/>
                <w:color w:val="000000" w:themeColor="text1"/>
                <w:szCs w:val="21"/>
                <w:highlight w:val="none"/>
              </w:rPr>
              <w:t>4</w:t>
            </w:r>
          </w:p>
        </w:tc>
        <w:tc>
          <w:tcPr>
            <w:tcW w:w="1890" w:type="dxa"/>
            <w:shd w:val="clear" w:color="auto" w:fill="auto"/>
            <w:vAlign w:val="center"/>
          </w:tcPr>
          <w:p>
            <w:pPr>
              <w:spacing w:line="240" w:lineRule="exact"/>
              <w:jc w:val="center"/>
              <w:rPr>
                <w:rFonts w:asciiTheme="minorEastAsia" w:hAnsiTheme="minorEastAsia" w:eastAsiaTheme="minorEastAsia"/>
                <w:color w:val="000000" w:themeColor="text1"/>
                <w:szCs w:val="21"/>
                <w:highlight w:val="none"/>
              </w:rPr>
            </w:pPr>
            <w:r>
              <w:rPr>
                <w:rFonts w:hint="eastAsia" w:asciiTheme="minorEastAsia" w:hAnsiTheme="minorEastAsia" w:eastAsiaTheme="minorEastAsia"/>
                <w:color w:val="000000" w:themeColor="text1"/>
                <w:szCs w:val="21"/>
                <w:highlight w:val="none"/>
              </w:rPr>
              <w:t>诚信</w:t>
            </w:r>
          </w:p>
        </w:tc>
        <w:tc>
          <w:tcPr>
            <w:tcW w:w="757" w:type="dxa"/>
            <w:shd w:val="clear" w:color="auto" w:fill="auto"/>
            <w:vAlign w:val="center"/>
          </w:tcPr>
          <w:p>
            <w:pPr>
              <w:spacing w:line="240" w:lineRule="exact"/>
              <w:jc w:val="center"/>
              <w:rPr>
                <w:rFonts w:asciiTheme="minorEastAsia" w:hAnsiTheme="minorEastAsia" w:eastAsiaTheme="minorEastAsia"/>
                <w:color w:val="000000" w:themeColor="text1"/>
                <w:szCs w:val="21"/>
                <w:highlight w:val="none"/>
              </w:rPr>
            </w:pPr>
            <w:r>
              <w:rPr>
                <w:rFonts w:hint="eastAsia" w:asciiTheme="minorEastAsia" w:hAnsiTheme="minorEastAsia" w:eastAsiaTheme="minorEastAsia"/>
                <w:color w:val="000000" w:themeColor="text1"/>
                <w:szCs w:val="21"/>
                <w:highlight w:val="none"/>
              </w:rPr>
              <w:t>5</w:t>
            </w:r>
          </w:p>
        </w:tc>
        <w:tc>
          <w:tcPr>
            <w:tcW w:w="4591" w:type="dxa"/>
            <w:shd w:val="clear" w:color="auto" w:fill="auto"/>
          </w:tcPr>
          <w:p>
            <w:pPr>
              <w:rPr>
                <w:rFonts w:asciiTheme="minorEastAsia" w:hAnsiTheme="minorEastAsia" w:eastAsiaTheme="minorEastAsia"/>
                <w:color w:val="000000" w:themeColor="text1"/>
                <w:szCs w:val="21"/>
                <w:highlight w:val="none"/>
              </w:rPr>
            </w:pPr>
            <w:r>
              <w:rPr>
                <w:rFonts w:hint="eastAsia" w:asciiTheme="minorEastAsia" w:hAnsiTheme="minorEastAsia" w:eastAsiaTheme="minorEastAsia"/>
                <w:color w:val="000000" w:themeColor="text1"/>
                <w:szCs w:val="21"/>
                <w:highlight w:val="none"/>
              </w:rPr>
              <w:t>根据《深圳市财政委员会关于印发〈深圳市政府采购供应商诚信管理暂行办法操作细则〉的通知》（深财购[2017]42号）的要求，投标人在参与政府采购活动中存在诚信相关问题且在主管部门相关处理措施实施期限内的，本项不得分，否则得满分。投标人无需提供任何证明材料，由工作人员向评审委员会提供相关信息。</w:t>
            </w:r>
          </w:p>
        </w:tc>
        <w:tc>
          <w:tcPr>
            <w:tcW w:w="1358" w:type="dxa"/>
            <w:vAlign w:val="center"/>
          </w:tcPr>
          <w:p>
            <w:pPr>
              <w:autoSpaceDE w:val="0"/>
              <w:autoSpaceDN w:val="0"/>
              <w:jc w:val="center"/>
              <w:rPr>
                <w:rFonts w:asciiTheme="minorEastAsia" w:hAnsiTheme="minorEastAsia" w:eastAsiaTheme="minorEastAsia"/>
                <w:color w:val="000000" w:themeColor="text1"/>
                <w:szCs w:val="21"/>
                <w:highlight w:val="none"/>
                <w:lang w:val="zh-CN"/>
              </w:rPr>
            </w:pPr>
            <w:r>
              <w:rPr>
                <w:rFonts w:hint="eastAsia" w:asciiTheme="minorEastAsia" w:hAnsiTheme="minorEastAsia" w:eastAsiaTheme="minorEastAsia"/>
                <w:color w:val="000000" w:themeColor="text1"/>
                <w:szCs w:val="21"/>
                <w:highlight w:val="none"/>
              </w:rPr>
              <w:t>专家打分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19" w:hRule="atLeast"/>
          <w:jc w:val="center"/>
        </w:trPr>
        <w:tc>
          <w:tcPr>
            <w:tcW w:w="741" w:type="dxa"/>
            <w:shd w:val="clear" w:color="auto" w:fill="auto"/>
            <w:vAlign w:val="center"/>
          </w:tcPr>
          <w:p>
            <w:pPr>
              <w:spacing w:line="240" w:lineRule="exact"/>
              <w:jc w:val="center"/>
              <w:rPr>
                <w:rFonts w:asciiTheme="minorEastAsia" w:hAnsiTheme="minorEastAsia" w:eastAsiaTheme="minorEastAsia"/>
                <w:color w:val="000000" w:themeColor="text1"/>
                <w:szCs w:val="21"/>
                <w:highlight w:val="none"/>
              </w:rPr>
            </w:pPr>
            <w:r>
              <w:rPr>
                <w:rFonts w:hint="eastAsia" w:asciiTheme="minorEastAsia" w:hAnsiTheme="minorEastAsia" w:eastAsiaTheme="minorEastAsia"/>
                <w:color w:val="000000" w:themeColor="text1"/>
                <w:szCs w:val="21"/>
                <w:highlight w:val="none"/>
              </w:rPr>
              <w:t>5</w:t>
            </w:r>
          </w:p>
        </w:tc>
        <w:tc>
          <w:tcPr>
            <w:tcW w:w="1890" w:type="dxa"/>
            <w:shd w:val="clear" w:color="auto" w:fill="auto"/>
            <w:vAlign w:val="center"/>
          </w:tcPr>
          <w:p>
            <w:pPr>
              <w:spacing w:line="240" w:lineRule="exact"/>
              <w:jc w:val="center"/>
              <w:rPr>
                <w:rFonts w:asciiTheme="minorEastAsia" w:hAnsiTheme="minorEastAsia" w:eastAsiaTheme="minorEastAsia"/>
                <w:color w:val="000000" w:themeColor="text1"/>
                <w:szCs w:val="21"/>
                <w:highlight w:val="none"/>
              </w:rPr>
            </w:pPr>
            <w:r>
              <w:rPr>
                <w:rFonts w:hint="eastAsia" w:asciiTheme="minorEastAsia" w:hAnsiTheme="minorEastAsia" w:eastAsiaTheme="minorEastAsia"/>
                <w:color w:val="000000" w:themeColor="text1"/>
                <w:szCs w:val="21"/>
                <w:highlight w:val="none"/>
              </w:rPr>
              <w:t>履约</w:t>
            </w:r>
          </w:p>
        </w:tc>
        <w:tc>
          <w:tcPr>
            <w:tcW w:w="757" w:type="dxa"/>
            <w:shd w:val="clear" w:color="auto" w:fill="auto"/>
            <w:vAlign w:val="center"/>
          </w:tcPr>
          <w:p>
            <w:pPr>
              <w:spacing w:line="240" w:lineRule="exact"/>
              <w:jc w:val="center"/>
              <w:rPr>
                <w:rFonts w:asciiTheme="minorEastAsia" w:hAnsiTheme="minorEastAsia" w:eastAsiaTheme="minorEastAsia"/>
                <w:color w:val="000000" w:themeColor="text1"/>
                <w:szCs w:val="21"/>
                <w:highlight w:val="none"/>
              </w:rPr>
            </w:pPr>
            <w:r>
              <w:rPr>
                <w:rFonts w:asciiTheme="minorEastAsia" w:hAnsiTheme="minorEastAsia" w:eastAsiaTheme="minorEastAsia"/>
                <w:color w:val="000000" w:themeColor="text1"/>
                <w:szCs w:val="21"/>
                <w:highlight w:val="none"/>
              </w:rPr>
              <w:t>2</w:t>
            </w:r>
          </w:p>
        </w:tc>
        <w:tc>
          <w:tcPr>
            <w:tcW w:w="4591" w:type="dxa"/>
            <w:shd w:val="clear" w:color="auto" w:fill="auto"/>
          </w:tcPr>
          <w:p>
            <w:pPr>
              <w:pStyle w:val="30"/>
              <w:pBdr>
                <w:bottom w:val="none" w:color="auto" w:sz="0" w:space="0"/>
              </w:pBdr>
              <w:tabs>
                <w:tab w:val="clear" w:pos="4153"/>
                <w:tab w:val="clear" w:pos="8306"/>
              </w:tabs>
              <w:spacing w:before="120" w:after="120" w:line="300" w:lineRule="auto"/>
              <w:jc w:val="both"/>
              <w:rPr>
                <w:rFonts w:cs="宋体" w:asciiTheme="minorEastAsia" w:hAnsiTheme="minorEastAsia" w:eastAsiaTheme="minorEastAsia"/>
                <w:color w:val="000000" w:themeColor="text1"/>
                <w:sz w:val="21"/>
                <w:szCs w:val="21"/>
                <w:highlight w:val="none"/>
              </w:rPr>
            </w:pPr>
            <w:r>
              <w:rPr>
                <w:rFonts w:hint="eastAsia" w:asciiTheme="minorEastAsia" w:hAnsiTheme="minorEastAsia" w:eastAsiaTheme="minorEastAsia"/>
                <w:color w:val="000000" w:themeColor="text1"/>
                <w:sz w:val="21"/>
                <w:szCs w:val="21"/>
                <w:highlight w:val="none"/>
              </w:rPr>
              <w:t>近三年（以投标截止日期为准）在市政府采购中心有履约评价为差的记录，本项不得分，否则得满分。</w:t>
            </w:r>
            <w:r>
              <w:rPr>
                <w:rFonts w:hint="eastAsia" w:cs="宋体" w:asciiTheme="minorEastAsia" w:hAnsiTheme="minorEastAsia" w:eastAsiaTheme="minorEastAsia"/>
                <w:color w:val="000000" w:themeColor="text1"/>
                <w:sz w:val="21"/>
                <w:szCs w:val="21"/>
                <w:highlight w:val="none"/>
              </w:rPr>
              <w:t>投标人无需提供任何证明材料，由采购中心工作人员向评委会提供相关信息。</w:t>
            </w:r>
          </w:p>
        </w:tc>
        <w:tc>
          <w:tcPr>
            <w:tcW w:w="1358" w:type="dxa"/>
            <w:vAlign w:val="center"/>
          </w:tcPr>
          <w:p>
            <w:pPr>
              <w:autoSpaceDE w:val="0"/>
              <w:autoSpaceDN w:val="0"/>
              <w:jc w:val="center"/>
              <w:rPr>
                <w:rFonts w:asciiTheme="minorEastAsia" w:hAnsiTheme="minorEastAsia" w:eastAsiaTheme="minorEastAsia"/>
                <w:color w:val="000000" w:themeColor="text1"/>
                <w:szCs w:val="21"/>
                <w:highlight w:val="none"/>
                <w:lang w:val="zh-CN"/>
              </w:rPr>
            </w:pPr>
            <w:r>
              <w:rPr>
                <w:rFonts w:hint="eastAsia" w:asciiTheme="minorEastAsia" w:hAnsiTheme="minorEastAsia" w:eastAsiaTheme="minorEastAsia"/>
                <w:color w:val="000000" w:themeColor="text1"/>
                <w:szCs w:val="21"/>
                <w:highlight w:val="none"/>
              </w:rPr>
              <w:t>专家打分</w:t>
            </w:r>
          </w:p>
        </w:tc>
      </w:tr>
    </w:tbl>
    <w:p>
      <w:pPr>
        <w:tabs>
          <w:tab w:val="clear" w:pos="426"/>
        </w:tabs>
        <w:spacing w:line="240" w:lineRule="auto"/>
        <w:rPr>
          <w:highlight w:val="none"/>
        </w:rPr>
      </w:pPr>
    </w:p>
    <w:p>
      <w:pPr>
        <w:tabs>
          <w:tab w:val="clear" w:pos="426"/>
        </w:tabs>
        <w:spacing w:line="240" w:lineRule="auto"/>
        <w:rPr>
          <w:highlight w:val="none"/>
        </w:rPr>
      </w:pPr>
      <w:r>
        <w:rPr>
          <w:rFonts w:hint="eastAsia"/>
          <w:highlight w:val="none"/>
        </w:rPr>
        <w:t>备注：</w:t>
      </w:r>
    </w:p>
    <w:p>
      <w:pPr>
        <w:tabs>
          <w:tab w:val="clear" w:pos="426"/>
        </w:tabs>
        <w:spacing w:line="240" w:lineRule="auto"/>
        <w:ind w:firstLine="424" w:firstLineChars="202"/>
        <w:rPr>
          <w:highlight w:val="none"/>
        </w:rPr>
      </w:pPr>
      <w:r>
        <w:rPr>
          <w:rFonts w:hint="eastAsia"/>
          <w:highlight w:val="none"/>
        </w:rPr>
        <w:t>1.有取值范围的，含上限值不含下限值。每一项的得分均不能超过该项最高分值。</w:t>
      </w:r>
    </w:p>
    <w:p>
      <w:pPr>
        <w:tabs>
          <w:tab w:val="clear" w:pos="426"/>
        </w:tabs>
        <w:spacing w:line="240" w:lineRule="auto"/>
        <w:ind w:firstLine="424" w:firstLineChars="202"/>
        <w:rPr>
          <w:highlight w:val="none"/>
        </w:rPr>
      </w:pPr>
      <w:r>
        <w:rPr>
          <w:rFonts w:hint="eastAsia"/>
          <w:highlight w:val="none"/>
        </w:rPr>
        <w:t>2.缺项则该项为0分或不合格为0分。</w:t>
      </w:r>
    </w:p>
    <w:p>
      <w:pPr>
        <w:tabs>
          <w:tab w:val="clear" w:pos="426"/>
        </w:tabs>
        <w:spacing w:line="240" w:lineRule="auto"/>
        <w:ind w:firstLine="424" w:firstLineChars="202"/>
        <w:rPr>
          <w:highlight w:val="none"/>
        </w:rPr>
      </w:pPr>
      <w:r>
        <w:rPr>
          <w:rFonts w:hint="eastAsia"/>
          <w:highlight w:val="none"/>
        </w:rPr>
        <w:t>3.价格、技术、商务部分为针对项目具体情况设置项目，累加满分为100分，固定额外加分部分为固定设置项，对涉及政策导向优先采购产品进行额外加分。</w:t>
      </w:r>
    </w:p>
    <w:p>
      <w:pPr>
        <w:tabs>
          <w:tab w:val="clear" w:pos="426"/>
        </w:tabs>
        <w:spacing w:line="240" w:lineRule="auto"/>
        <w:ind w:firstLine="424" w:firstLineChars="202"/>
        <w:rPr>
          <w:rFonts w:ascii="Arial" w:hAnsi="Arial" w:cs="Arial"/>
          <w:snapToGrid w:val="0"/>
          <w:szCs w:val="18"/>
          <w:highlight w:val="none"/>
        </w:rPr>
      </w:pPr>
      <w:r>
        <w:rPr>
          <w:rFonts w:hint="eastAsia"/>
          <w:highlight w:val="none"/>
        </w:rPr>
        <w:t>4.综合以上</w:t>
      </w:r>
      <w:r>
        <w:rPr>
          <w:rFonts w:hint="eastAsia"/>
          <w:snapToGrid w:val="0"/>
          <w:highlight w:val="none"/>
        </w:rPr>
        <w:t>分析比较，评委会将对各投标文件进行书面的量化评定，得分</w:t>
      </w:r>
      <w:r>
        <w:rPr>
          <w:rFonts w:ascii="Arial" w:hAnsi="Arial" w:cs="Arial"/>
          <w:snapToGrid w:val="0"/>
          <w:szCs w:val="18"/>
          <w:highlight w:val="none"/>
        </w:rPr>
        <w:t>精确到小数点后两位</w:t>
      </w:r>
      <w:r>
        <w:rPr>
          <w:rFonts w:hint="eastAsia" w:ascii="Arial" w:hAnsi="Arial" w:cs="Arial"/>
          <w:snapToGrid w:val="0"/>
          <w:szCs w:val="18"/>
          <w:highlight w:val="none"/>
        </w:rPr>
        <w:t>。</w:t>
      </w:r>
    </w:p>
    <w:p>
      <w:pPr>
        <w:tabs>
          <w:tab w:val="clear" w:pos="426"/>
        </w:tabs>
        <w:spacing w:line="240" w:lineRule="auto"/>
        <w:ind w:firstLine="424" w:firstLineChars="202"/>
        <w:rPr>
          <w:bCs/>
          <w:color w:val="000000"/>
          <w:highlight w:val="none"/>
        </w:rPr>
      </w:pPr>
      <w:r>
        <w:rPr>
          <w:rFonts w:hint="eastAsia"/>
          <w:bCs/>
          <w:color w:val="000000"/>
          <w:highlight w:val="none"/>
        </w:rPr>
        <w:t>5客观评分项，所有评审专家应当统一打分分值；主观评分项，评审专家应当按照打分标准独立打分，对于单项打分低于60%或者达到100%，评审专家需要做出书面合理说明。</w:t>
      </w:r>
    </w:p>
    <w:p>
      <w:pPr>
        <w:tabs>
          <w:tab w:val="clear" w:pos="426"/>
        </w:tabs>
        <w:spacing w:line="240" w:lineRule="auto"/>
        <w:ind w:firstLine="424" w:firstLineChars="202"/>
        <w:jc w:val="left"/>
        <w:rPr>
          <w:bCs/>
          <w:color w:val="000000"/>
          <w:highlight w:val="none"/>
        </w:rPr>
      </w:pPr>
      <w:r>
        <w:rPr>
          <w:rFonts w:hint="eastAsia"/>
          <w:bCs/>
          <w:color w:val="000000"/>
          <w:highlight w:val="none"/>
        </w:rPr>
        <w:t>6.根据财政部《关于在政府采购活动中查询及使用信用记录有关问题的通知》（财库</w:t>
      </w:r>
      <w:r>
        <w:rPr>
          <w:rFonts w:ascii="Arial" w:hAnsi="Arial" w:cs="Arial"/>
          <w:color w:val="333333"/>
          <w:sz w:val="20"/>
          <w:szCs w:val="20"/>
          <w:highlight w:val="none"/>
          <w:shd w:val="clear" w:color="auto" w:fill="FFFFFF"/>
        </w:rPr>
        <w:t>〔</w:t>
      </w:r>
      <w:r>
        <w:rPr>
          <w:rFonts w:hint="eastAsia" w:ascii="Arial" w:hAnsi="Arial" w:cs="Arial"/>
          <w:color w:val="333333"/>
          <w:sz w:val="20"/>
          <w:szCs w:val="20"/>
          <w:highlight w:val="none"/>
          <w:shd w:val="clear" w:color="auto" w:fill="FFFFFF"/>
        </w:rPr>
        <w:t>2016</w:t>
      </w:r>
      <w:r>
        <w:rPr>
          <w:rFonts w:ascii="Arial" w:hAnsi="Arial" w:cs="Arial"/>
          <w:color w:val="333333"/>
          <w:sz w:val="20"/>
          <w:szCs w:val="20"/>
          <w:highlight w:val="none"/>
          <w:shd w:val="clear" w:color="auto" w:fill="FFFFFF"/>
        </w:rPr>
        <w:t>〕</w:t>
      </w:r>
      <w:r>
        <w:rPr>
          <w:rFonts w:hint="eastAsia" w:ascii="Arial" w:hAnsi="Arial" w:cs="Arial"/>
          <w:color w:val="333333"/>
          <w:sz w:val="20"/>
          <w:szCs w:val="20"/>
          <w:highlight w:val="none"/>
          <w:shd w:val="clear" w:color="auto" w:fill="FFFFFF"/>
        </w:rPr>
        <w:t>125号</w:t>
      </w:r>
      <w:r>
        <w:rPr>
          <w:rFonts w:hint="eastAsia"/>
          <w:bCs/>
          <w:color w:val="000000"/>
          <w:highlight w:val="none"/>
        </w:rPr>
        <w:t>）、《深圳市政府采购供应商诚信管理暂行办法》（深财规〔</w:t>
      </w:r>
      <w:r>
        <w:rPr>
          <w:bCs/>
          <w:color w:val="000000"/>
          <w:highlight w:val="none"/>
        </w:rPr>
        <w:t>2017〕8号</w:t>
      </w:r>
      <w:r>
        <w:rPr>
          <w:rFonts w:hint="eastAsia"/>
          <w:bCs/>
          <w:color w:val="000000"/>
          <w:highlight w:val="none"/>
        </w:rPr>
        <w:t>），供应商信用信息的查询渠道为“信用中国（</w:t>
      </w:r>
      <w:r>
        <w:rPr>
          <w:bCs/>
          <w:color w:val="000000"/>
          <w:highlight w:val="none"/>
        </w:rPr>
        <w:t>https://www.creditchina.gov.cn/</w:t>
      </w:r>
      <w:r>
        <w:rPr>
          <w:rFonts w:hint="eastAsia"/>
          <w:bCs/>
          <w:color w:val="000000"/>
          <w:highlight w:val="none"/>
        </w:rPr>
        <w:t>）”、 “中国政府采购网（</w:t>
      </w:r>
      <w:r>
        <w:rPr>
          <w:bCs/>
          <w:color w:val="000000"/>
          <w:highlight w:val="none"/>
        </w:rPr>
        <w:t>http://www.ccgp.gov.cn/</w:t>
      </w:r>
      <w:r>
        <w:rPr>
          <w:rFonts w:hint="eastAsia"/>
          <w:bCs/>
          <w:color w:val="000000"/>
          <w:highlight w:val="none"/>
        </w:rPr>
        <w:t>）”、“深圳市政府采购监管网（</w:t>
      </w:r>
      <w:r>
        <w:rPr>
          <w:bCs/>
          <w:color w:val="000000"/>
          <w:highlight w:val="none"/>
        </w:rPr>
        <w:t>http://www.zfcg.sz.gov.cn/</w:t>
      </w:r>
      <w:r>
        <w:rPr>
          <w:rFonts w:hint="eastAsia"/>
          <w:bCs/>
          <w:color w:val="000000"/>
          <w:highlight w:val="none"/>
        </w:rPr>
        <w:t>）”，相关信息以中标通知书发出前的查询结果为准。</w:t>
      </w:r>
    </w:p>
    <w:p>
      <w:pPr>
        <w:tabs>
          <w:tab w:val="clear" w:pos="426"/>
        </w:tabs>
        <w:spacing w:line="240" w:lineRule="auto"/>
        <w:rPr>
          <w:bCs/>
          <w:color w:val="000000"/>
          <w:highlight w:val="none"/>
        </w:rPr>
      </w:pPr>
    </w:p>
    <w:p>
      <w:pPr>
        <w:widowControl w:val="0"/>
        <w:shd w:val="clear" w:color="auto" w:fill="auto"/>
        <w:tabs>
          <w:tab w:val="clear" w:pos="426"/>
        </w:tabs>
        <w:adjustRightInd/>
        <w:snapToGrid/>
        <w:spacing w:line="240" w:lineRule="auto"/>
        <w:jc w:val="left"/>
        <w:rPr>
          <w:rFonts w:ascii="Calibri" w:hAnsi="Calibri" w:cs="Times New Roman"/>
          <w:b/>
          <w:kern w:val="2"/>
          <w:szCs w:val="22"/>
          <w:highlight w:val="none"/>
        </w:rPr>
      </w:pPr>
    </w:p>
    <w:p>
      <w:pPr>
        <w:widowControl w:val="0"/>
        <w:shd w:val="clear" w:color="auto" w:fill="auto"/>
        <w:tabs>
          <w:tab w:val="clear" w:pos="426"/>
        </w:tabs>
        <w:adjustRightInd/>
        <w:snapToGrid/>
        <w:spacing w:line="240" w:lineRule="auto"/>
        <w:jc w:val="left"/>
        <w:rPr>
          <w:rFonts w:ascii="Calibri" w:hAnsi="Calibri" w:cs="Times New Roman"/>
          <w:b/>
          <w:kern w:val="2"/>
          <w:szCs w:val="22"/>
          <w:highlight w:val="none"/>
        </w:rPr>
      </w:pPr>
    </w:p>
    <w:p>
      <w:pPr>
        <w:widowControl w:val="0"/>
        <w:shd w:val="clear" w:color="auto" w:fill="auto"/>
        <w:tabs>
          <w:tab w:val="clear" w:pos="426"/>
        </w:tabs>
        <w:adjustRightInd/>
        <w:snapToGrid/>
        <w:spacing w:line="240" w:lineRule="auto"/>
        <w:jc w:val="left"/>
        <w:rPr>
          <w:rFonts w:ascii="Calibri" w:hAnsi="Calibri" w:cs="Times New Roman"/>
          <w:b/>
          <w:kern w:val="2"/>
          <w:szCs w:val="22"/>
          <w:highlight w:val="none"/>
        </w:rPr>
      </w:pPr>
    </w:p>
    <w:p>
      <w:pPr>
        <w:widowControl w:val="0"/>
        <w:shd w:val="clear" w:color="auto" w:fill="auto"/>
        <w:tabs>
          <w:tab w:val="clear" w:pos="426"/>
        </w:tabs>
        <w:adjustRightInd/>
        <w:snapToGrid/>
        <w:spacing w:line="240" w:lineRule="auto"/>
        <w:jc w:val="left"/>
        <w:rPr>
          <w:rFonts w:ascii="Calibri" w:hAnsi="Calibri" w:cs="Times New Roman"/>
          <w:b/>
          <w:kern w:val="2"/>
          <w:szCs w:val="22"/>
          <w:highlight w:val="none"/>
        </w:rPr>
      </w:pPr>
    </w:p>
    <w:p>
      <w:pPr>
        <w:shd w:val="clear" w:color="auto" w:fill="auto"/>
        <w:tabs>
          <w:tab w:val="clear" w:pos="426"/>
        </w:tabs>
        <w:adjustRightInd/>
        <w:snapToGrid/>
        <w:spacing w:line="240" w:lineRule="auto"/>
        <w:jc w:val="left"/>
        <w:rPr>
          <w:rFonts w:ascii="Calibri" w:hAnsi="Calibri" w:cs="Times New Roman"/>
          <w:b/>
          <w:kern w:val="2"/>
          <w:szCs w:val="22"/>
          <w:highlight w:val="none"/>
        </w:rPr>
      </w:pPr>
      <w:r>
        <w:rPr>
          <w:rFonts w:ascii="Calibri" w:hAnsi="Calibri" w:cs="Times New Roman"/>
          <w:b/>
          <w:kern w:val="2"/>
          <w:szCs w:val="22"/>
          <w:highlight w:val="none"/>
        </w:rPr>
        <w:br w:type="page"/>
      </w:r>
    </w:p>
    <w:p>
      <w:pPr>
        <w:pStyle w:val="33"/>
        <w:widowControl w:val="0"/>
        <w:shd w:val="clear" w:color="auto" w:fill="auto"/>
        <w:tabs>
          <w:tab w:val="clear" w:pos="426"/>
        </w:tabs>
        <w:adjustRightInd/>
        <w:snapToGrid/>
        <w:outlineLvl w:val="0"/>
        <w:rPr>
          <w:rFonts w:hint="eastAsia" w:ascii="宋体" w:hAnsi="宋体"/>
          <w:bCs w:val="0"/>
          <w:sz w:val="36"/>
          <w:szCs w:val="36"/>
          <w:highlight w:val="none"/>
        </w:rPr>
      </w:pPr>
      <w:bookmarkStart w:id="28" w:name="_Toc489466184"/>
      <w:r>
        <w:rPr>
          <w:rFonts w:hint="eastAsia" w:ascii="宋体" w:hAnsi="宋体"/>
          <w:bCs w:val="0"/>
          <w:sz w:val="36"/>
          <w:szCs w:val="36"/>
          <w:highlight w:val="none"/>
        </w:rPr>
        <w:t>定标信息</w:t>
      </w:r>
      <w:bookmarkEnd w:id="28"/>
    </w:p>
    <w:p>
      <w:pPr>
        <w:tabs>
          <w:tab w:val="clear" w:pos="426"/>
        </w:tabs>
        <w:wordWrap w:val="0"/>
        <w:rPr>
          <w:b/>
          <w:bCs/>
          <w:highlight w:val="none"/>
        </w:rPr>
      </w:pPr>
      <w:r>
        <w:rPr>
          <w:rFonts w:hint="eastAsia"/>
          <w:b/>
          <w:bCs/>
          <w:highlight w:val="none"/>
        </w:rPr>
        <w:t>一、定标原则</w:t>
      </w:r>
    </w:p>
    <w:p>
      <w:pPr>
        <w:tabs>
          <w:tab w:val="clear" w:pos="426"/>
        </w:tabs>
        <w:ind w:firstLine="411" w:firstLineChars="196"/>
        <w:rPr>
          <w:highlight w:val="none"/>
        </w:rPr>
      </w:pPr>
      <w:r>
        <w:rPr>
          <w:rFonts w:hint="eastAsia"/>
          <w:highlight w:val="none"/>
        </w:rPr>
        <w:t>按照招标文件规定的《评标信息》进行评审后，进入定标程序的三家投标单位按照自定法定标程序确定中标候选人。经采购人同意后，确定为中标人。</w:t>
      </w:r>
    </w:p>
    <w:p>
      <w:pPr>
        <w:tabs>
          <w:tab w:val="clear" w:pos="426"/>
        </w:tabs>
        <w:rPr>
          <w:highlight w:val="none"/>
        </w:rPr>
      </w:pPr>
    </w:p>
    <w:p>
      <w:pPr>
        <w:tabs>
          <w:tab w:val="clear" w:pos="426"/>
        </w:tabs>
        <w:rPr>
          <w:b/>
          <w:highlight w:val="none"/>
        </w:rPr>
      </w:pPr>
      <w:r>
        <w:rPr>
          <w:rFonts w:hint="eastAsia"/>
          <w:b/>
          <w:highlight w:val="none"/>
        </w:rPr>
        <w:t>二、定标流程</w:t>
      </w:r>
    </w:p>
    <w:p>
      <w:pPr>
        <w:tabs>
          <w:tab w:val="clear" w:pos="426"/>
        </w:tabs>
        <w:ind w:firstLine="420" w:firstLineChars="200"/>
        <w:rPr>
          <w:highlight w:val="none"/>
        </w:rPr>
      </w:pPr>
      <w:r>
        <w:rPr>
          <w:highlight w:val="none"/>
        </w:rPr>
        <w:t>1</w:t>
      </w:r>
      <w:r>
        <w:rPr>
          <w:rFonts w:hint="eastAsia"/>
          <w:highlight w:val="none"/>
        </w:rPr>
        <w:t>.项目评审结束之日起</w:t>
      </w:r>
      <w:r>
        <w:rPr>
          <w:highlight w:val="none"/>
        </w:rPr>
        <w:t>2</w:t>
      </w:r>
      <w:r>
        <w:rPr>
          <w:rFonts w:hint="eastAsia"/>
          <w:highlight w:val="none"/>
        </w:rPr>
        <w:t>个工作日内，采购人领取《评审报告》、《采购结果确定书》等材料；</w:t>
      </w:r>
    </w:p>
    <w:p>
      <w:pPr>
        <w:tabs>
          <w:tab w:val="clear" w:pos="426"/>
        </w:tabs>
        <w:ind w:firstLine="420" w:firstLineChars="200"/>
        <w:rPr>
          <w:highlight w:val="none"/>
        </w:rPr>
      </w:pPr>
      <w:r>
        <w:rPr>
          <w:highlight w:val="none"/>
        </w:rPr>
        <w:t>2</w:t>
      </w:r>
      <w:r>
        <w:rPr>
          <w:rFonts w:hint="eastAsia"/>
          <w:highlight w:val="none"/>
        </w:rPr>
        <w:t>.采购人应当在自收到评审报告之日起</w:t>
      </w:r>
      <w:r>
        <w:rPr>
          <w:highlight w:val="none"/>
        </w:rPr>
        <w:t>2</w:t>
      </w:r>
      <w:r>
        <w:rPr>
          <w:rFonts w:hint="eastAsia"/>
          <w:highlight w:val="none"/>
        </w:rPr>
        <w:t>个工作日内，采用自定法定标。</w:t>
      </w:r>
    </w:p>
    <w:p>
      <w:pPr>
        <w:tabs>
          <w:tab w:val="clear" w:pos="426"/>
        </w:tabs>
        <w:ind w:firstLine="420" w:firstLineChars="200"/>
        <w:rPr>
          <w:highlight w:val="none"/>
        </w:rPr>
      </w:pPr>
      <w:r>
        <w:rPr>
          <w:highlight w:val="none"/>
        </w:rPr>
        <w:t>3</w:t>
      </w:r>
      <w:r>
        <w:rPr>
          <w:rFonts w:hint="eastAsia"/>
          <w:highlight w:val="none"/>
        </w:rPr>
        <w:t>.采购人应当在定标会召开后的</w:t>
      </w:r>
      <w:r>
        <w:rPr>
          <w:highlight w:val="none"/>
        </w:rPr>
        <w:t>2</w:t>
      </w:r>
      <w:r>
        <w:rPr>
          <w:rFonts w:hint="eastAsia"/>
          <w:highlight w:val="none"/>
        </w:rPr>
        <w:t>个工作日内，将《定标书面记录》、《定标报告》在采购人内部网站或者内部公共办公区域公示，公示日期不少于</w:t>
      </w:r>
      <w:r>
        <w:rPr>
          <w:highlight w:val="none"/>
        </w:rPr>
        <w:t>3</w:t>
      </w:r>
      <w:r>
        <w:rPr>
          <w:rFonts w:hint="eastAsia"/>
          <w:highlight w:val="none"/>
        </w:rPr>
        <w:t>个工作日。公示内容包括定标委员会候选人员名单、正式成员名单、定标程序、定标环节及定标结果等内容。</w:t>
      </w:r>
    </w:p>
    <w:p>
      <w:pPr>
        <w:tabs>
          <w:tab w:val="clear" w:pos="426"/>
        </w:tabs>
        <w:ind w:firstLine="420" w:firstLineChars="200"/>
        <w:rPr>
          <w:highlight w:val="none"/>
        </w:rPr>
      </w:pPr>
      <w:r>
        <w:rPr>
          <w:highlight w:val="none"/>
        </w:rPr>
        <w:t>4</w:t>
      </w:r>
      <w:r>
        <w:rPr>
          <w:rFonts w:hint="eastAsia"/>
          <w:highlight w:val="none"/>
        </w:rPr>
        <w:t>.采购人应当在公示结束后</w:t>
      </w:r>
      <w:r>
        <w:rPr>
          <w:highlight w:val="none"/>
        </w:rPr>
        <w:t>2</w:t>
      </w:r>
      <w:r>
        <w:rPr>
          <w:rFonts w:hint="eastAsia"/>
          <w:highlight w:val="none"/>
        </w:rPr>
        <w:t>个工作日内，将《定标报告》和《采购结果确定书》移交采购代理机构。定标报告应当包括但不限于定标委员会候选人员名单、正式成员名单、定标委员会的产生过程、定标程序及定标结果等内容。</w:t>
      </w:r>
    </w:p>
    <w:p>
      <w:pPr>
        <w:tabs>
          <w:tab w:val="clear" w:pos="426"/>
        </w:tabs>
        <w:ind w:firstLine="420" w:firstLineChars="200"/>
        <w:rPr>
          <w:highlight w:val="none"/>
        </w:rPr>
      </w:pPr>
      <w:r>
        <w:rPr>
          <w:highlight w:val="none"/>
        </w:rPr>
        <w:t>5</w:t>
      </w:r>
      <w:r>
        <w:rPr>
          <w:rFonts w:hint="eastAsia"/>
          <w:highlight w:val="none"/>
        </w:rPr>
        <w:t>.采购代理机构项目评审负责人收到《定标报告》和《采购结果确定书》后当天在深圳市政府采购网发布项目《中标结果公示》。</w:t>
      </w:r>
    </w:p>
    <w:p>
      <w:pPr>
        <w:tabs>
          <w:tab w:val="clear" w:pos="426"/>
        </w:tabs>
        <w:ind w:firstLine="420" w:firstLineChars="200"/>
        <w:rPr>
          <w:highlight w:val="none"/>
        </w:rPr>
      </w:pPr>
      <w:r>
        <w:rPr>
          <w:highlight w:val="none"/>
        </w:rPr>
        <w:t>6</w:t>
      </w:r>
      <w:r>
        <w:rPr>
          <w:rFonts w:hint="eastAsia"/>
          <w:highlight w:val="none"/>
        </w:rPr>
        <w:t>.中标结果公示后，如无质疑投诉或已按相关法规妥善处理，采购代理机构发出中标通知书。</w:t>
      </w:r>
    </w:p>
    <w:p>
      <w:pPr>
        <w:tabs>
          <w:tab w:val="clear" w:pos="426"/>
        </w:tabs>
        <w:ind w:firstLine="420" w:firstLineChars="200"/>
        <w:rPr>
          <w:highlight w:val="none"/>
        </w:rPr>
      </w:pPr>
    </w:p>
    <w:p>
      <w:pPr>
        <w:shd w:val="clear" w:color="auto" w:fill="auto"/>
        <w:tabs>
          <w:tab w:val="clear" w:pos="426"/>
        </w:tabs>
        <w:adjustRightInd/>
        <w:snapToGrid/>
        <w:spacing w:line="240" w:lineRule="auto"/>
        <w:jc w:val="left"/>
        <w:rPr>
          <w:rFonts w:ascii="Calibri" w:hAnsi="Calibri" w:cs="Times New Roman"/>
          <w:b/>
          <w:kern w:val="2"/>
          <w:szCs w:val="22"/>
          <w:highlight w:val="none"/>
        </w:rPr>
      </w:pPr>
    </w:p>
    <w:p>
      <w:pPr>
        <w:shd w:val="clear" w:color="auto" w:fill="auto"/>
        <w:tabs>
          <w:tab w:val="clear" w:pos="426"/>
        </w:tabs>
        <w:adjustRightInd/>
        <w:snapToGrid/>
        <w:spacing w:line="240" w:lineRule="auto"/>
        <w:jc w:val="left"/>
        <w:rPr>
          <w:rFonts w:ascii="Calibri" w:hAnsi="Calibri" w:cs="Times New Roman"/>
          <w:b/>
          <w:kern w:val="2"/>
          <w:szCs w:val="22"/>
          <w:highlight w:val="none"/>
        </w:rPr>
      </w:pPr>
      <w:r>
        <w:rPr>
          <w:rFonts w:ascii="Calibri" w:hAnsi="Calibri" w:cs="Times New Roman"/>
          <w:b/>
          <w:kern w:val="2"/>
          <w:szCs w:val="22"/>
          <w:highlight w:val="none"/>
        </w:rPr>
        <w:br w:type="page"/>
      </w:r>
    </w:p>
    <w:p>
      <w:pPr>
        <w:pStyle w:val="42"/>
        <w:tabs>
          <w:tab w:val="clear" w:pos="426"/>
        </w:tabs>
        <w:rPr>
          <w:highlight w:val="none"/>
        </w:rPr>
      </w:pPr>
      <w:bookmarkStart w:id="29" w:name="_Toc12610121"/>
      <w:r>
        <w:rPr>
          <w:rFonts w:hint="eastAsia"/>
          <w:highlight w:val="none"/>
        </w:rPr>
        <w:t>第一册专用条款</w:t>
      </w:r>
      <w:bookmarkEnd w:id="26"/>
      <w:bookmarkEnd w:id="29"/>
    </w:p>
    <w:p>
      <w:pPr>
        <w:pStyle w:val="33"/>
        <w:tabs>
          <w:tab w:val="clear" w:pos="426"/>
        </w:tabs>
        <w:rPr>
          <w:highlight w:val="none"/>
        </w:rPr>
      </w:pPr>
      <w:bookmarkStart w:id="30" w:name="_Toc12610122"/>
      <w:bookmarkStart w:id="31" w:name="_Toc265483798"/>
      <w:bookmarkStart w:id="32" w:name="_Toc432592813"/>
      <w:r>
        <w:rPr>
          <w:rFonts w:hint="eastAsia"/>
          <w:highlight w:val="none"/>
        </w:rPr>
        <w:t>第一章采购公告</w:t>
      </w:r>
      <w:bookmarkEnd w:id="30"/>
      <w:bookmarkEnd w:id="31"/>
      <w:bookmarkEnd w:id="32"/>
    </w:p>
    <w:p>
      <w:pPr>
        <w:tabs>
          <w:tab w:val="clear" w:pos="426"/>
        </w:tabs>
        <w:rPr>
          <w:b/>
          <w:highlight w:val="none"/>
        </w:rPr>
      </w:pPr>
      <w:bookmarkStart w:id="390" w:name="_GoBack"/>
      <w:r>
        <w:rPr>
          <w:rFonts w:hint="eastAsia"/>
          <w:b/>
          <w:highlight w:val="none"/>
        </w:rPr>
        <w:t>一、项目概况</w:t>
      </w:r>
    </w:p>
    <w:p>
      <w:pPr>
        <w:tabs>
          <w:tab w:val="clear" w:pos="426"/>
        </w:tabs>
        <w:ind w:firstLine="315" w:firstLineChars="150"/>
        <w:rPr>
          <w:rFonts w:hint="eastAsia" w:eastAsia="宋体"/>
          <w:highlight w:val="none"/>
          <w:lang w:eastAsia="zh-CN"/>
        </w:rPr>
      </w:pPr>
      <w:r>
        <w:rPr>
          <w:highlight w:val="none"/>
        </w:rPr>
        <w:t>1.招标项目编号：</w:t>
      </w:r>
      <w:bookmarkStart w:id="33" w:name="项目概况2"/>
      <w:r>
        <w:rPr>
          <w:rFonts w:hint="eastAsia"/>
          <w:highlight w:val="none"/>
          <w:lang w:eastAsia="zh-CN"/>
        </w:rPr>
        <w:t>SSZX2019-333</w:t>
      </w:r>
    </w:p>
    <w:p>
      <w:pPr>
        <w:tabs>
          <w:tab w:val="clear" w:pos="426"/>
        </w:tabs>
        <w:ind w:firstLine="315" w:firstLineChars="150"/>
        <w:rPr>
          <w:rFonts w:hint="eastAsia" w:eastAsia="宋体"/>
          <w:highlight w:val="none"/>
          <w:lang w:eastAsia="zh-CN"/>
        </w:rPr>
      </w:pPr>
      <w:r>
        <w:rPr>
          <w:highlight w:val="none"/>
        </w:rPr>
        <w:t>2.项目名称：</w:t>
      </w:r>
      <w:r>
        <w:rPr>
          <w:rFonts w:hint="eastAsia"/>
          <w:highlight w:val="none"/>
          <w:lang w:eastAsia="zh-CN"/>
        </w:rPr>
        <w:t>南头街道政务自助服务终端设备采购项目</w:t>
      </w:r>
    </w:p>
    <w:p>
      <w:pPr>
        <w:tabs>
          <w:tab w:val="clear" w:pos="426"/>
        </w:tabs>
        <w:ind w:firstLine="315" w:firstLineChars="150"/>
        <w:rPr>
          <w:highlight w:val="none"/>
        </w:rPr>
      </w:pPr>
      <w:r>
        <w:rPr>
          <w:highlight w:val="none"/>
        </w:rPr>
        <w:t>3.采购人：深圳市南山区</w:t>
      </w:r>
      <w:r>
        <w:rPr>
          <w:rFonts w:hint="eastAsia"/>
          <w:highlight w:val="none"/>
          <w:lang w:eastAsia="zh-CN"/>
        </w:rPr>
        <w:t>南头街道</w:t>
      </w:r>
      <w:r>
        <w:rPr>
          <w:highlight w:val="none"/>
        </w:rPr>
        <w:t>办事处</w:t>
      </w:r>
    </w:p>
    <w:p>
      <w:pPr>
        <w:tabs>
          <w:tab w:val="clear" w:pos="426"/>
        </w:tabs>
        <w:ind w:firstLine="315" w:firstLineChars="150"/>
        <w:rPr>
          <w:highlight w:val="none"/>
        </w:rPr>
      </w:pPr>
      <w:r>
        <w:rPr>
          <w:highlight w:val="none"/>
        </w:rPr>
        <w:t>4.采购代理机构：深圳市深水水务咨询有限公司</w:t>
      </w:r>
    </w:p>
    <w:p>
      <w:pPr>
        <w:tabs>
          <w:tab w:val="clear" w:pos="426"/>
        </w:tabs>
        <w:ind w:firstLine="315" w:firstLineChars="150"/>
        <w:rPr>
          <w:highlight w:val="none"/>
        </w:rPr>
      </w:pPr>
      <w:r>
        <w:rPr>
          <w:highlight w:val="none"/>
        </w:rPr>
        <w:t>5.项目地点：深圳市</w:t>
      </w:r>
    </w:p>
    <w:p>
      <w:pPr>
        <w:tabs>
          <w:tab w:val="clear" w:pos="426"/>
        </w:tabs>
        <w:ind w:firstLine="315" w:firstLineChars="150"/>
        <w:rPr>
          <w:highlight w:val="none"/>
        </w:rPr>
      </w:pPr>
      <w:r>
        <w:rPr>
          <w:highlight w:val="none"/>
        </w:rPr>
        <w:t>6.项目规模及特征：具</w:t>
      </w:r>
      <w:r>
        <w:rPr>
          <w:highlight w:val="none"/>
        </w:rPr>
        <w:t>体内容，详见招标文件及采购需求。</w:t>
      </w:r>
    </w:p>
    <w:p>
      <w:pPr>
        <w:tabs>
          <w:tab w:val="clear" w:pos="426"/>
        </w:tabs>
        <w:ind w:firstLine="315" w:firstLineChars="150"/>
        <w:rPr>
          <w:highlight w:val="none"/>
        </w:rPr>
      </w:pPr>
      <w:r>
        <w:rPr>
          <w:highlight w:val="none"/>
        </w:rPr>
        <w:t>7.资金来源：财政资金100%</w:t>
      </w:r>
    </w:p>
    <w:p>
      <w:pPr>
        <w:tabs>
          <w:tab w:val="clear" w:pos="426"/>
        </w:tabs>
        <w:ind w:firstLine="315" w:firstLineChars="150"/>
        <w:rPr>
          <w:rFonts w:hint="eastAsia"/>
          <w:highlight w:val="none"/>
          <w:lang w:val="en-US" w:eastAsia="zh-CN"/>
        </w:rPr>
      </w:pPr>
      <w:r>
        <w:rPr>
          <w:highlight w:val="none"/>
        </w:rPr>
        <w:t>8.采购预算限额：</w:t>
      </w:r>
      <w:r>
        <w:rPr>
          <w:rFonts w:hint="eastAsia"/>
          <w:highlight w:val="none"/>
          <w:lang w:val="en-US" w:eastAsia="zh-CN"/>
        </w:rPr>
        <w:t>765，000.00元</w:t>
      </w:r>
    </w:p>
    <w:p>
      <w:pPr>
        <w:tabs>
          <w:tab w:val="clear" w:pos="426"/>
        </w:tabs>
        <w:ind w:firstLine="315" w:firstLineChars="150"/>
        <w:rPr>
          <w:rFonts w:hint="eastAsia" w:eastAsia="宋体"/>
          <w:highlight w:val="none"/>
          <w:lang w:eastAsia="zh-CN"/>
        </w:rPr>
      </w:pPr>
      <w:r>
        <w:rPr>
          <w:highlight w:val="none"/>
        </w:rPr>
        <w:t>9.采购计划编号：</w:t>
      </w:r>
      <w:r>
        <w:rPr>
          <w:rFonts w:hint="eastAsia"/>
          <w:highlight w:val="none"/>
          <w:lang w:eastAsia="zh-CN"/>
        </w:rPr>
        <w:t>详见招标文件</w:t>
      </w:r>
    </w:p>
    <w:p>
      <w:pPr>
        <w:tabs>
          <w:tab w:val="clear" w:pos="426"/>
        </w:tabs>
        <w:ind w:firstLine="315" w:firstLineChars="150"/>
        <w:rPr>
          <w:highlight w:val="none"/>
        </w:rPr>
      </w:pPr>
      <w:r>
        <w:rPr>
          <w:highlight w:val="none"/>
        </w:rPr>
        <w:t>10.采购内容：</w:t>
      </w:r>
      <w:r>
        <w:rPr>
          <w:rFonts w:hint="eastAsia"/>
          <w:highlight w:val="none"/>
          <w:lang w:eastAsia="zh-CN"/>
        </w:rPr>
        <w:t>南头街道政务自助服务终端设备采购项目</w:t>
      </w:r>
      <w:r>
        <w:rPr>
          <w:highlight w:val="none"/>
        </w:rPr>
        <w:t>，详见招标文件及采购需求。</w:t>
      </w:r>
    </w:p>
    <w:p>
      <w:pPr>
        <w:tabs>
          <w:tab w:val="clear" w:pos="426"/>
        </w:tabs>
        <w:ind w:firstLine="315" w:firstLineChars="150"/>
        <w:rPr>
          <w:highlight w:val="none"/>
        </w:rPr>
      </w:pPr>
      <w:r>
        <w:rPr>
          <w:highlight w:val="none"/>
        </w:rPr>
        <w:t>11.采购方式：公开招标</w:t>
      </w:r>
    </w:p>
    <w:p>
      <w:pPr>
        <w:tabs>
          <w:tab w:val="clear" w:pos="426"/>
        </w:tabs>
        <w:ind w:firstLine="315" w:firstLineChars="150"/>
        <w:rPr>
          <w:highlight w:val="none"/>
        </w:rPr>
      </w:pPr>
      <w:r>
        <w:rPr>
          <w:highlight w:val="none"/>
        </w:rPr>
        <w:t>12.评标方法：综合评分法</w:t>
      </w:r>
    </w:p>
    <w:p>
      <w:pPr>
        <w:tabs>
          <w:tab w:val="clear" w:pos="426"/>
        </w:tabs>
        <w:ind w:firstLine="315" w:firstLineChars="150"/>
        <w:rPr>
          <w:highlight w:val="none"/>
        </w:rPr>
      </w:pPr>
      <w:r>
        <w:rPr>
          <w:rFonts w:hint="eastAsia"/>
          <w:highlight w:val="none"/>
        </w:rPr>
        <w:t>13.定标方法：自定法</w:t>
      </w:r>
    </w:p>
    <w:p>
      <w:pPr>
        <w:tabs>
          <w:tab w:val="clear" w:pos="426"/>
        </w:tabs>
        <w:ind w:firstLine="315" w:firstLineChars="150"/>
        <w:rPr>
          <w:highlight w:val="none"/>
        </w:rPr>
      </w:pPr>
      <w:r>
        <w:rPr>
          <w:highlight w:val="none"/>
        </w:rPr>
        <w:t>1</w:t>
      </w:r>
      <w:r>
        <w:rPr>
          <w:rFonts w:hint="eastAsia"/>
          <w:highlight w:val="none"/>
        </w:rPr>
        <w:t>4</w:t>
      </w:r>
      <w:r>
        <w:rPr>
          <w:highlight w:val="none"/>
        </w:rPr>
        <w:t>.交货期要求：</w:t>
      </w:r>
      <w:bookmarkEnd w:id="33"/>
      <w:r>
        <w:rPr>
          <w:rFonts w:hint="eastAsia"/>
          <w:bCs/>
          <w:szCs w:val="21"/>
          <w:highlight w:val="none"/>
        </w:rPr>
        <w:t>签订合同后</w:t>
      </w:r>
      <w:r>
        <w:rPr>
          <w:bCs/>
          <w:szCs w:val="21"/>
          <w:highlight w:val="none"/>
          <w:u w:val="single"/>
        </w:rPr>
        <w:t>45</w:t>
      </w:r>
      <w:r>
        <w:rPr>
          <w:rFonts w:hint="eastAsia"/>
          <w:bCs/>
          <w:szCs w:val="21"/>
          <w:highlight w:val="none"/>
        </w:rPr>
        <w:t>天（日历日）内。</w:t>
      </w:r>
    </w:p>
    <w:p>
      <w:pPr>
        <w:tabs>
          <w:tab w:val="clear" w:pos="426"/>
        </w:tabs>
        <w:rPr>
          <w:b/>
          <w:highlight w:val="none"/>
        </w:rPr>
      </w:pPr>
      <w:r>
        <w:rPr>
          <w:rFonts w:hint="eastAsia"/>
          <w:b/>
          <w:highlight w:val="none"/>
        </w:rPr>
        <w:t>二、投标人资格要求</w:t>
      </w:r>
    </w:p>
    <w:p>
      <w:pPr>
        <w:tabs>
          <w:tab w:val="clear" w:pos="426"/>
        </w:tabs>
        <w:ind w:firstLine="424" w:firstLineChars="202"/>
        <w:rPr>
          <w:rFonts w:cs="Times New Roman"/>
          <w:kern w:val="2"/>
          <w:szCs w:val="20"/>
          <w:highlight w:val="none"/>
        </w:rPr>
      </w:pPr>
      <w:r>
        <w:rPr>
          <w:rFonts w:hint="eastAsia" w:cs="Times New Roman"/>
          <w:kern w:val="2"/>
          <w:szCs w:val="20"/>
          <w:highlight w:val="none"/>
        </w:rPr>
        <w:t>（1）</w:t>
      </w:r>
      <w:r>
        <w:rPr>
          <w:rFonts w:cs="Times New Roman"/>
          <w:kern w:val="2"/>
          <w:szCs w:val="20"/>
          <w:highlight w:val="none"/>
        </w:rPr>
        <w:t>投标人须是在中华人民共和国境内注册的有合法经营资格的国内独立法人（证明文件：须提供营业执照复印件并加盖投标人公章，原件备查</w:t>
      </w:r>
      <w:r>
        <w:rPr>
          <w:rFonts w:hint="eastAsia" w:cs="Times New Roman"/>
          <w:kern w:val="2"/>
          <w:szCs w:val="20"/>
          <w:highlight w:val="none"/>
        </w:rPr>
        <w:t>）；</w:t>
      </w:r>
    </w:p>
    <w:p>
      <w:pPr>
        <w:tabs>
          <w:tab w:val="clear" w:pos="426"/>
        </w:tabs>
        <w:ind w:firstLine="424" w:firstLineChars="202"/>
        <w:rPr>
          <w:rFonts w:cs="Times New Roman"/>
          <w:kern w:val="2"/>
          <w:szCs w:val="20"/>
          <w:highlight w:val="none"/>
        </w:rPr>
      </w:pPr>
      <w:r>
        <w:rPr>
          <w:rFonts w:hint="eastAsia" w:cs="Times New Roman"/>
          <w:kern w:val="2"/>
          <w:szCs w:val="20"/>
          <w:highlight w:val="none"/>
        </w:rPr>
        <w:t>（2）</w:t>
      </w:r>
      <w:r>
        <w:rPr>
          <w:rFonts w:hint="eastAsia"/>
          <w:highlight w:val="none"/>
        </w:rPr>
        <w:t>投标人必须具有深圳市政府采购注册供应商资格（供应商注册网址http://www.szzfcg.cn，投标文件中无需提供证明材料。采购代理机构将在开标当天从供应商资料库里查询本项目所有投标人的注册状态，投标人注册状态无效的，将按资格不符合招标文件要求，作资格审查不通过处理）；</w:t>
      </w:r>
    </w:p>
    <w:p>
      <w:pPr>
        <w:tabs>
          <w:tab w:val="clear" w:pos="426"/>
        </w:tabs>
        <w:ind w:firstLine="424" w:firstLineChars="202"/>
        <w:rPr>
          <w:rFonts w:cs="Times New Roman"/>
          <w:kern w:val="2"/>
          <w:szCs w:val="20"/>
          <w:highlight w:val="none"/>
        </w:rPr>
      </w:pPr>
      <w:r>
        <w:rPr>
          <w:rFonts w:hint="eastAsia" w:cs="Times New Roman"/>
          <w:kern w:val="2"/>
          <w:szCs w:val="20"/>
          <w:highlight w:val="none"/>
        </w:rPr>
        <w:t>（3）投标人</w:t>
      </w:r>
      <w:r>
        <w:rPr>
          <w:rFonts w:cs="Times New Roman"/>
          <w:kern w:val="2"/>
          <w:szCs w:val="20"/>
          <w:highlight w:val="none"/>
        </w:rPr>
        <w:t>必须</w:t>
      </w:r>
      <w:r>
        <w:rPr>
          <w:rFonts w:hint="eastAsia" w:cs="Times New Roman"/>
          <w:kern w:val="2"/>
          <w:szCs w:val="20"/>
          <w:highlight w:val="none"/>
        </w:rPr>
        <w:t>承诺参与本项目投标前三年内，在经营活动中没有重大违法记录，以及参与本项目政府采购活动时不存在被有关部门禁止参与政府采购活动且在有效期内的情况。（提供</w:t>
      </w:r>
      <w:r>
        <w:rPr>
          <w:rFonts w:hint="eastAsia"/>
          <w:bCs/>
          <w:szCs w:val="21"/>
          <w:highlight w:val="none"/>
        </w:rPr>
        <w:t>政府采购投标及履约承诺函</w:t>
      </w:r>
      <w:r>
        <w:rPr>
          <w:rFonts w:hint="eastAsia" w:cs="Times New Roman"/>
          <w:kern w:val="2"/>
          <w:szCs w:val="20"/>
          <w:highlight w:val="none"/>
        </w:rPr>
        <w:t>，承诺函格式详见招标文件第五章投标文件格式、附件 “</w:t>
      </w:r>
      <w:r>
        <w:rPr>
          <w:rFonts w:hint="eastAsia"/>
          <w:bCs/>
          <w:szCs w:val="21"/>
          <w:highlight w:val="none"/>
        </w:rPr>
        <w:t>政府采购投标及履约承诺函</w:t>
      </w:r>
      <w:r>
        <w:rPr>
          <w:rFonts w:hint="eastAsia" w:cs="Times New Roman"/>
          <w:kern w:val="2"/>
          <w:szCs w:val="20"/>
          <w:highlight w:val="none"/>
        </w:rPr>
        <w:t>”）；</w:t>
      </w:r>
    </w:p>
    <w:p>
      <w:pPr>
        <w:tabs>
          <w:tab w:val="clear" w:pos="426"/>
        </w:tabs>
        <w:ind w:firstLine="424" w:firstLineChars="202"/>
        <w:rPr>
          <w:highlight w:val="none"/>
        </w:rPr>
      </w:pPr>
      <w:r>
        <w:rPr>
          <w:rFonts w:hint="eastAsia" w:cs="Times New Roman"/>
          <w:kern w:val="2"/>
          <w:szCs w:val="20"/>
          <w:highlight w:val="none"/>
        </w:rPr>
        <w:t>（4）</w:t>
      </w:r>
      <w:r>
        <w:rPr>
          <w:highlight w:val="none"/>
        </w:rPr>
        <w:t>参与本项目政府采购活动时不存在被有关部门禁止参与政府采购活动且在有效期内的情况（由供应商在《政府采购投标及履约承诺函》中作出声明）；</w:t>
      </w:r>
    </w:p>
    <w:p>
      <w:pPr>
        <w:tabs>
          <w:tab w:val="clear" w:pos="426"/>
        </w:tabs>
        <w:ind w:firstLine="424" w:firstLineChars="202"/>
        <w:rPr>
          <w:rFonts w:cs="Times New Roman"/>
          <w:kern w:val="2"/>
          <w:szCs w:val="20"/>
          <w:highlight w:val="none"/>
        </w:rPr>
      </w:pPr>
      <w:r>
        <w:rPr>
          <w:rFonts w:hint="eastAsia"/>
          <w:highlight w:val="none"/>
        </w:rPr>
        <w:t>（5）</w:t>
      </w:r>
      <w:r>
        <w:rPr>
          <w:highlight w:val="none"/>
        </w:rPr>
        <w:t>参与本项目的供应商具备《中华人民共和国政府采购法》第二十二条第一款规定的条件（由供应商在《政府采购投标及履约承诺函》中作出声明）</w:t>
      </w:r>
    </w:p>
    <w:p>
      <w:pPr>
        <w:tabs>
          <w:tab w:val="clear" w:pos="426"/>
        </w:tabs>
        <w:ind w:firstLine="424" w:firstLineChars="202"/>
        <w:rPr>
          <w:rFonts w:cs="Times New Roman"/>
          <w:kern w:val="2"/>
          <w:szCs w:val="20"/>
          <w:highlight w:val="none"/>
        </w:rPr>
      </w:pPr>
      <w:r>
        <w:rPr>
          <w:rFonts w:hint="eastAsia" w:cs="Times New Roman"/>
          <w:kern w:val="2"/>
          <w:szCs w:val="20"/>
          <w:highlight w:val="none"/>
        </w:rPr>
        <w:t>（6）近三年内（即至少从2016年06月开始起算，供应商成立不足三年的可从成立之日起算）无行贿犯罪记录，（由深圳市政府采购中心定期向市人民检察院申请对政府采购供应商中注册有效的供应商进行集中查询，无须单独开具《行贿犯罪档案查询告知函》）；</w:t>
      </w:r>
    </w:p>
    <w:p>
      <w:pPr>
        <w:ind w:firstLine="420" w:firstLineChars="200"/>
        <w:rPr>
          <w:rFonts w:cs="Times New Roman"/>
          <w:kern w:val="2"/>
          <w:szCs w:val="20"/>
          <w:highlight w:val="none"/>
        </w:rPr>
      </w:pPr>
      <w:r>
        <w:rPr>
          <w:rFonts w:hint="eastAsia"/>
          <w:szCs w:val="21"/>
          <w:highlight w:val="none"/>
        </w:rPr>
        <w:t>（7）</w:t>
      </w:r>
      <w:r>
        <w:rPr>
          <w:rFonts w:hint="eastAsia" w:cs="Times New Roman"/>
          <w:kern w:val="2"/>
          <w:szCs w:val="20"/>
          <w:highlight w:val="none"/>
        </w:rPr>
        <w:t>本项目不接受进口产品投标；</w:t>
      </w:r>
    </w:p>
    <w:p>
      <w:pPr>
        <w:tabs>
          <w:tab w:val="clear" w:pos="426"/>
        </w:tabs>
        <w:ind w:firstLine="424" w:firstLineChars="202"/>
        <w:rPr>
          <w:rFonts w:cs="Times New Roman"/>
          <w:kern w:val="2"/>
          <w:szCs w:val="20"/>
          <w:highlight w:val="none"/>
        </w:rPr>
      </w:pPr>
      <w:r>
        <w:rPr>
          <w:rFonts w:hint="eastAsia" w:cs="Times New Roman"/>
          <w:kern w:val="2"/>
          <w:szCs w:val="20"/>
          <w:highlight w:val="none"/>
        </w:rPr>
        <w:t>（8）本项目不接受联合体投标人，不允许转包、分包。</w:t>
      </w:r>
    </w:p>
    <w:p>
      <w:pPr>
        <w:widowControl w:val="0"/>
        <w:shd w:val="clear" w:color="auto" w:fill="auto"/>
        <w:tabs>
          <w:tab w:val="clear" w:pos="426"/>
        </w:tabs>
        <w:adjustRightInd/>
        <w:snapToGrid/>
        <w:rPr>
          <w:rFonts w:ascii="Times New Roman" w:hAnsi="Times New Roman" w:cs="Times New Roman"/>
          <w:b/>
          <w:kern w:val="2"/>
          <w:szCs w:val="21"/>
          <w:highlight w:val="none"/>
        </w:rPr>
      </w:pPr>
      <w:r>
        <w:rPr>
          <w:rFonts w:hint="eastAsia" w:ascii="Times New Roman" w:hAnsi="Times New Roman" w:cs="Times New Roman"/>
          <w:b/>
          <w:kern w:val="2"/>
          <w:szCs w:val="21"/>
          <w:highlight w:val="none"/>
        </w:rPr>
        <w:t>三、获取招标文件的时间、地点、方式及招标文件售价</w:t>
      </w:r>
    </w:p>
    <w:p>
      <w:pPr>
        <w:tabs>
          <w:tab w:val="clear" w:pos="426"/>
        </w:tabs>
        <w:ind w:firstLine="424" w:firstLineChars="202"/>
        <w:rPr>
          <w:highlight w:val="none"/>
        </w:rPr>
      </w:pPr>
      <w:r>
        <w:rPr>
          <w:highlight w:val="none"/>
        </w:rPr>
        <w:t>1</w:t>
      </w:r>
      <w:r>
        <w:rPr>
          <w:rFonts w:hint="eastAsia"/>
          <w:highlight w:val="none"/>
        </w:rPr>
        <w:t>.获取招标文件时间：</w:t>
      </w:r>
      <w:r>
        <w:rPr>
          <w:rFonts w:hint="eastAsia"/>
          <w:highlight w:val="none"/>
          <w:u w:val="single"/>
        </w:rPr>
        <w:t>2019</w:t>
      </w:r>
      <w:r>
        <w:rPr>
          <w:rFonts w:hint="eastAsia"/>
          <w:highlight w:val="none"/>
        </w:rPr>
        <w:t>年</w:t>
      </w:r>
      <w:r>
        <w:rPr>
          <w:rFonts w:hint="eastAsia"/>
          <w:highlight w:val="none"/>
          <w:lang w:val="en-US" w:eastAsia="zh-CN"/>
        </w:rPr>
        <w:t>11</w:t>
      </w:r>
      <w:r>
        <w:rPr>
          <w:rFonts w:hint="eastAsia"/>
          <w:highlight w:val="none"/>
        </w:rPr>
        <w:t>月</w:t>
      </w:r>
      <w:r>
        <w:rPr>
          <w:rFonts w:hint="eastAsia"/>
          <w:highlight w:val="none"/>
          <w:lang w:val="en-US" w:eastAsia="zh-CN"/>
        </w:rPr>
        <w:t>5</w:t>
      </w:r>
      <w:r>
        <w:rPr>
          <w:rFonts w:hint="eastAsia"/>
          <w:highlight w:val="none"/>
        </w:rPr>
        <w:t>日起至</w:t>
      </w:r>
      <w:r>
        <w:rPr>
          <w:rFonts w:hint="eastAsia"/>
          <w:highlight w:val="none"/>
          <w:u w:val="single"/>
        </w:rPr>
        <w:t>2019</w:t>
      </w:r>
      <w:r>
        <w:rPr>
          <w:rFonts w:hint="eastAsia"/>
          <w:highlight w:val="none"/>
        </w:rPr>
        <w:t>年</w:t>
      </w:r>
      <w:r>
        <w:rPr>
          <w:rFonts w:hint="eastAsia"/>
          <w:highlight w:val="none"/>
          <w:lang w:val="en-US" w:eastAsia="zh-CN"/>
        </w:rPr>
        <w:t>11</w:t>
      </w:r>
      <w:r>
        <w:rPr>
          <w:rFonts w:hint="eastAsia"/>
          <w:highlight w:val="none"/>
        </w:rPr>
        <w:t>月</w:t>
      </w:r>
      <w:r>
        <w:rPr>
          <w:rFonts w:hint="eastAsia"/>
          <w:highlight w:val="none"/>
          <w:lang w:val="en-US" w:eastAsia="zh-CN"/>
        </w:rPr>
        <w:t>11</w:t>
      </w:r>
      <w:r>
        <w:rPr>
          <w:rFonts w:hint="eastAsia"/>
          <w:highlight w:val="none"/>
        </w:rPr>
        <w:t>日（节假日除外），上午</w:t>
      </w:r>
      <w:r>
        <w:rPr>
          <w:rFonts w:hint="eastAsia"/>
          <w:highlight w:val="none"/>
          <w:u w:val="single"/>
        </w:rPr>
        <w:t xml:space="preserve"> 09:00</w:t>
      </w:r>
      <w:r>
        <w:rPr>
          <w:rFonts w:hint="eastAsia"/>
          <w:highlight w:val="none"/>
        </w:rPr>
        <w:t>～</w:t>
      </w:r>
      <w:r>
        <w:rPr>
          <w:rFonts w:hint="eastAsia"/>
          <w:highlight w:val="none"/>
          <w:u w:val="single"/>
        </w:rPr>
        <w:t>11:30</w:t>
      </w:r>
      <w:r>
        <w:rPr>
          <w:rFonts w:hint="eastAsia"/>
          <w:highlight w:val="none"/>
        </w:rPr>
        <w:t>，下午</w:t>
      </w:r>
      <w:r>
        <w:rPr>
          <w:rFonts w:hint="eastAsia"/>
          <w:highlight w:val="none"/>
          <w:u w:val="single"/>
        </w:rPr>
        <w:t>14:00</w:t>
      </w:r>
      <w:r>
        <w:rPr>
          <w:rFonts w:hint="eastAsia"/>
          <w:highlight w:val="none"/>
        </w:rPr>
        <w:t>～</w:t>
      </w:r>
      <w:r>
        <w:rPr>
          <w:rFonts w:hint="eastAsia"/>
          <w:highlight w:val="none"/>
          <w:u w:val="single"/>
        </w:rPr>
        <w:t>17:30</w:t>
      </w:r>
      <w:r>
        <w:rPr>
          <w:rFonts w:hint="eastAsia"/>
          <w:highlight w:val="none"/>
        </w:rPr>
        <w:t>（北京时间）。</w:t>
      </w:r>
    </w:p>
    <w:p>
      <w:pPr>
        <w:tabs>
          <w:tab w:val="clear" w:pos="426"/>
        </w:tabs>
        <w:ind w:firstLine="424" w:firstLineChars="202"/>
        <w:rPr>
          <w:highlight w:val="none"/>
        </w:rPr>
      </w:pPr>
      <w:r>
        <w:rPr>
          <w:highlight w:val="none"/>
        </w:rPr>
        <w:t>2</w:t>
      </w:r>
      <w:r>
        <w:rPr>
          <w:rFonts w:hint="eastAsia"/>
          <w:highlight w:val="none"/>
        </w:rPr>
        <w:t>.获取招标文件地点：深圳市罗湖区布吉路1028号中设广场B座307。</w:t>
      </w:r>
    </w:p>
    <w:p>
      <w:pPr>
        <w:tabs>
          <w:tab w:val="clear" w:pos="426"/>
        </w:tabs>
        <w:ind w:firstLine="424" w:firstLineChars="202"/>
        <w:rPr>
          <w:highlight w:val="none"/>
        </w:rPr>
      </w:pPr>
      <w:r>
        <w:rPr>
          <w:highlight w:val="none"/>
        </w:rPr>
        <w:t>3</w:t>
      </w:r>
      <w:r>
        <w:rPr>
          <w:rFonts w:hint="eastAsia"/>
          <w:highlight w:val="none"/>
        </w:rPr>
        <w:t>.获取招标文件方式：现场购买或邮购。</w:t>
      </w:r>
    </w:p>
    <w:p>
      <w:pPr>
        <w:tabs>
          <w:tab w:val="clear" w:pos="426"/>
        </w:tabs>
        <w:ind w:firstLine="424" w:firstLineChars="202"/>
        <w:rPr>
          <w:highlight w:val="none"/>
        </w:rPr>
      </w:pPr>
      <w:r>
        <w:rPr>
          <w:highlight w:val="none"/>
        </w:rPr>
        <w:t>4</w:t>
      </w:r>
      <w:r>
        <w:rPr>
          <w:rFonts w:hint="eastAsia"/>
          <w:highlight w:val="none"/>
        </w:rPr>
        <w:t>.招标文件售价：每套人民币5</w:t>
      </w:r>
      <w:r>
        <w:rPr>
          <w:highlight w:val="none"/>
        </w:rPr>
        <w:t>00</w:t>
      </w:r>
      <w:r>
        <w:rPr>
          <w:rFonts w:hint="eastAsia"/>
          <w:highlight w:val="none"/>
        </w:rPr>
        <w:t>元</w:t>
      </w:r>
      <w:r>
        <w:rPr>
          <w:rFonts w:hint="eastAsia"/>
          <w:b/>
          <w:highlight w:val="none"/>
        </w:rPr>
        <w:t>（现金）</w:t>
      </w:r>
      <w:r>
        <w:rPr>
          <w:rFonts w:hint="eastAsia"/>
          <w:highlight w:val="none"/>
        </w:rPr>
        <w:t>；若邮购，每份加收人民币</w:t>
      </w:r>
      <w:r>
        <w:rPr>
          <w:highlight w:val="none"/>
        </w:rPr>
        <w:t>50元</w:t>
      </w:r>
      <w:r>
        <w:rPr>
          <w:rFonts w:hint="eastAsia"/>
          <w:highlight w:val="none"/>
        </w:rPr>
        <w:t>。招标文件售后不退。</w:t>
      </w:r>
    </w:p>
    <w:p>
      <w:pPr>
        <w:tabs>
          <w:tab w:val="clear" w:pos="426"/>
        </w:tabs>
        <w:ind w:firstLine="424" w:firstLineChars="202"/>
        <w:rPr>
          <w:highlight w:val="none"/>
        </w:rPr>
      </w:pPr>
      <w:r>
        <w:rPr>
          <w:rFonts w:hint="eastAsia"/>
          <w:highlight w:val="none"/>
        </w:rPr>
        <w:t>5.现场报名时提交以下资料：</w:t>
      </w:r>
    </w:p>
    <w:p>
      <w:pPr>
        <w:tabs>
          <w:tab w:val="clear" w:pos="426"/>
        </w:tabs>
        <w:ind w:firstLine="424" w:firstLineChars="202"/>
        <w:rPr>
          <w:highlight w:val="none"/>
        </w:rPr>
      </w:pPr>
      <w:r>
        <w:rPr>
          <w:rFonts w:hint="eastAsia"/>
          <w:highlight w:val="none"/>
        </w:rPr>
        <w:t>（1）投标人的营业执照复印件；</w:t>
      </w:r>
    </w:p>
    <w:p>
      <w:pPr>
        <w:tabs>
          <w:tab w:val="clear" w:pos="426"/>
        </w:tabs>
        <w:ind w:firstLine="424" w:firstLineChars="202"/>
        <w:rPr>
          <w:highlight w:val="none"/>
        </w:rPr>
      </w:pPr>
      <w:r>
        <w:rPr>
          <w:rFonts w:hint="eastAsia"/>
          <w:highlight w:val="none"/>
        </w:rPr>
        <w:t>（2）法人代表证明书原件、授权委托书原件、被授权委托人身份证复印件、</w:t>
      </w:r>
      <w:r>
        <w:rPr>
          <w:rFonts w:hint="eastAsia"/>
          <w:highlight w:val="none"/>
        </w:rPr>
        <w:t>被授权委托人联系方式</w:t>
      </w:r>
      <w:r>
        <w:rPr>
          <w:rFonts w:hint="eastAsia"/>
          <w:b/>
          <w:highlight w:val="none"/>
        </w:rPr>
        <w:t>（电话、邮箱）</w:t>
      </w:r>
      <w:r>
        <w:rPr>
          <w:rFonts w:hint="eastAsia"/>
          <w:highlight w:val="none"/>
        </w:rPr>
        <w:t>；</w:t>
      </w:r>
    </w:p>
    <w:p>
      <w:pPr>
        <w:tabs>
          <w:tab w:val="clear" w:pos="426"/>
        </w:tabs>
        <w:ind w:firstLine="424" w:firstLineChars="202"/>
        <w:rPr>
          <w:highlight w:val="none"/>
        </w:rPr>
      </w:pPr>
      <w:r>
        <w:rPr>
          <w:rFonts w:hint="eastAsia"/>
          <w:highlight w:val="none"/>
        </w:rPr>
        <w:t>（</w:t>
      </w:r>
      <w:r>
        <w:rPr>
          <w:highlight w:val="none"/>
        </w:rPr>
        <w:t>3）投标人的增值税发票开票（信息）资料；</w:t>
      </w:r>
    </w:p>
    <w:p>
      <w:pPr>
        <w:tabs>
          <w:tab w:val="clear" w:pos="426"/>
        </w:tabs>
        <w:ind w:firstLine="424" w:firstLineChars="202"/>
        <w:rPr>
          <w:highlight w:val="none"/>
        </w:rPr>
      </w:pPr>
      <w:r>
        <w:rPr>
          <w:rFonts w:hint="eastAsia"/>
          <w:highlight w:val="none"/>
        </w:rPr>
        <w:t>以上资料均需加盖公章，原件中标备查。</w:t>
      </w:r>
    </w:p>
    <w:p>
      <w:pPr>
        <w:tabs>
          <w:tab w:val="clear" w:pos="426"/>
        </w:tabs>
        <w:ind w:firstLine="424" w:firstLineChars="202"/>
        <w:rPr>
          <w:highlight w:val="none"/>
        </w:rPr>
      </w:pPr>
      <w:r>
        <w:rPr>
          <w:rFonts w:hint="eastAsia"/>
          <w:highlight w:val="none"/>
        </w:rPr>
        <w:t>如需邮购，请于办理汇款手续后，快递上述报名资料、汇款凭证至采购代理机构。</w:t>
      </w:r>
    </w:p>
    <w:p>
      <w:pPr>
        <w:widowControl w:val="0"/>
        <w:shd w:val="clear" w:color="auto" w:fill="auto"/>
        <w:tabs>
          <w:tab w:val="clear" w:pos="426"/>
        </w:tabs>
        <w:adjustRightInd/>
        <w:snapToGrid/>
        <w:rPr>
          <w:rFonts w:ascii="Times New Roman" w:hAnsi="Times New Roman" w:cs="Times New Roman"/>
          <w:b/>
          <w:kern w:val="2"/>
          <w:szCs w:val="21"/>
          <w:highlight w:val="none"/>
        </w:rPr>
      </w:pPr>
      <w:r>
        <w:rPr>
          <w:rFonts w:hint="eastAsia" w:ascii="Times New Roman" w:hAnsi="Times New Roman" w:cs="Times New Roman"/>
          <w:b/>
          <w:kern w:val="2"/>
          <w:szCs w:val="21"/>
          <w:highlight w:val="none"/>
        </w:rPr>
        <w:t>四、投标截止时间、开标时间及地点</w:t>
      </w:r>
    </w:p>
    <w:p>
      <w:pPr>
        <w:tabs>
          <w:tab w:val="clear" w:pos="426"/>
        </w:tabs>
        <w:ind w:firstLine="424" w:firstLineChars="202"/>
        <w:rPr>
          <w:highlight w:val="none"/>
        </w:rPr>
      </w:pPr>
      <w:r>
        <w:rPr>
          <w:highlight w:val="none"/>
        </w:rPr>
        <w:t>1</w:t>
      </w:r>
      <w:r>
        <w:rPr>
          <w:rFonts w:hint="eastAsia"/>
          <w:highlight w:val="none"/>
        </w:rPr>
        <w:t>.递交投标文件时间：</w:t>
      </w:r>
      <w:r>
        <w:rPr>
          <w:rFonts w:hint="eastAsia"/>
          <w:highlight w:val="none"/>
          <w:u w:val="single"/>
        </w:rPr>
        <w:t>2019</w:t>
      </w:r>
      <w:r>
        <w:rPr>
          <w:rFonts w:hint="eastAsia"/>
          <w:highlight w:val="none"/>
        </w:rPr>
        <w:t>年</w:t>
      </w:r>
      <w:r>
        <w:rPr>
          <w:rFonts w:hint="eastAsia"/>
          <w:highlight w:val="none"/>
          <w:lang w:val="en-US" w:eastAsia="zh-CN"/>
        </w:rPr>
        <w:t>11</w:t>
      </w:r>
      <w:r>
        <w:rPr>
          <w:rFonts w:hint="eastAsia"/>
          <w:highlight w:val="none"/>
        </w:rPr>
        <w:t>月</w:t>
      </w:r>
      <w:r>
        <w:rPr>
          <w:rFonts w:hint="eastAsia"/>
          <w:highlight w:val="none"/>
          <w:lang w:val="en-US" w:eastAsia="zh-CN"/>
        </w:rPr>
        <w:t>15</w:t>
      </w:r>
      <w:r>
        <w:rPr>
          <w:rFonts w:hint="eastAsia"/>
          <w:highlight w:val="none"/>
        </w:rPr>
        <w:t>日下午</w:t>
      </w:r>
      <w:r>
        <w:rPr>
          <w:rFonts w:hint="eastAsia"/>
          <w:highlight w:val="none"/>
          <w:u w:val="single"/>
        </w:rPr>
        <w:t>14:00</w:t>
      </w:r>
      <w:r>
        <w:rPr>
          <w:rFonts w:hint="eastAsia"/>
          <w:highlight w:val="none"/>
        </w:rPr>
        <w:t>～</w:t>
      </w:r>
      <w:r>
        <w:rPr>
          <w:rFonts w:hint="eastAsia"/>
          <w:highlight w:val="none"/>
          <w:u w:val="single"/>
        </w:rPr>
        <w:t>14:30</w:t>
      </w:r>
      <w:r>
        <w:rPr>
          <w:rFonts w:hint="eastAsia"/>
          <w:highlight w:val="none"/>
        </w:rPr>
        <w:t>。</w:t>
      </w:r>
    </w:p>
    <w:p>
      <w:pPr>
        <w:tabs>
          <w:tab w:val="clear" w:pos="426"/>
        </w:tabs>
        <w:ind w:firstLine="424" w:firstLineChars="202"/>
        <w:rPr>
          <w:highlight w:val="none"/>
        </w:rPr>
      </w:pPr>
      <w:r>
        <w:rPr>
          <w:highlight w:val="none"/>
        </w:rPr>
        <w:t>2</w:t>
      </w:r>
      <w:r>
        <w:rPr>
          <w:rFonts w:hint="eastAsia"/>
          <w:highlight w:val="none"/>
        </w:rPr>
        <w:t>.投标截止及开标时间：</w:t>
      </w:r>
      <w:r>
        <w:rPr>
          <w:rFonts w:hint="eastAsia"/>
          <w:highlight w:val="none"/>
          <w:u w:val="single"/>
        </w:rPr>
        <w:t>2019</w:t>
      </w:r>
      <w:r>
        <w:rPr>
          <w:rFonts w:hint="eastAsia"/>
          <w:highlight w:val="none"/>
        </w:rPr>
        <w:t>年</w:t>
      </w:r>
      <w:r>
        <w:rPr>
          <w:rFonts w:hint="eastAsia"/>
          <w:highlight w:val="none"/>
          <w:lang w:val="en-US" w:eastAsia="zh-CN"/>
        </w:rPr>
        <w:t>11</w:t>
      </w:r>
      <w:r>
        <w:rPr>
          <w:rFonts w:hint="eastAsia"/>
          <w:highlight w:val="none"/>
        </w:rPr>
        <w:t>月</w:t>
      </w:r>
      <w:r>
        <w:rPr>
          <w:rFonts w:hint="eastAsia"/>
          <w:highlight w:val="none"/>
          <w:lang w:val="en-US" w:eastAsia="zh-CN"/>
        </w:rPr>
        <w:t>15</w:t>
      </w:r>
      <w:r>
        <w:rPr>
          <w:rFonts w:hint="eastAsia"/>
          <w:highlight w:val="none"/>
        </w:rPr>
        <w:t>日下午</w:t>
      </w:r>
      <w:r>
        <w:rPr>
          <w:rFonts w:hint="eastAsia"/>
          <w:highlight w:val="none"/>
          <w:u w:val="single"/>
        </w:rPr>
        <w:t>14</w:t>
      </w:r>
      <w:r>
        <w:rPr>
          <w:rFonts w:hint="eastAsia"/>
          <w:highlight w:val="none"/>
        </w:rPr>
        <w:t>时</w:t>
      </w:r>
      <w:r>
        <w:rPr>
          <w:rFonts w:hint="eastAsia"/>
          <w:highlight w:val="none"/>
          <w:u w:val="single"/>
        </w:rPr>
        <w:t>30</w:t>
      </w:r>
      <w:r>
        <w:rPr>
          <w:rFonts w:hint="eastAsia"/>
          <w:highlight w:val="none"/>
        </w:rPr>
        <w:t>分。</w:t>
      </w:r>
    </w:p>
    <w:p>
      <w:pPr>
        <w:tabs>
          <w:tab w:val="clear" w:pos="426"/>
        </w:tabs>
        <w:ind w:firstLine="424" w:firstLineChars="202"/>
        <w:rPr>
          <w:highlight w:val="none"/>
        </w:rPr>
      </w:pPr>
      <w:r>
        <w:rPr>
          <w:highlight w:val="none"/>
        </w:rPr>
        <w:t>3</w:t>
      </w:r>
      <w:r>
        <w:rPr>
          <w:rFonts w:hint="eastAsia"/>
          <w:highlight w:val="none"/>
        </w:rPr>
        <w:t>.开标地点：深圳市罗湖区布吉路1028号中设广场B座30</w:t>
      </w:r>
      <w:r>
        <w:rPr>
          <w:highlight w:val="none"/>
        </w:rPr>
        <w:t>7</w:t>
      </w:r>
      <w:r>
        <w:rPr>
          <w:rFonts w:hint="eastAsia"/>
          <w:highlight w:val="none"/>
        </w:rPr>
        <w:t>开标室。</w:t>
      </w:r>
    </w:p>
    <w:p>
      <w:pPr>
        <w:widowControl w:val="0"/>
        <w:shd w:val="clear" w:color="auto" w:fill="auto"/>
        <w:tabs>
          <w:tab w:val="clear" w:pos="426"/>
        </w:tabs>
        <w:adjustRightInd/>
        <w:snapToGrid/>
        <w:rPr>
          <w:rFonts w:ascii="Times New Roman" w:hAnsi="Times New Roman" w:cs="Times New Roman"/>
          <w:b/>
          <w:kern w:val="2"/>
          <w:szCs w:val="21"/>
          <w:highlight w:val="none"/>
        </w:rPr>
      </w:pPr>
      <w:r>
        <w:rPr>
          <w:rFonts w:hint="eastAsia" w:ascii="Times New Roman" w:hAnsi="Times New Roman" w:cs="Times New Roman"/>
          <w:b/>
          <w:kern w:val="2"/>
          <w:szCs w:val="21"/>
          <w:highlight w:val="none"/>
        </w:rPr>
        <w:t>五、答疑事项</w:t>
      </w:r>
    </w:p>
    <w:p>
      <w:pPr>
        <w:tabs>
          <w:tab w:val="clear" w:pos="426"/>
        </w:tabs>
        <w:ind w:firstLine="424" w:firstLineChars="202"/>
        <w:rPr>
          <w:szCs w:val="21"/>
          <w:highlight w:val="none"/>
        </w:rPr>
      </w:pPr>
      <w:r>
        <w:rPr>
          <w:szCs w:val="21"/>
          <w:highlight w:val="none"/>
        </w:rPr>
        <w:t>1.本项目实行网下纸质答疑，凡对招标文件有任何疑问的（包括认为招标文件的技术指标或参数存在排他性或歧视性条款），</w:t>
      </w:r>
      <w:r>
        <w:rPr>
          <w:szCs w:val="21"/>
          <w:highlight w:val="none"/>
        </w:rPr>
        <w:t>请投标人于</w:t>
      </w:r>
      <w:r>
        <w:rPr>
          <w:rFonts w:hint="eastAsia"/>
          <w:szCs w:val="21"/>
          <w:highlight w:val="none"/>
        </w:rPr>
        <w:t>2019</w:t>
      </w:r>
      <w:r>
        <w:rPr>
          <w:szCs w:val="21"/>
          <w:highlight w:val="none"/>
        </w:rPr>
        <w:t>年</w:t>
      </w:r>
      <w:r>
        <w:rPr>
          <w:rFonts w:hint="eastAsia"/>
          <w:szCs w:val="21"/>
          <w:highlight w:val="none"/>
          <w:lang w:val="en-US" w:eastAsia="zh-CN"/>
        </w:rPr>
        <w:t>11</w:t>
      </w:r>
      <w:r>
        <w:rPr>
          <w:szCs w:val="21"/>
          <w:highlight w:val="none"/>
        </w:rPr>
        <w:t>月</w:t>
      </w:r>
      <w:r>
        <w:rPr>
          <w:rFonts w:hint="eastAsia"/>
          <w:szCs w:val="21"/>
          <w:highlight w:val="none"/>
          <w:lang w:val="en-US" w:eastAsia="zh-CN"/>
        </w:rPr>
        <w:t>13</w:t>
      </w:r>
      <w:r>
        <w:rPr>
          <w:szCs w:val="21"/>
          <w:highlight w:val="none"/>
        </w:rPr>
        <w:t>日下午17:30前，</w:t>
      </w:r>
      <w:r>
        <w:rPr>
          <w:szCs w:val="21"/>
          <w:highlight w:val="none"/>
        </w:rPr>
        <w:t>根据《深圳经济特区政府采购条例》第六章、《深圳市经济特区政府采购条例实施细则》第六章及深圳市政府采购中心网页http://www.cgzx.sz.gov.cn/zxfw/</w:t>
      </w:r>
      <w:r>
        <w:rPr>
          <w:rFonts w:hint="eastAsia"/>
          <w:szCs w:val="21"/>
          <w:highlight w:val="none"/>
        </w:rPr>
        <w:t>mx</w:t>
      </w:r>
      <w:r>
        <w:rPr>
          <w:szCs w:val="21"/>
          <w:highlight w:val="none"/>
        </w:rPr>
        <w:t>gys/zyzn/所发布的有关质疑的指引及要求填写质疑函件，并将质疑函件以及相关质疑内容的证明材料原件送达深圳市深水水务咨询有限公司，逾期不受理。</w:t>
      </w:r>
    </w:p>
    <w:p>
      <w:pPr>
        <w:tabs>
          <w:tab w:val="clear" w:pos="426"/>
        </w:tabs>
        <w:ind w:firstLine="424" w:firstLineChars="202"/>
        <w:rPr>
          <w:highlight w:val="none"/>
        </w:rPr>
      </w:pPr>
      <w:r>
        <w:rPr>
          <w:szCs w:val="21"/>
          <w:highlight w:val="none"/>
        </w:rPr>
        <w:t>2.投标人有义务在招标活动期间浏览本公告“六、相关信息”中的相关网站，招标人在上述网站上公布的与本次招标项目有关的信息视为已送达各投标人。采购代理机构将答疑情况或相关的补充公告（说明）在相关网站公布，请投标人及时关注本项目的投标答疑情况。投标人因疏忽，未及时登录相关网站了解相关的答疑情况及补充说明，产生的不利后果由投标人自行承担。</w:t>
      </w:r>
    </w:p>
    <w:p>
      <w:pPr>
        <w:tabs>
          <w:tab w:val="clear" w:pos="426"/>
        </w:tabs>
        <w:rPr>
          <w:b/>
          <w:highlight w:val="none"/>
        </w:rPr>
      </w:pPr>
      <w:r>
        <w:rPr>
          <w:rFonts w:hint="eastAsia"/>
          <w:b/>
          <w:highlight w:val="none"/>
        </w:rPr>
        <w:t>六、相关信息</w:t>
      </w:r>
    </w:p>
    <w:p>
      <w:pPr>
        <w:tabs>
          <w:tab w:val="clear" w:pos="426"/>
        </w:tabs>
        <w:ind w:firstLine="424" w:firstLineChars="202"/>
        <w:rPr>
          <w:highlight w:val="none"/>
        </w:rPr>
      </w:pPr>
      <w:r>
        <w:rPr>
          <w:rFonts w:hint="eastAsia"/>
          <w:highlight w:val="none"/>
        </w:rPr>
        <w:t xml:space="preserve">深圳市政府采购网  </w:t>
      </w:r>
      <w:r>
        <w:rPr>
          <w:highlight w:val="none"/>
        </w:rPr>
        <w:fldChar w:fldCharType="begin"/>
      </w:r>
      <w:r>
        <w:rPr>
          <w:highlight w:val="none"/>
        </w:rPr>
        <w:instrText xml:space="preserve"> HYPERLINK "http://www.szzfcg.cn" </w:instrText>
      </w:r>
      <w:r>
        <w:rPr>
          <w:highlight w:val="none"/>
        </w:rPr>
        <w:fldChar w:fldCharType="separate"/>
      </w:r>
      <w:r>
        <w:rPr>
          <w:rStyle w:val="52"/>
          <w:highlight w:val="none"/>
        </w:rPr>
        <w:t>http://ww</w:t>
      </w:r>
      <w:bookmarkStart w:id="34" w:name="_Hlt249699243"/>
      <w:r>
        <w:rPr>
          <w:rStyle w:val="52"/>
          <w:highlight w:val="none"/>
        </w:rPr>
        <w:t>w</w:t>
      </w:r>
      <w:bookmarkEnd w:id="34"/>
      <w:r>
        <w:rPr>
          <w:rStyle w:val="52"/>
          <w:highlight w:val="none"/>
        </w:rPr>
        <w:t>.szzfcg.cn</w:t>
      </w:r>
      <w:r>
        <w:rPr>
          <w:rStyle w:val="52"/>
          <w:highlight w:val="none"/>
        </w:rPr>
        <w:fldChar w:fldCharType="end"/>
      </w:r>
    </w:p>
    <w:p>
      <w:pPr>
        <w:tabs>
          <w:tab w:val="clear" w:pos="426"/>
        </w:tabs>
        <w:ind w:firstLine="424" w:firstLineChars="202"/>
        <w:rPr>
          <w:highlight w:val="none"/>
        </w:rPr>
      </w:pPr>
      <w:r>
        <w:rPr>
          <w:rFonts w:hint="eastAsia"/>
          <w:highlight w:val="none"/>
        </w:rPr>
        <w:t xml:space="preserve">深圳市深水水务咨询有限公司  </w:t>
      </w:r>
      <w:r>
        <w:rPr>
          <w:highlight w:val="none"/>
        </w:rPr>
        <w:fldChar w:fldCharType="begin"/>
      </w:r>
      <w:r>
        <w:rPr>
          <w:highlight w:val="none"/>
        </w:rPr>
        <w:instrText xml:space="preserve"> HYPERLINK "http://www.szsszx.com" </w:instrText>
      </w:r>
      <w:r>
        <w:rPr>
          <w:highlight w:val="none"/>
        </w:rPr>
        <w:fldChar w:fldCharType="separate"/>
      </w:r>
      <w:r>
        <w:rPr>
          <w:rStyle w:val="52"/>
          <w:highlight w:val="none"/>
        </w:rPr>
        <w:t>http://www.szsszx.com</w:t>
      </w:r>
      <w:r>
        <w:rPr>
          <w:rStyle w:val="52"/>
          <w:highlight w:val="none"/>
        </w:rPr>
        <w:fldChar w:fldCharType="end"/>
      </w:r>
    </w:p>
    <w:p>
      <w:pPr>
        <w:tabs>
          <w:tab w:val="clear" w:pos="426"/>
        </w:tabs>
        <w:ind w:firstLine="424" w:firstLineChars="202"/>
        <w:rPr>
          <w:highlight w:val="none"/>
        </w:rPr>
      </w:pPr>
      <w:r>
        <w:rPr>
          <w:rFonts w:hint="eastAsia"/>
          <w:highlight w:val="none"/>
        </w:rPr>
        <w:t>采购人联系方式</w:t>
      </w:r>
    </w:p>
    <w:p>
      <w:pPr>
        <w:tabs>
          <w:tab w:val="clear" w:pos="426"/>
        </w:tabs>
        <w:ind w:firstLine="424" w:firstLineChars="202"/>
        <w:rPr>
          <w:highlight w:val="none"/>
        </w:rPr>
      </w:pPr>
      <w:r>
        <w:rPr>
          <w:highlight w:val="none"/>
        </w:rPr>
        <w:t>单位名称</w:t>
      </w:r>
      <w:r>
        <w:rPr>
          <w:rFonts w:hint="eastAsia"/>
          <w:highlight w:val="none"/>
        </w:rPr>
        <w:t>：深圳市南山区</w:t>
      </w:r>
      <w:r>
        <w:rPr>
          <w:rFonts w:hint="eastAsia"/>
          <w:highlight w:val="none"/>
          <w:lang w:eastAsia="zh-CN"/>
        </w:rPr>
        <w:t>南头街道</w:t>
      </w:r>
      <w:r>
        <w:rPr>
          <w:rFonts w:hint="eastAsia"/>
          <w:highlight w:val="none"/>
        </w:rPr>
        <w:t>办事处</w:t>
      </w:r>
    </w:p>
    <w:p>
      <w:pPr>
        <w:tabs>
          <w:tab w:val="clear" w:pos="426"/>
        </w:tabs>
        <w:ind w:firstLine="424" w:firstLineChars="202"/>
        <w:rPr>
          <w:rFonts w:hint="eastAsia"/>
          <w:highlight w:val="none"/>
        </w:rPr>
      </w:pPr>
      <w:r>
        <w:rPr>
          <w:rFonts w:hint="eastAsia"/>
          <w:highlight w:val="none"/>
        </w:rPr>
        <w:t>联</w:t>
      </w:r>
      <w:r>
        <w:rPr>
          <w:highlight w:val="none"/>
        </w:rPr>
        <w:t xml:space="preserve"> 系 人：</w:t>
      </w:r>
      <w:r>
        <w:rPr>
          <w:rFonts w:hint="eastAsia"/>
          <w:highlight w:val="none"/>
        </w:rPr>
        <w:t xml:space="preserve">李慧琳 </w:t>
      </w:r>
    </w:p>
    <w:p>
      <w:pPr>
        <w:tabs>
          <w:tab w:val="clear" w:pos="426"/>
        </w:tabs>
        <w:ind w:firstLine="424" w:firstLineChars="202"/>
        <w:rPr>
          <w:rFonts w:hint="eastAsia"/>
          <w:highlight w:val="none"/>
          <w:lang w:val="en-US" w:eastAsia="zh-CN"/>
        </w:rPr>
      </w:pPr>
      <w:r>
        <w:rPr>
          <w:rFonts w:hint="eastAsia"/>
          <w:highlight w:val="none"/>
        </w:rPr>
        <w:t>电话：13631621129</w:t>
      </w:r>
      <w:r>
        <w:rPr>
          <w:rFonts w:hint="eastAsia"/>
          <w:highlight w:val="none"/>
          <w:lang w:val="en-US" w:eastAsia="zh-CN"/>
        </w:rPr>
        <w:t xml:space="preserve"> </w:t>
      </w:r>
    </w:p>
    <w:p>
      <w:pPr>
        <w:tabs>
          <w:tab w:val="clear" w:pos="426"/>
        </w:tabs>
        <w:ind w:firstLine="424" w:firstLineChars="202"/>
        <w:rPr>
          <w:rFonts w:hint="eastAsia" w:eastAsia="宋体"/>
          <w:highlight w:val="none"/>
          <w:lang w:eastAsia="zh-CN"/>
        </w:rPr>
      </w:pPr>
      <w:r>
        <w:rPr>
          <w:rFonts w:hint="eastAsia"/>
          <w:highlight w:val="none"/>
        </w:rPr>
        <w:t>地</w:t>
      </w:r>
      <w:r>
        <w:rPr>
          <w:highlight w:val="none"/>
        </w:rPr>
        <w:t xml:space="preserve">    址：</w:t>
      </w:r>
      <w:r>
        <w:rPr>
          <w:rFonts w:hint="eastAsia"/>
          <w:highlight w:val="none"/>
          <w:lang w:eastAsia="zh-CN"/>
        </w:rPr>
        <w:t>深圳市南山区桃园路193号金桃园大厦一楼行政服务大厅</w:t>
      </w:r>
    </w:p>
    <w:p>
      <w:pPr>
        <w:tabs>
          <w:tab w:val="clear" w:pos="426"/>
        </w:tabs>
        <w:ind w:firstLine="424" w:firstLineChars="202"/>
        <w:rPr>
          <w:highlight w:val="none"/>
        </w:rPr>
      </w:pPr>
      <w:r>
        <w:rPr>
          <w:rFonts w:hint="eastAsia"/>
          <w:highlight w:val="none"/>
        </w:rPr>
        <w:t>采购代理机构联系方式</w:t>
      </w:r>
    </w:p>
    <w:p>
      <w:pPr>
        <w:tabs>
          <w:tab w:val="clear" w:pos="426"/>
        </w:tabs>
        <w:ind w:firstLine="424" w:firstLineChars="202"/>
        <w:rPr>
          <w:highlight w:val="none"/>
        </w:rPr>
      </w:pPr>
      <w:r>
        <w:rPr>
          <w:rFonts w:hint="eastAsia"/>
          <w:highlight w:val="none"/>
        </w:rPr>
        <w:t>单位名称：深圳市深水水务咨询有限公司</w:t>
      </w:r>
    </w:p>
    <w:p>
      <w:pPr>
        <w:tabs>
          <w:tab w:val="clear" w:pos="426"/>
        </w:tabs>
        <w:ind w:firstLine="424" w:firstLineChars="202"/>
        <w:rPr>
          <w:highlight w:val="none"/>
        </w:rPr>
      </w:pPr>
      <w:r>
        <w:rPr>
          <w:rFonts w:hint="eastAsia"/>
          <w:highlight w:val="none"/>
        </w:rPr>
        <w:t>联系人：</w:t>
      </w:r>
      <w:r>
        <w:rPr>
          <w:rFonts w:hint="eastAsia"/>
          <w:highlight w:val="none"/>
          <w:lang w:eastAsia="zh-CN"/>
        </w:rPr>
        <w:t>蒋</w:t>
      </w:r>
      <w:r>
        <w:rPr>
          <w:rFonts w:hint="eastAsia"/>
          <w:highlight w:val="none"/>
        </w:rPr>
        <w:t>工</w:t>
      </w:r>
    </w:p>
    <w:p>
      <w:pPr>
        <w:tabs>
          <w:tab w:val="clear" w:pos="426"/>
        </w:tabs>
        <w:ind w:firstLine="424" w:firstLineChars="202"/>
        <w:rPr>
          <w:rFonts w:hint="default" w:eastAsia="宋体"/>
          <w:highlight w:val="none"/>
          <w:lang w:val="en-US" w:eastAsia="zh-CN"/>
        </w:rPr>
      </w:pPr>
      <w:r>
        <w:rPr>
          <w:rFonts w:hint="eastAsia"/>
          <w:highlight w:val="none"/>
        </w:rPr>
        <w:t>电话：0755-2516</w:t>
      </w:r>
      <w:r>
        <w:rPr>
          <w:rFonts w:hint="eastAsia"/>
          <w:highlight w:val="none"/>
          <w:lang w:val="en-US" w:eastAsia="zh-CN"/>
        </w:rPr>
        <w:t>0321</w:t>
      </w:r>
      <w:r>
        <w:rPr>
          <w:rFonts w:hint="eastAsia"/>
          <w:highlight w:val="none"/>
        </w:rPr>
        <w:t xml:space="preserve"> 手  机：</w:t>
      </w:r>
      <w:r>
        <w:rPr>
          <w:rFonts w:hint="eastAsia"/>
          <w:highlight w:val="none"/>
          <w:lang w:val="en-US" w:eastAsia="zh-CN"/>
        </w:rPr>
        <w:t>13925205100</w:t>
      </w:r>
    </w:p>
    <w:p>
      <w:pPr>
        <w:tabs>
          <w:tab w:val="clear" w:pos="426"/>
        </w:tabs>
        <w:ind w:firstLine="424" w:firstLineChars="202"/>
        <w:rPr>
          <w:highlight w:val="none"/>
        </w:rPr>
      </w:pPr>
      <w:r>
        <w:rPr>
          <w:rFonts w:hint="eastAsia"/>
          <w:highlight w:val="none"/>
        </w:rPr>
        <w:t>地    址：深圳市罗湖区布吉路1028号中设广场B座307</w:t>
      </w:r>
    </w:p>
    <w:p>
      <w:pPr>
        <w:widowControl w:val="0"/>
        <w:shd w:val="clear" w:color="auto" w:fill="auto"/>
        <w:tabs>
          <w:tab w:val="clear" w:pos="426"/>
        </w:tabs>
        <w:adjustRightInd/>
        <w:snapToGrid/>
        <w:rPr>
          <w:rFonts w:ascii="Times New Roman" w:hAnsi="Times New Roman" w:cs="Times New Roman"/>
          <w:b/>
          <w:kern w:val="2"/>
          <w:szCs w:val="21"/>
          <w:highlight w:val="none"/>
        </w:rPr>
      </w:pPr>
      <w:r>
        <w:rPr>
          <w:rFonts w:hint="eastAsia" w:ascii="Times New Roman" w:hAnsi="Times New Roman" w:cs="Times New Roman"/>
          <w:b/>
          <w:kern w:val="2"/>
          <w:szCs w:val="21"/>
          <w:highlight w:val="none"/>
        </w:rPr>
        <w:t>七、采购文件</w:t>
      </w:r>
    </w:p>
    <w:p>
      <w:pPr>
        <w:tabs>
          <w:tab w:val="clear" w:pos="426"/>
        </w:tabs>
        <w:ind w:firstLine="424" w:firstLineChars="202"/>
        <w:rPr>
          <w:rStyle w:val="52"/>
          <w:highlight w:val="none"/>
        </w:rPr>
      </w:pPr>
      <w:r>
        <w:rPr>
          <w:rStyle w:val="52"/>
          <w:rFonts w:hint="eastAsia"/>
          <w:highlight w:val="none"/>
        </w:rPr>
        <w:t>-点此下载-</w:t>
      </w:r>
    </w:p>
    <w:bookmarkEnd w:id="390"/>
    <w:p>
      <w:pPr>
        <w:tabs>
          <w:tab w:val="clear" w:pos="426"/>
        </w:tabs>
        <w:ind w:firstLine="424" w:firstLineChars="202"/>
        <w:rPr>
          <w:highlight w:val="none"/>
        </w:rPr>
      </w:pPr>
    </w:p>
    <w:p>
      <w:pPr>
        <w:tabs>
          <w:tab w:val="clear" w:pos="426"/>
        </w:tabs>
        <w:ind w:firstLine="424" w:firstLineChars="202"/>
        <w:rPr>
          <w:strike/>
          <w:highlight w:val="none"/>
        </w:rPr>
      </w:pPr>
    </w:p>
    <w:p>
      <w:pPr>
        <w:pStyle w:val="33"/>
        <w:tabs>
          <w:tab w:val="clear" w:pos="426"/>
        </w:tabs>
        <w:rPr>
          <w:highlight w:val="none"/>
        </w:rPr>
        <w:sectPr>
          <w:headerReference r:id="rId5" w:type="first"/>
          <w:footerReference r:id="rId7" w:type="first"/>
          <w:headerReference r:id="rId4" w:type="default"/>
          <w:footerReference r:id="rId6" w:type="default"/>
          <w:pgSz w:w="11906" w:h="16838"/>
          <w:pgMar w:top="1440" w:right="1797" w:bottom="1440" w:left="1797" w:header="851" w:footer="992" w:gutter="0"/>
          <w:pgNumType w:start="1"/>
          <w:cols w:space="425" w:num="1"/>
          <w:titlePg/>
          <w:docGrid w:linePitch="462" w:charSpace="0"/>
        </w:sectPr>
      </w:pPr>
      <w:bookmarkStart w:id="35" w:name="_Toc432592814"/>
    </w:p>
    <w:p>
      <w:pPr>
        <w:pStyle w:val="33"/>
        <w:tabs>
          <w:tab w:val="clear" w:pos="426"/>
        </w:tabs>
        <w:rPr>
          <w:highlight w:val="none"/>
        </w:rPr>
      </w:pPr>
      <w:bookmarkStart w:id="36" w:name="_Toc12610123"/>
      <w:r>
        <w:rPr>
          <w:rFonts w:hint="eastAsia"/>
          <w:highlight w:val="none"/>
        </w:rPr>
        <w:t>第二章</w:t>
      </w:r>
      <w:bookmarkEnd w:id="35"/>
      <w:bookmarkStart w:id="37" w:name="_Hlk4694149"/>
      <w:r>
        <w:rPr>
          <w:rFonts w:hint="eastAsia"/>
          <w:highlight w:val="none"/>
        </w:rPr>
        <w:t>投标须知前附表</w:t>
      </w:r>
      <w:bookmarkEnd w:id="36"/>
      <w:bookmarkEnd w:id="37"/>
    </w:p>
    <w:p>
      <w:pPr>
        <w:tabs>
          <w:tab w:val="clear" w:pos="426"/>
        </w:tabs>
        <w:spacing w:line="240" w:lineRule="auto"/>
        <w:ind w:right="-174" w:rightChars="-83"/>
        <w:rPr>
          <w:highlight w:val="none"/>
        </w:rPr>
      </w:pPr>
      <w:r>
        <w:rPr>
          <w:rFonts w:hint="eastAsia"/>
          <w:highlight w:val="none"/>
        </w:rPr>
        <w:t>说明：本表是对通用条款《投标人须知》条款的补充、修改和完善，如果有矛盾，应以本表为准。</w:t>
      </w:r>
    </w:p>
    <w:tbl>
      <w:tblPr>
        <w:tblStyle w:val="44"/>
        <w:tblW w:w="9570"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5"/>
        <w:gridCol w:w="2255"/>
        <w:gridCol w:w="6910"/>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05" w:type="dxa"/>
            <w:vAlign w:val="center"/>
          </w:tcPr>
          <w:p>
            <w:pPr>
              <w:tabs>
                <w:tab w:val="clear" w:pos="426"/>
              </w:tabs>
              <w:adjustRightInd/>
              <w:snapToGrid/>
              <w:spacing w:line="240" w:lineRule="exact"/>
              <w:jc w:val="center"/>
              <w:rPr>
                <w:highlight w:val="none"/>
              </w:rPr>
            </w:pPr>
            <w:r>
              <w:rPr>
                <w:rFonts w:hint="eastAsia"/>
                <w:highlight w:val="none"/>
              </w:rPr>
              <w:t>序号</w:t>
            </w:r>
          </w:p>
        </w:tc>
        <w:tc>
          <w:tcPr>
            <w:tcW w:w="2255" w:type="dxa"/>
            <w:vAlign w:val="center"/>
          </w:tcPr>
          <w:p>
            <w:pPr>
              <w:tabs>
                <w:tab w:val="clear" w:pos="426"/>
              </w:tabs>
              <w:adjustRightInd/>
              <w:snapToGrid/>
              <w:spacing w:line="240" w:lineRule="exact"/>
              <w:jc w:val="center"/>
              <w:rPr>
                <w:highlight w:val="none"/>
              </w:rPr>
            </w:pPr>
            <w:r>
              <w:rPr>
                <w:rFonts w:hint="eastAsia"/>
                <w:highlight w:val="none"/>
              </w:rPr>
              <w:t>内容</w:t>
            </w:r>
          </w:p>
        </w:tc>
        <w:tc>
          <w:tcPr>
            <w:tcW w:w="6910" w:type="dxa"/>
            <w:vAlign w:val="center"/>
          </w:tcPr>
          <w:p>
            <w:pPr>
              <w:tabs>
                <w:tab w:val="clear" w:pos="426"/>
              </w:tabs>
              <w:adjustRightInd/>
              <w:snapToGrid/>
              <w:spacing w:line="240" w:lineRule="exact"/>
              <w:jc w:val="center"/>
              <w:rPr>
                <w:highlight w:val="none"/>
              </w:rPr>
            </w:pPr>
            <w:r>
              <w:rPr>
                <w:rFonts w:hint="eastAsia"/>
                <w:highlight w:val="none"/>
              </w:rPr>
              <w:t>规定</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05" w:type="dxa"/>
            <w:vAlign w:val="center"/>
          </w:tcPr>
          <w:p>
            <w:pPr>
              <w:tabs>
                <w:tab w:val="clear" w:pos="426"/>
              </w:tabs>
              <w:adjustRightInd/>
              <w:snapToGrid/>
              <w:spacing w:line="240" w:lineRule="exact"/>
              <w:jc w:val="center"/>
              <w:rPr>
                <w:highlight w:val="none"/>
              </w:rPr>
            </w:pPr>
            <w:r>
              <w:rPr>
                <w:rFonts w:hint="eastAsia"/>
                <w:highlight w:val="none"/>
              </w:rPr>
              <w:t>1</w:t>
            </w:r>
          </w:p>
        </w:tc>
        <w:tc>
          <w:tcPr>
            <w:tcW w:w="2255" w:type="dxa"/>
            <w:vAlign w:val="center"/>
          </w:tcPr>
          <w:p>
            <w:pPr>
              <w:tabs>
                <w:tab w:val="clear" w:pos="426"/>
              </w:tabs>
              <w:adjustRightInd/>
              <w:snapToGrid/>
              <w:spacing w:line="240" w:lineRule="exact"/>
              <w:rPr>
                <w:highlight w:val="none"/>
              </w:rPr>
            </w:pPr>
            <w:r>
              <w:rPr>
                <w:rFonts w:hint="eastAsia"/>
                <w:highlight w:val="none"/>
              </w:rPr>
              <w:t>联合体投标</w:t>
            </w:r>
          </w:p>
        </w:tc>
        <w:tc>
          <w:tcPr>
            <w:tcW w:w="6910" w:type="dxa"/>
            <w:vAlign w:val="center"/>
          </w:tcPr>
          <w:p>
            <w:pPr>
              <w:tabs>
                <w:tab w:val="clear" w:pos="426"/>
              </w:tabs>
              <w:adjustRightInd/>
              <w:snapToGrid/>
              <w:spacing w:line="240" w:lineRule="exact"/>
              <w:rPr>
                <w:highlight w:val="none"/>
              </w:rPr>
            </w:pPr>
            <w:r>
              <w:rPr>
                <w:rFonts w:hint="eastAsia"/>
                <w:highlight w:val="none"/>
              </w:rPr>
              <w:t>■不接受（招标文件中相关联合体规定均不适用）   □接受</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05" w:type="dxa"/>
            <w:vAlign w:val="center"/>
          </w:tcPr>
          <w:p>
            <w:pPr>
              <w:tabs>
                <w:tab w:val="clear" w:pos="426"/>
              </w:tabs>
              <w:adjustRightInd/>
              <w:snapToGrid/>
              <w:spacing w:line="240" w:lineRule="exact"/>
              <w:jc w:val="center"/>
              <w:rPr>
                <w:highlight w:val="none"/>
              </w:rPr>
            </w:pPr>
            <w:r>
              <w:rPr>
                <w:rFonts w:hint="eastAsia"/>
                <w:highlight w:val="none"/>
              </w:rPr>
              <w:t>2</w:t>
            </w:r>
          </w:p>
        </w:tc>
        <w:tc>
          <w:tcPr>
            <w:tcW w:w="2255" w:type="dxa"/>
            <w:vAlign w:val="center"/>
          </w:tcPr>
          <w:p>
            <w:pPr>
              <w:tabs>
                <w:tab w:val="clear" w:pos="426"/>
              </w:tabs>
              <w:adjustRightInd/>
              <w:snapToGrid/>
              <w:spacing w:line="240" w:lineRule="exact"/>
              <w:rPr>
                <w:highlight w:val="none"/>
              </w:rPr>
            </w:pPr>
            <w:r>
              <w:rPr>
                <w:highlight w:val="none"/>
              </w:rPr>
              <w:t>踏勘现场</w:t>
            </w:r>
          </w:p>
        </w:tc>
        <w:tc>
          <w:tcPr>
            <w:tcW w:w="6910" w:type="dxa"/>
            <w:vAlign w:val="center"/>
          </w:tcPr>
          <w:p>
            <w:pPr>
              <w:tabs>
                <w:tab w:val="clear" w:pos="426"/>
              </w:tabs>
              <w:adjustRightInd/>
              <w:snapToGrid/>
              <w:spacing w:line="240" w:lineRule="exact"/>
              <w:rPr>
                <w:highlight w:val="none"/>
              </w:rPr>
            </w:pPr>
            <w:r>
              <w:rPr>
                <w:rFonts w:hint="eastAsia"/>
                <w:highlight w:val="none"/>
              </w:rPr>
              <w:t>■不组织。</w:t>
            </w:r>
          </w:p>
          <w:p>
            <w:pPr>
              <w:tabs>
                <w:tab w:val="clear" w:pos="426"/>
              </w:tabs>
              <w:adjustRightInd/>
              <w:snapToGrid/>
              <w:spacing w:line="240" w:lineRule="exact"/>
              <w:rPr>
                <w:highlight w:val="none"/>
              </w:rPr>
            </w:pPr>
            <w:r>
              <w:rPr>
                <w:rFonts w:hint="eastAsia"/>
                <w:highlight w:val="none"/>
              </w:rPr>
              <w:t>□组织。踏勘时间：</w:t>
            </w:r>
            <w:r>
              <w:rPr>
                <w:rFonts w:hint="eastAsia"/>
                <w:highlight w:val="none"/>
                <w:u w:val="single"/>
              </w:rPr>
              <w:t xml:space="preserve">      年    月   日    时    分</w:t>
            </w:r>
          </w:p>
          <w:p>
            <w:pPr>
              <w:tabs>
                <w:tab w:val="clear" w:pos="426"/>
              </w:tabs>
              <w:adjustRightInd/>
              <w:snapToGrid/>
              <w:spacing w:line="240" w:lineRule="exact"/>
              <w:rPr>
                <w:highlight w:val="none"/>
              </w:rPr>
            </w:pPr>
            <w:r>
              <w:rPr>
                <w:rFonts w:hint="eastAsia"/>
                <w:highlight w:val="none"/>
              </w:rPr>
              <w:t xml:space="preserve">        集合地点：</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05" w:type="dxa"/>
            <w:vAlign w:val="center"/>
          </w:tcPr>
          <w:p>
            <w:pPr>
              <w:tabs>
                <w:tab w:val="clear" w:pos="426"/>
              </w:tabs>
              <w:adjustRightInd/>
              <w:snapToGrid/>
              <w:spacing w:line="240" w:lineRule="exact"/>
              <w:jc w:val="center"/>
              <w:rPr>
                <w:highlight w:val="none"/>
              </w:rPr>
            </w:pPr>
            <w:r>
              <w:rPr>
                <w:rFonts w:hint="eastAsia"/>
                <w:highlight w:val="none"/>
              </w:rPr>
              <w:t>3</w:t>
            </w:r>
          </w:p>
        </w:tc>
        <w:tc>
          <w:tcPr>
            <w:tcW w:w="2255" w:type="dxa"/>
            <w:vAlign w:val="center"/>
          </w:tcPr>
          <w:p>
            <w:pPr>
              <w:tabs>
                <w:tab w:val="clear" w:pos="426"/>
              </w:tabs>
              <w:adjustRightInd/>
              <w:snapToGrid/>
              <w:spacing w:line="240" w:lineRule="exact"/>
              <w:rPr>
                <w:highlight w:val="none"/>
              </w:rPr>
            </w:pPr>
            <w:r>
              <w:rPr>
                <w:rFonts w:hint="eastAsia"/>
                <w:highlight w:val="none"/>
              </w:rPr>
              <w:t>投标人提出疑问截止时间</w:t>
            </w:r>
          </w:p>
        </w:tc>
        <w:tc>
          <w:tcPr>
            <w:tcW w:w="6910" w:type="dxa"/>
            <w:vAlign w:val="center"/>
          </w:tcPr>
          <w:p>
            <w:pPr>
              <w:tabs>
                <w:tab w:val="clear" w:pos="426"/>
              </w:tabs>
              <w:adjustRightInd/>
              <w:snapToGrid/>
              <w:spacing w:line="240" w:lineRule="exact"/>
              <w:rPr>
                <w:highlight w:val="none"/>
              </w:rPr>
            </w:pPr>
            <w:r>
              <w:rPr>
                <w:rFonts w:hint="eastAsia"/>
                <w:highlight w:val="none"/>
              </w:rPr>
              <w:t>采购文件发布之日起第7个工作日</w:t>
            </w:r>
            <w:r>
              <w:rPr>
                <w:rFonts w:hint="eastAsia"/>
                <w:highlight w:val="none"/>
                <w:u w:val="single"/>
              </w:rPr>
              <w:t>17：30</w:t>
            </w:r>
            <w:r>
              <w:rPr>
                <w:rFonts w:hint="eastAsia"/>
                <w:highlight w:val="none"/>
              </w:rPr>
              <w:t>点前</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05" w:type="dxa"/>
            <w:vAlign w:val="center"/>
          </w:tcPr>
          <w:p>
            <w:pPr>
              <w:tabs>
                <w:tab w:val="clear" w:pos="426"/>
              </w:tabs>
              <w:adjustRightInd/>
              <w:snapToGrid/>
              <w:spacing w:line="240" w:lineRule="exact"/>
              <w:jc w:val="center"/>
              <w:rPr>
                <w:highlight w:val="none"/>
              </w:rPr>
            </w:pPr>
            <w:r>
              <w:rPr>
                <w:rFonts w:hint="eastAsia"/>
                <w:highlight w:val="none"/>
              </w:rPr>
              <w:t>4</w:t>
            </w:r>
          </w:p>
        </w:tc>
        <w:tc>
          <w:tcPr>
            <w:tcW w:w="2255" w:type="dxa"/>
            <w:vAlign w:val="center"/>
          </w:tcPr>
          <w:p>
            <w:pPr>
              <w:tabs>
                <w:tab w:val="clear" w:pos="426"/>
              </w:tabs>
              <w:adjustRightInd/>
              <w:snapToGrid/>
              <w:spacing w:line="240" w:lineRule="exact"/>
              <w:rPr>
                <w:highlight w:val="none"/>
              </w:rPr>
            </w:pPr>
            <w:r>
              <w:rPr>
                <w:rFonts w:hint="eastAsia"/>
                <w:highlight w:val="none"/>
              </w:rPr>
              <w:t>澄清或修补、答疑的期限</w:t>
            </w:r>
          </w:p>
        </w:tc>
        <w:tc>
          <w:tcPr>
            <w:tcW w:w="6910" w:type="dxa"/>
            <w:vAlign w:val="center"/>
          </w:tcPr>
          <w:p>
            <w:pPr>
              <w:tabs>
                <w:tab w:val="clear" w:pos="426"/>
              </w:tabs>
              <w:adjustRightInd/>
              <w:snapToGrid/>
              <w:spacing w:line="240" w:lineRule="exact"/>
              <w:rPr>
                <w:highlight w:val="none"/>
              </w:rPr>
            </w:pPr>
            <w:r>
              <w:rPr>
                <w:rFonts w:hint="eastAsia"/>
                <w:highlight w:val="none"/>
              </w:rPr>
              <w:t>截标3</w:t>
            </w:r>
            <w:r>
              <w:rPr>
                <w:highlight w:val="none"/>
              </w:rPr>
              <w:t>日</w:t>
            </w:r>
            <w:r>
              <w:rPr>
                <w:rFonts w:hint="eastAsia"/>
                <w:highlight w:val="none"/>
              </w:rPr>
              <w:t>前</w:t>
            </w:r>
            <w:r>
              <w:rPr>
                <w:rFonts w:hint="eastAsia"/>
                <w:highlight w:val="none"/>
                <w:u w:val="single"/>
              </w:rPr>
              <w:t>17：30</w:t>
            </w:r>
            <w:r>
              <w:rPr>
                <w:rFonts w:hint="eastAsia"/>
                <w:highlight w:val="none"/>
              </w:rPr>
              <w:t>点前</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05" w:type="dxa"/>
            <w:vAlign w:val="center"/>
          </w:tcPr>
          <w:p>
            <w:pPr>
              <w:tabs>
                <w:tab w:val="clear" w:pos="426"/>
              </w:tabs>
              <w:adjustRightInd/>
              <w:snapToGrid/>
              <w:spacing w:line="240" w:lineRule="exact"/>
              <w:jc w:val="center"/>
              <w:rPr>
                <w:highlight w:val="none"/>
              </w:rPr>
            </w:pPr>
            <w:r>
              <w:rPr>
                <w:rFonts w:hint="eastAsia"/>
                <w:highlight w:val="none"/>
              </w:rPr>
              <w:t>5</w:t>
            </w:r>
          </w:p>
        </w:tc>
        <w:tc>
          <w:tcPr>
            <w:tcW w:w="2255" w:type="dxa"/>
            <w:vAlign w:val="center"/>
          </w:tcPr>
          <w:p>
            <w:pPr>
              <w:tabs>
                <w:tab w:val="clear" w:pos="426"/>
              </w:tabs>
              <w:adjustRightInd/>
              <w:snapToGrid/>
              <w:spacing w:line="240" w:lineRule="exact"/>
              <w:rPr>
                <w:highlight w:val="none"/>
              </w:rPr>
            </w:pPr>
            <w:r>
              <w:rPr>
                <w:rFonts w:hint="eastAsia"/>
                <w:highlight w:val="none"/>
              </w:rPr>
              <w:t>招标代理</w:t>
            </w:r>
            <w:r>
              <w:rPr>
                <w:highlight w:val="none"/>
              </w:rPr>
              <w:t>服务费</w:t>
            </w:r>
          </w:p>
        </w:tc>
        <w:tc>
          <w:tcPr>
            <w:tcW w:w="6910" w:type="dxa"/>
            <w:vAlign w:val="center"/>
          </w:tcPr>
          <w:p>
            <w:pPr>
              <w:tabs>
                <w:tab w:val="clear" w:pos="426"/>
              </w:tabs>
              <w:adjustRightInd/>
              <w:snapToGrid/>
              <w:spacing w:line="240" w:lineRule="exact"/>
              <w:rPr>
                <w:highlight w:val="none"/>
              </w:rPr>
            </w:pPr>
            <w:r>
              <w:rPr>
                <w:rFonts w:hint="eastAsia"/>
                <w:highlight w:val="none"/>
              </w:rPr>
              <w:t>采购代理机构以</w:t>
            </w:r>
            <w:r>
              <w:rPr>
                <w:highlight w:val="none"/>
              </w:rPr>
              <w:t>采购预算限额</w:t>
            </w:r>
            <w:r>
              <w:rPr>
                <w:rFonts w:hint="eastAsia"/>
                <w:highlight w:val="none"/>
              </w:rPr>
              <w:t>为计算基数，按《深圳市财政委员会关于规范深圳市社会采购代理机构管理有关事项的补充通知》（深财购〔</w:t>
            </w:r>
            <w:r>
              <w:rPr>
                <w:highlight w:val="none"/>
              </w:rPr>
              <w:t>2018〕27号）规定的招标代理服务费收费办法，按差额定率累进法计算，并向</w:t>
            </w:r>
            <w:r>
              <w:rPr>
                <w:rFonts w:hint="eastAsia"/>
                <w:highlight w:val="none"/>
              </w:rPr>
              <w:t>采购人</w:t>
            </w:r>
            <w:r>
              <w:rPr>
                <w:highlight w:val="none"/>
              </w:rPr>
              <w:t>收取。</w:t>
            </w:r>
            <w:r>
              <w:rPr>
                <w:rFonts w:hint="eastAsia"/>
                <w:highlight w:val="none"/>
              </w:rPr>
              <w:t>交易服务费采用转账的方式，账户信息如下：</w:t>
            </w:r>
          </w:p>
          <w:p>
            <w:pPr>
              <w:tabs>
                <w:tab w:val="clear" w:pos="426"/>
              </w:tabs>
              <w:adjustRightInd/>
              <w:snapToGrid/>
              <w:spacing w:line="240" w:lineRule="exact"/>
              <w:rPr>
                <w:highlight w:val="none"/>
              </w:rPr>
            </w:pPr>
            <w:r>
              <w:rPr>
                <w:rFonts w:hint="eastAsia"/>
                <w:highlight w:val="none"/>
              </w:rPr>
              <w:t>户名：深圳市深水水务咨询有限公司</w:t>
            </w:r>
          </w:p>
          <w:p>
            <w:pPr>
              <w:tabs>
                <w:tab w:val="clear" w:pos="426"/>
              </w:tabs>
              <w:adjustRightInd/>
              <w:snapToGrid/>
              <w:spacing w:line="240" w:lineRule="exact"/>
              <w:rPr>
                <w:highlight w:val="none"/>
              </w:rPr>
            </w:pPr>
            <w:r>
              <w:rPr>
                <w:rFonts w:hint="eastAsia"/>
                <w:highlight w:val="none"/>
              </w:rPr>
              <w:t>账号：</w:t>
            </w:r>
            <w:r>
              <w:rPr>
                <w:highlight w:val="none"/>
              </w:rPr>
              <w:t>4000021219200366130</w:t>
            </w:r>
          </w:p>
          <w:p>
            <w:pPr>
              <w:tabs>
                <w:tab w:val="clear" w:pos="426"/>
              </w:tabs>
              <w:adjustRightInd/>
              <w:snapToGrid/>
              <w:spacing w:line="240" w:lineRule="exact"/>
              <w:rPr>
                <w:highlight w:val="none"/>
              </w:rPr>
            </w:pPr>
            <w:r>
              <w:rPr>
                <w:rFonts w:hint="eastAsia"/>
                <w:highlight w:val="none"/>
              </w:rPr>
              <w:t>开户行：中国工商银行深圳红围支行</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05" w:type="dxa"/>
            <w:vAlign w:val="center"/>
          </w:tcPr>
          <w:p>
            <w:pPr>
              <w:tabs>
                <w:tab w:val="clear" w:pos="426"/>
              </w:tabs>
              <w:adjustRightInd/>
              <w:snapToGrid/>
              <w:spacing w:line="240" w:lineRule="exact"/>
              <w:jc w:val="center"/>
              <w:rPr>
                <w:highlight w:val="none"/>
              </w:rPr>
            </w:pPr>
            <w:r>
              <w:rPr>
                <w:rFonts w:hint="eastAsia"/>
                <w:highlight w:val="none"/>
              </w:rPr>
              <w:t>6</w:t>
            </w:r>
          </w:p>
        </w:tc>
        <w:tc>
          <w:tcPr>
            <w:tcW w:w="2255" w:type="dxa"/>
            <w:vAlign w:val="center"/>
          </w:tcPr>
          <w:p>
            <w:pPr>
              <w:tabs>
                <w:tab w:val="clear" w:pos="426"/>
              </w:tabs>
              <w:adjustRightInd/>
              <w:snapToGrid/>
              <w:spacing w:line="240" w:lineRule="exact"/>
              <w:rPr>
                <w:highlight w:val="none"/>
              </w:rPr>
            </w:pPr>
            <w:r>
              <w:rPr>
                <w:highlight w:val="none"/>
              </w:rPr>
              <w:t>投标</w:t>
            </w:r>
            <w:r>
              <w:rPr>
                <w:rFonts w:hint="eastAsia"/>
                <w:highlight w:val="none"/>
              </w:rPr>
              <w:t>担保</w:t>
            </w:r>
          </w:p>
        </w:tc>
        <w:tc>
          <w:tcPr>
            <w:tcW w:w="6910" w:type="dxa"/>
            <w:vAlign w:val="center"/>
          </w:tcPr>
          <w:p>
            <w:pPr>
              <w:tabs>
                <w:tab w:val="clear" w:pos="426"/>
              </w:tabs>
              <w:adjustRightInd/>
              <w:snapToGrid/>
              <w:spacing w:line="240" w:lineRule="exact"/>
              <w:rPr>
                <w:rFonts w:hint="eastAsia" w:eastAsia="宋体"/>
                <w:highlight w:val="none"/>
                <w:lang w:eastAsia="zh-CN"/>
              </w:rPr>
            </w:pPr>
            <w:r>
              <w:rPr>
                <w:rFonts w:hint="eastAsia"/>
                <w:szCs w:val="21"/>
                <w:highlight w:val="none"/>
                <w:lang w:eastAsia="zh-CN"/>
              </w:rPr>
              <w:t>本项目无需投标担保</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05" w:type="dxa"/>
            <w:vAlign w:val="center"/>
          </w:tcPr>
          <w:p>
            <w:pPr>
              <w:tabs>
                <w:tab w:val="clear" w:pos="426"/>
              </w:tabs>
              <w:adjustRightInd/>
              <w:snapToGrid/>
              <w:spacing w:line="240" w:lineRule="exact"/>
              <w:jc w:val="center"/>
              <w:rPr>
                <w:highlight w:val="none"/>
              </w:rPr>
            </w:pPr>
            <w:r>
              <w:rPr>
                <w:rFonts w:hint="eastAsia"/>
                <w:highlight w:val="none"/>
              </w:rPr>
              <w:t>7</w:t>
            </w:r>
          </w:p>
        </w:tc>
        <w:tc>
          <w:tcPr>
            <w:tcW w:w="2255" w:type="dxa"/>
            <w:vAlign w:val="center"/>
          </w:tcPr>
          <w:p>
            <w:pPr>
              <w:tabs>
                <w:tab w:val="clear" w:pos="426"/>
              </w:tabs>
              <w:adjustRightInd/>
              <w:snapToGrid/>
              <w:spacing w:line="240" w:lineRule="exact"/>
              <w:rPr>
                <w:highlight w:val="none"/>
              </w:rPr>
            </w:pPr>
            <w:r>
              <w:rPr>
                <w:highlight w:val="none"/>
              </w:rPr>
              <w:t>投标有效期</w:t>
            </w:r>
          </w:p>
        </w:tc>
        <w:tc>
          <w:tcPr>
            <w:tcW w:w="6910" w:type="dxa"/>
            <w:vAlign w:val="center"/>
          </w:tcPr>
          <w:p>
            <w:pPr>
              <w:tabs>
                <w:tab w:val="clear" w:pos="426"/>
              </w:tabs>
              <w:adjustRightInd/>
              <w:snapToGrid/>
              <w:spacing w:line="240" w:lineRule="exact"/>
              <w:rPr>
                <w:highlight w:val="none"/>
              </w:rPr>
            </w:pPr>
            <w:r>
              <w:rPr>
                <w:rFonts w:hint="eastAsia"/>
                <w:highlight w:val="none"/>
              </w:rPr>
              <w:t>90</w:t>
            </w:r>
            <w:r>
              <w:rPr>
                <w:highlight w:val="none"/>
              </w:rPr>
              <w:t>日历天（</w:t>
            </w:r>
            <w:r>
              <w:rPr>
                <w:rFonts w:hint="eastAsia"/>
                <w:highlight w:val="none"/>
              </w:rPr>
              <w:t>从投标截止之日算起</w:t>
            </w:r>
            <w:r>
              <w:rPr>
                <w:highlight w:val="none"/>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05" w:type="dxa"/>
            <w:vAlign w:val="center"/>
          </w:tcPr>
          <w:p>
            <w:pPr>
              <w:tabs>
                <w:tab w:val="clear" w:pos="426"/>
              </w:tabs>
              <w:adjustRightInd/>
              <w:snapToGrid/>
              <w:spacing w:line="240" w:lineRule="exact"/>
              <w:jc w:val="center"/>
              <w:rPr>
                <w:highlight w:val="none"/>
              </w:rPr>
            </w:pPr>
            <w:r>
              <w:rPr>
                <w:rFonts w:hint="eastAsia"/>
                <w:highlight w:val="none"/>
              </w:rPr>
              <w:t>8</w:t>
            </w:r>
          </w:p>
        </w:tc>
        <w:tc>
          <w:tcPr>
            <w:tcW w:w="2255" w:type="dxa"/>
            <w:vAlign w:val="center"/>
          </w:tcPr>
          <w:p>
            <w:pPr>
              <w:tabs>
                <w:tab w:val="clear" w:pos="426"/>
              </w:tabs>
              <w:adjustRightInd/>
              <w:snapToGrid/>
              <w:spacing w:line="240" w:lineRule="exact"/>
              <w:rPr>
                <w:highlight w:val="none"/>
              </w:rPr>
            </w:pPr>
            <w:r>
              <w:rPr>
                <w:rFonts w:hint="eastAsia"/>
                <w:highlight w:val="none"/>
              </w:rPr>
              <w:t>替代方案</w:t>
            </w:r>
          </w:p>
        </w:tc>
        <w:tc>
          <w:tcPr>
            <w:tcW w:w="6910" w:type="dxa"/>
            <w:vAlign w:val="center"/>
          </w:tcPr>
          <w:p>
            <w:pPr>
              <w:tabs>
                <w:tab w:val="clear" w:pos="426"/>
              </w:tabs>
              <w:adjustRightInd/>
              <w:snapToGrid/>
              <w:spacing w:line="240" w:lineRule="exact"/>
              <w:rPr>
                <w:highlight w:val="none"/>
              </w:rPr>
            </w:pPr>
            <w:r>
              <w:rPr>
                <w:rFonts w:hint="eastAsia"/>
                <w:highlight w:val="none"/>
              </w:rPr>
              <w:t>■不允许  □允许</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05" w:type="dxa"/>
            <w:vAlign w:val="center"/>
          </w:tcPr>
          <w:p>
            <w:pPr>
              <w:tabs>
                <w:tab w:val="clear" w:pos="426"/>
              </w:tabs>
              <w:adjustRightInd/>
              <w:snapToGrid/>
              <w:spacing w:line="240" w:lineRule="exact"/>
              <w:jc w:val="center"/>
              <w:rPr>
                <w:highlight w:val="none"/>
              </w:rPr>
            </w:pPr>
            <w:r>
              <w:rPr>
                <w:rFonts w:hint="eastAsia"/>
                <w:highlight w:val="none"/>
              </w:rPr>
              <w:t>9</w:t>
            </w:r>
          </w:p>
        </w:tc>
        <w:tc>
          <w:tcPr>
            <w:tcW w:w="2255" w:type="dxa"/>
            <w:vAlign w:val="center"/>
          </w:tcPr>
          <w:p>
            <w:pPr>
              <w:tabs>
                <w:tab w:val="clear" w:pos="426"/>
              </w:tabs>
              <w:adjustRightInd/>
              <w:snapToGrid/>
              <w:spacing w:line="240" w:lineRule="exact"/>
              <w:rPr>
                <w:highlight w:val="none"/>
              </w:rPr>
            </w:pPr>
            <w:r>
              <w:rPr>
                <w:rFonts w:hint="eastAsia"/>
                <w:highlight w:val="none"/>
              </w:rPr>
              <w:t>评定分离</w:t>
            </w:r>
          </w:p>
        </w:tc>
        <w:tc>
          <w:tcPr>
            <w:tcW w:w="6910" w:type="dxa"/>
            <w:vAlign w:val="center"/>
          </w:tcPr>
          <w:p>
            <w:pPr>
              <w:tabs>
                <w:tab w:val="clear" w:pos="426"/>
              </w:tabs>
              <w:adjustRightInd/>
              <w:snapToGrid/>
              <w:spacing w:line="240" w:lineRule="auto"/>
              <w:rPr>
                <w:highlight w:val="none"/>
              </w:rPr>
            </w:pPr>
            <w:r>
              <w:rPr>
                <w:rFonts w:hint="eastAsia"/>
                <w:highlight w:val="none"/>
              </w:rPr>
              <w:t>■是             □否</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05" w:type="dxa"/>
            <w:vAlign w:val="center"/>
          </w:tcPr>
          <w:p>
            <w:pPr>
              <w:tabs>
                <w:tab w:val="clear" w:pos="426"/>
              </w:tabs>
              <w:adjustRightInd/>
              <w:snapToGrid/>
              <w:spacing w:line="240" w:lineRule="exact"/>
              <w:jc w:val="center"/>
              <w:rPr>
                <w:highlight w:val="none"/>
              </w:rPr>
            </w:pPr>
            <w:r>
              <w:rPr>
                <w:rFonts w:hint="eastAsia"/>
                <w:highlight w:val="none"/>
              </w:rPr>
              <w:t>10</w:t>
            </w:r>
          </w:p>
        </w:tc>
        <w:tc>
          <w:tcPr>
            <w:tcW w:w="2255" w:type="dxa"/>
            <w:vAlign w:val="center"/>
          </w:tcPr>
          <w:p>
            <w:pPr>
              <w:tabs>
                <w:tab w:val="clear" w:pos="426"/>
              </w:tabs>
              <w:adjustRightInd/>
              <w:snapToGrid/>
              <w:spacing w:line="240" w:lineRule="exact"/>
              <w:rPr>
                <w:highlight w:val="none"/>
              </w:rPr>
            </w:pPr>
            <w:r>
              <w:rPr>
                <w:highlight w:val="none"/>
              </w:rPr>
              <w:t>评标</w:t>
            </w:r>
            <w:r>
              <w:rPr>
                <w:rFonts w:hint="eastAsia"/>
                <w:highlight w:val="none"/>
              </w:rPr>
              <w:t>方</w:t>
            </w:r>
            <w:r>
              <w:rPr>
                <w:highlight w:val="none"/>
              </w:rPr>
              <w:t>法</w:t>
            </w:r>
          </w:p>
        </w:tc>
        <w:tc>
          <w:tcPr>
            <w:tcW w:w="6910" w:type="dxa"/>
            <w:vAlign w:val="center"/>
          </w:tcPr>
          <w:p>
            <w:pPr>
              <w:tabs>
                <w:tab w:val="clear" w:pos="426"/>
              </w:tabs>
              <w:adjustRightInd/>
              <w:snapToGrid/>
              <w:spacing w:line="240" w:lineRule="auto"/>
              <w:rPr>
                <w:color w:val="000000"/>
                <w:szCs w:val="21"/>
                <w:highlight w:val="none"/>
              </w:rPr>
            </w:pPr>
            <w:r>
              <w:rPr>
                <w:highlight w:val="none"/>
              </w:rPr>
              <w:t>■</w:t>
            </w:r>
            <w:r>
              <w:rPr>
                <w:rFonts w:hint="eastAsia"/>
                <w:color w:val="000000"/>
                <w:szCs w:val="21"/>
                <w:highlight w:val="none"/>
              </w:rPr>
              <w:t xml:space="preserve">综合评分法     </w:t>
            </w:r>
            <w:r>
              <w:rPr>
                <w:rFonts w:hint="eastAsia"/>
                <w:highlight w:val="none"/>
              </w:rPr>
              <w:t>□</w:t>
            </w:r>
            <w:r>
              <w:rPr>
                <w:rFonts w:hint="eastAsia"/>
                <w:color w:val="000000"/>
                <w:szCs w:val="21"/>
                <w:highlight w:val="none"/>
              </w:rPr>
              <w:t xml:space="preserve">定性评审法     </w:t>
            </w:r>
            <w:r>
              <w:rPr>
                <w:rFonts w:hint="eastAsia"/>
                <w:highlight w:val="none"/>
              </w:rPr>
              <w:t>□</w:t>
            </w:r>
            <w:r>
              <w:rPr>
                <w:rFonts w:hint="eastAsia"/>
                <w:color w:val="000000"/>
                <w:szCs w:val="21"/>
                <w:highlight w:val="none"/>
              </w:rPr>
              <w:t>最低价法</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05" w:type="dxa"/>
            <w:vAlign w:val="center"/>
          </w:tcPr>
          <w:p>
            <w:pPr>
              <w:tabs>
                <w:tab w:val="clear" w:pos="426"/>
              </w:tabs>
              <w:adjustRightInd/>
              <w:snapToGrid/>
              <w:spacing w:line="240" w:lineRule="exact"/>
              <w:jc w:val="center"/>
              <w:rPr>
                <w:highlight w:val="none"/>
              </w:rPr>
            </w:pPr>
            <w:r>
              <w:rPr>
                <w:rFonts w:hint="eastAsia"/>
                <w:highlight w:val="none"/>
              </w:rPr>
              <w:t>11</w:t>
            </w:r>
          </w:p>
        </w:tc>
        <w:tc>
          <w:tcPr>
            <w:tcW w:w="2255" w:type="dxa"/>
            <w:vAlign w:val="center"/>
          </w:tcPr>
          <w:p>
            <w:pPr>
              <w:tabs>
                <w:tab w:val="clear" w:pos="426"/>
              </w:tabs>
              <w:adjustRightInd/>
              <w:snapToGrid/>
              <w:spacing w:line="240" w:lineRule="exact"/>
              <w:rPr>
                <w:highlight w:val="none"/>
              </w:rPr>
            </w:pPr>
            <w:r>
              <w:rPr>
                <w:rFonts w:hint="eastAsia"/>
                <w:highlight w:val="none"/>
              </w:rPr>
              <w:t>定</w:t>
            </w:r>
            <w:r>
              <w:rPr>
                <w:highlight w:val="none"/>
              </w:rPr>
              <w:t>标</w:t>
            </w:r>
            <w:r>
              <w:rPr>
                <w:rFonts w:hint="eastAsia"/>
                <w:highlight w:val="none"/>
              </w:rPr>
              <w:t>方</w:t>
            </w:r>
            <w:r>
              <w:rPr>
                <w:highlight w:val="none"/>
              </w:rPr>
              <w:t>法</w:t>
            </w:r>
          </w:p>
        </w:tc>
        <w:tc>
          <w:tcPr>
            <w:tcW w:w="6910" w:type="dxa"/>
            <w:vAlign w:val="center"/>
          </w:tcPr>
          <w:p>
            <w:pPr>
              <w:tabs>
                <w:tab w:val="clear" w:pos="426"/>
              </w:tabs>
              <w:adjustRightInd/>
              <w:snapToGrid/>
              <w:spacing w:line="240" w:lineRule="auto"/>
              <w:rPr>
                <w:color w:val="000000"/>
                <w:szCs w:val="21"/>
                <w:highlight w:val="none"/>
              </w:rPr>
            </w:pPr>
            <w:r>
              <w:rPr>
                <w:highlight w:val="none"/>
              </w:rPr>
              <w:t>■</w:t>
            </w:r>
            <w:r>
              <w:rPr>
                <w:rFonts w:hint="eastAsia"/>
                <w:color w:val="000000"/>
                <w:szCs w:val="21"/>
                <w:highlight w:val="none"/>
              </w:rPr>
              <w:t xml:space="preserve">自定法          </w:t>
            </w:r>
            <w:r>
              <w:rPr>
                <w:rFonts w:hint="eastAsia"/>
                <w:highlight w:val="none"/>
              </w:rPr>
              <w:t>口</w:t>
            </w:r>
            <w:r>
              <w:rPr>
                <w:rFonts w:hint="eastAsia"/>
                <w:color w:val="000000"/>
                <w:szCs w:val="21"/>
                <w:highlight w:val="none"/>
              </w:rPr>
              <w:t xml:space="preserve">抽签法          </w:t>
            </w:r>
            <w:r>
              <w:rPr>
                <w:rFonts w:hint="eastAsia"/>
                <w:highlight w:val="none"/>
              </w:rPr>
              <w:t>口</w:t>
            </w:r>
            <w:r>
              <w:rPr>
                <w:rFonts w:hint="eastAsia"/>
                <w:color w:val="000000"/>
                <w:szCs w:val="21"/>
                <w:highlight w:val="none"/>
              </w:rPr>
              <w:t>竞价法</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05" w:type="dxa"/>
            <w:vAlign w:val="center"/>
          </w:tcPr>
          <w:p>
            <w:pPr>
              <w:tabs>
                <w:tab w:val="clear" w:pos="426"/>
              </w:tabs>
              <w:adjustRightInd/>
              <w:snapToGrid/>
              <w:spacing w:line="240" w:lineRule="exact"/>
              <w:jc w:val="center"/>
              <w:rPr>
                <w:highlight w:val="none"/>
              </w:rPr>
            </w:pPr>
            <w:r>
              <w:rPr>
                <w:rFonts w:hint="eastAsia"/>
                <w:highlight w:val="none"/>
              </w:rPr>
              <w:t>12</w:t>
            </w:r>
          </w:p>
        </w:tc>
        <w:tc>
          <w:tcPr>
            <w:tcW w:w="2255" w:type="dxa"/>
            <w:vAlign w:val="center"/>
          </w:tcPr>
          <w:p>
            <w:pPr>
              <w:tabs>
                <w:tab w:val="clear" w:pos="426"/>
              </w:tabs>
              <w:adjustRightInd/>
              <w:snapToGrid/>
              <w:spacing w:line="240" w:lineRule="exact"/>
              <w:rPr>
                <w:highlight w:val="none"/>
              </w:rPr>
            </w:pPr>
            <w:r>
              <w:rPr>
                <w:highlight w:val="none"/>
              </w:rPr>
              <w:t>履约保证金</w:t>
            </w:r>
          </w:p>
        </w:tc>
        <w:tc>
          <w:tcPr>
            <w:tcW w:w="6910" w:type="dxa"/>
            <w:vAlign w:val="center"/>
          </w:tcPr>
          <w:p>
            <w:pPr>
              <w:tabs>
                <w:tab w:val="clear" w:pos="426"/>
              </w:tabs>
              <w:adjustRightInd/>
              <w:snapToGrid/>
              <w:spacing w:line="240" w:lineRule="exact"/>
              <w:rPr>
                <w:highlight w:val="none"/>
              </w:rPr>
            </w:pPr>
            <w:r>
              <w:rPr>
                <w:highlight w:val="none"/>
              </w:rPr>
              <w:t>■</w:t>
            </w:r>
            <w:r>
              <w:rPr>
                <w:rFonts w:hint="eastAsia"/>
                <w:highlight w:val="none"/>
              </w:rPr>
              <w:t>不提交  □提交</w:t>
            </w:r>
          </w:p>
          <w:p>
            <w:pPr>
              <w:tabs>
                <w:tab w:val="clear" w:pos="426"/>
              </w:tabs>
              <w:adjustRightInd/>
              <w:snapToGrid/>
              <w:spacing w:line="240" w:lineRule="exact"/>
              <w:rPr>
                <w:highlight w:val="none"/>
              </w:rPr>
            </w:pPr>
            <w:r>
              <w:rPr>
                <w:rFonts w:hint="eastAsia"/>
                <w:highlight w:val="none"/>
              </w:rPr>
              <w:t>担保金额：为中标价的</w:t>
            </w:r>
            <w:r>
              <w:rPr>
                <w:rFonts w:hint="eastAsia"/>
                <w:highlight w:val="none"/>
                <w:u w:val="single"/>
              </w:rPr>
              <w:t xml:space="preserve"> /</w:t>
            </w:r>
            <w:r>
              <w:rPr>
                <w:rFonts w:hint="eastAsia"/>
                <w:highlight w:val="none"/>
              </w:rPr>
              <w:t>% 或</w:t>
            </w:r>
            <w:r>
              <w:rPr>
                <w:rFonts w:hint="eastAsia"/>
                <w:highlight w:val="none"/>
                <w:u w:val="single"/>
              </w:rPr>
              <w:t xml:space="preserve"> / </w:t>
            </w:r>
            <w:r>
              <w:rPr>
                <w:rFonts w:hint="eastAsia"/>
                <w:highlight w:val="none"/>
              </w:rPr>
              <w:t>万元</w:t>
            </w:r>
          </w:p>
          <w:p>
            <w:pPr>
              <w:tabs>
                <w:tab w:val="clear" w:pos="426"/>
              </w:tabs>
              <w:adjustRightInd/>
              <w:snapToGrid/>
              <w:spacing w:line="240" w:lineRule="exact"/>
              <w:rPr>
                <w:highlight w:val="none"/>
              </w:rPr>
            </w:pPr>
            <w:r>
              <w:rPr>
                <w:rFonts w:hint="eastAsia"/>
                <w:highlight w:val="none"/>
              </w:rPr>
              <w:t>担保提交时间：收到中标通知书后，并在签订合同前提交</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05" w:type="dxa"/>
            <w:vAlign w:val="center"/>
          </w:tcPr>
          <w:p>
            <w:pPr>
              <w:tabs>
                <w:tab w:val="clear" w:pos="426"/>
              </w:tabs>
              <w:adjustRightInd/>
              <w:snapToGrid/>
              <w:spacing w:line="240" w:lineRule="exact"/>
              <w:jc w:val="center"/>
              <w:rPr>
                <w:highlight w:val="none"/>
              </w:rPr>
            </w:pPr>
            <w:r>
              <w:rPr>
                <w:rFonts w:hint="eastAsia"/>
                <w:highlight w:val="none"/>
              </w:rPr>
              <w:t>13</w:t>
            </w:r>
          </w:p>
        </w:tc>
        <w:tc>
          <w:tcPr>
            <w:tcW w:w="2255" w:type="dxa"/>
            <w:vAlign w:val="center"/>
          </w:tcPr>
          <w:p>
            <w:pPr>
              <w:tabs>
                <w:tab w:val="clear" w:pos="426"/>
              </w:tabs>
              <w:adjustRightInd/>
              <w:snapToGrid/>
              <w:spacing w:line="240" w:lineRule="exact"/>
              <w:rPr>
                <w:highlight w:val="none"/>
              </w:rPr>
            </w:pPr>
            <w:r>
              <w:rPr>
                <w:highlight w:val="none"/>
              </w:rPr>
              <w:t>投标文件份数</w:t>
            </w:r>
          </w:p>
        </w:tc>
        <w:tc>
          <w:tcPr>
            <w:tcW w:w="6910" w:type="dxa"/>
            <w:vAlign w:val="center"/>
          </w:tcPr>
          <w:p>
            <w:pPr>
              <w:tabs>
                <w:tab w:val="clear" w:pos="426"/>
              </w:tabs>
              <w:adjustRightInd/>
              <w:snapToGrid/>
              <w:spacing w:line="240" w:lineRule="exact"/>
              <w:rPr>
                <w:highlight w:val="none"/>
              </w:rPr>
            </w:pPr>
            <w:r>
              <w:rPr>
                <w:rFonts w:hint="eastAsia"/>
                <w:highlight w:val="none"/>
              </w:rPr>
              <w:t>（1）开标信封一份。</w:t>
            </w:r>
          </w:p>
          <w:p>
            <w:pPr>
              <w:tabs>
                <w:tab w:val="clear" w:pos="426"/>
              </w:tabs>
              <w:adjustRightInd/>
              <w:snapToGrid/>
              <w:spacing w:line="240" w:lineRule="exact"/>
              <w:rPr>
                <w:highlight w:val="none"/>
              </w:rPr>
            </w:pPr>
            <w:r>
              <w:rPr>
                <w:rFonts w:hint="eastAsia"/>
                <w:highlight w:val="none"/>
              </w:rPr>
              <w:t>（2）纸质投标文件</w:t>
            </w:r>
            <w:r>
              <w:rPr>
                <w:highlight w:val="none"/>
                <w:u w:val="single"/>
              </w:rPr>
              <w:t>一</w:t>
            </w:r>
            <w:r>
              <w:rPr>
                <w:highlight w:val="none"/>
              </w:rPr>
              <w:t>正本，</w:t>
            </w:r>
            <w:r>
              <w:rPr>
                <w:highlight w:val="none"/>
                <w:u w:val="single"/>
              </w:rPr>
              <w:t>四</w:t>
            </w:r>
            <w:r>
              <w:rPr>
                <w:highlight w:val="none"/>
              </w:rPr>
              <w:t>副本</w:t>
            </w:r>
            <w:r>
              <w:rPr>
                <w:rFonts w:hint="eastAsia"/>
                <w:highlight w:val="none"/>
              </w:rPr>
              <w:t>，建议胶装，统一密封在一个外密封包里。</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05" w:type="dxa"/>
            <w:vAlign w:val="center"/>
          </w:tcPr>
          <w:p>
            <w:pPr>
              <w:tabs>
                <w:tab w:val="clear" w:pos="426"/>
              </w:tabs>
              <w:adjustRightInd/>
              <w:snapToGrid/>
              <w:spacing w:line="240" w:lineRule="exact"/>
              <w:jc w:val="center"/>
              <w:rPr>
                <w:highlight w:val="none"/>
              </w:rPr>
            </w:pPr>
            <w:r>
              <w:rPr>
                <w:rFonts w:hint="eastAsia"/>
                <w:highlight w:val="none"/>
              </w:rPr>
              <w:t>14</w:t>
            </w:r>
          </w:p>
        </w:tc>
        <w:tc>
          <w:tcPr>
            <w:tcW w:w="2255" w:type="dxa"/>
            <w:vAlign w:val="center"/>
          </w:tcPr>
          <w:p>
            <w:pPr>
              <w:tabs>
                <w:tab w:val="clear" w:pos="426"/>
              </w:tabs>
              <w:adjustRightInd/>
              <w:snapToGrid/>
              <w:spacing w:line="240" w:lineRule="exact"/>
              <w:rPr>
                <w:highlight w:val="none"/>
              </w:rPr>
            </w:pPr>
            <w:r>
              <w:rPr>
                <w:rFonts w:hint="eastAsia"/>
                <w:highlight w:val="none"/>
              </w:rPr>
              <w:t>投标文件电子版</w:t>
            </w:r>
          </w:p>
        </w:tc>
        <w:tc>
          <w:tcPr>
            <w:tcW w:w="6910" w:type="dxa"/>
            <w:vAlign w:val="center"/>
          </w:tcPr>
          <w:p>
            <w:pPr>
              <w:tabs>
                <w:tab w:val="clear" w:pos="426"/>
              </w:tabs>
              <w:adjustRightInd/>
              <w:snapToGrid/>
              <w:spacing w:line="240" w:lineRule="exact"/>
              <w:rPr>
                <w:highlight w:val="none"/>
              </w:rPr>
            </w:pPr>
            <w:r>
              <w:rPr>
                <w:rFonts w:hint="eastAsia"/>
                <w:highlight w:val="none"/>
              </w:rPr>
              <w:t>电子光盘一张（投标文件正本盖章后的彩色扫描件</w:t>
            </w:r>
            <w:r>
              <w:rPr>
                <w:highlight w:val="none"/>
              </w:rPr>
              <w:t>PDF格式）</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05" w:type="dxa"/>
            <w:vAlign w:val="center"/>
          </w:tcPr>
          <w:p>
            <w:pPr>
              <w:tabs>
                <w:tab w:val="clear" w:pos="426"/>
              </w:tabs>
              <w:adjustRightInd/>
              <w:snapToGrid/>
              <w:spacing w:line="240" w:lineRule="exact"/>
              <w:jc w:val="center"/>
              <w:rPr>
                <w:highlight w:val="none"/>
              </w:rPr>
            </w:pPr>
            <w:r>
              <w:rPr>
                <w:rFonts w:hint="eastAsia"/>
                <w:highlight w:val="none"/>
              </w:rPr>
              <w:t>15</w:t>
            </w:r>
          </w:p>
        </w:tc>
        <w:tc>
          <w:tcPr>
            <w:tcW w:w="2255" w:type="dxa"/>
            <w:vAlign w:val="center"/>
          </w:tcPr>
          <w:p>
            <w:pPr>
              <w:tabs>
                <w:tab w:val="clear" w:pos="426"/>
              </w:tabs>
              <w:adjustRightInd/>
              <w:snapToGrid/>
              <w:spacing w:line="240" w:lineRule="exact"/>
              <w:rPr>
                <w:highlight w:val="none"/>
              </w:rPr>
            </w:pPr>
            <w:r>
              <w:rPr>
                <w:rFonts w:hint="eastAsia"/>
                <w:highlight w:val="none"/>
              </w:rPr>
              <w:t>财政预算限额</w:t>
            </w:r>
          </w:p>
        </w:tc>
        <w:tc>
          <w:tcPr>
            <w:tcW w:w="6910" w:type="dxa"/>
            <w:vAlign w:val="center"/>
          </w:tcPr>
          <w:p>
            <w:pPr>
              <w:tabs>
                <w:tab w:val="clear" w:pos="426"/>
              </w:tabs>
              <w:adjustRightInd/>
              <w:snapToGrid/>
              <w:spacing w:line="240" w:lineRule="exact"/>
              <w:rPr>
                <w:color w:val="FF0000"/>
                <w:highlight w:val="none"/>
              </w:rPr>
            </w:pPr>
            <w:r>
              <w:rPr>
                <w:rFonts w:hint="eastAsia"/>
                <w:b/>
                <w:highlight w:val="none"/>
              </w:rPr>
              <w:t>金额：</w:t>
            </w:r>
            <w:r>
              <w:rPr>
                <w:rFonts w:hint="eastAsia"/>
                <w:b/>
                <w:highlight w:val="none"/>
                <w:u w:val="single"/>
              </w:rPr>
              <w:t>人民币</w:t>
            </w:r>
            <w:r>
              <w:rPr>
                <w:rFonts w:hint="eastAsia"/>
                <w:b/>
                <w:highlight w:val="none"/>
                <w:u w:val="single"/>
                <w:lang w:eastAsia="zh-CN"/>
              </w:rPr>
              <w:t>柒拾陆万伍仟元整</w:t>
            </w:r>
            <w:r>
              <w:rPr>
                <w:rFonts w:hint="eastAsia"/>
                <w:b/>
                <w:highlight w:val="none"/>
                <w:u w:val="single"/>
              </w:rPr>
              <w:t>整</w:t>
            </w:r>
            <w:r>
              <w:rPr>
                <w:b/>
                <w:highlight w:val="none"/>
                <w:u w:val="single"/>
              </w:rPr>
              <w:t>（</w:t>
            </w:r>
            <w:r>
              <w:rPr>
                <w:rFonts w:hint="eastAsia" w:eastAsia="微软雅黑"/>
                <w:b/>
                <w:highlight w:val="none"/>
                <w:u w:val="single"/>
              </w:rPr>
              <w:t>¥</w:t>
            </w:r>
            <w:r>
              <w:rPr>
                <w:rFonts w:hint="eastAsia" w:eastAsia="微软雅黑"/>
                <w:b/>
                <w:highlight w:val="none"/>
                <w:u w:val="single"/>
                <w:lang w:eastAsia="zh-CN"/>
              </w:rPr>
              <w:t>765，000.00</w:t>
            </w:r>
            <w:r>
              <w:rPr>
                <w:rFonts w:hint="eastAsia"/>
                <w:b/>
                <w:highlight w:val="none"/>
                <w:u w:val="single"/>
              </w:rPr>
              <w:t>元</w:t>
            </w:r>
            <w:r>
              <w:rPr>
                <w:b/>
                <w:highlight w:val="none"/>
                <w:u w:val="single"/>
              </w:rPr>
              <w:t>）</w:t>
            </w:r>
            <w:r>
              <w:rPr>
                <w:rFonts w:hint="eastAsia"/>
                <w:b/>
                <w:highlight w:val="none"/>
                <w:u w:val="single"/>
              </w:rPr>
              <w:t>，</w:t>
            </w:r>
            <w:r>
              <w:rPr>
                <w:rFonts w:hint="eastAsia"/>
                <w:highlight w:val="none"/>
              </w:rPr>
              <w:t>分项预算限额详见货物清单一览表，超出财政预算限额或分项预算限额的投标文件将不被接受。</w:t>
            </w:r>
          </w:p>
        </w:tc>
      </w:tr>
    </w:tbl>
    <w:p>
      <w:pPr>
        <w:pStyle w:val="33"/>
        <w:tabs>
          <w:tab w:val="clear" w:pos="426"/>
        </w:tabs>
        <w:rPr>
          <w:highlight w:val="none"/>
        </w:rPr>
      </w:pPr>
      <w:r>
        <w:rPr>
          <w:highlight w:val="none"/>
        </w:rPr>
        <w:br w:type="page"/>
      </w:r>
      <w:bookmarkStart w:id="38" w:name="_Toc12610124"/>
      <w:bookmarkStart w:id="39" w:name="_Toc432592816"/>
      <w:bookmarkStart w:id="40" w:name="_Toc398220525"/>
      <w:r>
        <w:rPr>
          <w:rFonts w:hint="eastAsia"/>
          <w:highlight w:val="none"/>
        </w:rPr>
        <w:t>第三章</w:t>
      </w:r>
      <w:r>
        <w:rPr>
          <w:highlight w:val="none"/>
        </w:rPr>
        <w:t>项目</w:t>
      </w:r>
      <w:r>
        <w:rPr>
          <w:rFonts w:hint="eastAsia"/>
          <w:highlight w:val="none"/>
        </w:rPr>
        <w:t>需求</w:t>
      </w:r>
      <w:bookmarkEnd w:id="38"/>
    </w:p>
    <w:p>
      <w:pPr>
        <w:numPr>
          <w:ilvl w:val="0"/>
          <w:numId w:val="23"/>
        </w:numPr>
        <w:adjustRightInd/>
        <w:snapToGrid/>
        <w:spacing w:before="280" w:after="290" w:line="377" w:lineRule="auto"/>
        <w:jc w:val="center"/>
        <w:outlineLvl w:val="2"/>
        <w:rPr>
          <w:rFonts w:hint="eastAsia" w:cs="Times New Roman"/>
          <w:b/>
          <w:sz w:val="24"/>
          <w:szCs w:val="20"/>
          <w:highlight w:val="none"/>
        </w:rPr>
      </w:pPr>
      <w:r>
        <w:rPr>
          <w:rFonts w:hint="eastAsia" w:cs="Times New Roman"/>
          <w:b/>
          <w:sz w:val="24"/>
          <w:szCs w:val="20"/>
          <w:highlight w:val="none"/>
        </w:rPr>
        <w:t>货物清单</w:t>
      </w:r>
    </w:p>
    <w:tbl>
      <w:tblPr>
        <w:tblStyle w:val="44"/>
        <w:tblW w:w="8149" w:type="dxa"/>
        <w:jc w:val="center"/>
        <w:tblLayout w:type="fixed"/>
        <w:tblCellMar>
          <w:top w:w="0" w:type="dxa"/>
          <w:left w:w="108" w:type="dxa"/>
          <w:bottom w:w="0" w:type="dxa"/>
          <w:right w:w="108" w:type="dxa"/>
        </w:tblCellMar>
      </w:tblPr>
      <w:tblGrid>
        <w:gridCol w:w="703"/>
        <w:gridCol w:w="2131"/>
        <w:gridCol w:w="714"/>
        <w:gridCol w:w="992"/>
        <w:gridCol w:w="992"/>
        <w:gridCol w:w="1201"/>
        <w:gridCol w:w="1416"/>
      </w:tblGrid>
      <w:tr>
        <w:tblPrEx>
          <w:tblCellMar>
            <w:top w:w="0" w:type="dxa"/>
            <w:left w:w="108" w:type="dxa"/>
            <w:bottom w:w="0" w:type="dxa"/>
            <w:right w:w="108" w:type="dxa"/>
          </w:tblCellMar>
        </w:tblPrEx>
        <w:trPr>
          <w:trHeight w:val="840" w:hRule="atLeast"/>
          <w:jc w:val="center"/>
        </w:trPr>
        <w:tc>
          <w:tcPr>
            <w:tcW w:w="70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heme="minorEastAsia" w:hAnsiTheme="minorEastAsia" w:eastAsiaTheme="minorEastAsia"/>
                <w:b/>
                <w:bCs/>
                <w:color w:val="000000"/>
                <w:highlight w:val="none"/>
              </w:rPr>
            </w:pPr>
            <w:r>
              <w:rPr>
                <w:rFonts w:hint="eastAsia" w:asciiTheme="minorEastAsia" w:hAnsiTheme="minorEastAsia" w:eastAsiaTheme="minorEastAsia"/>
                <w:b/>
                <w:bCs/>
                <w:color w:val="000000"/>
                <w:highlight w:val="none"/>
              </w:rPr>
              <w:t>序号</w:t>
            </w:r>
          </w:p>
        </w:tc>
        <w:tc>
          <w:tcPr>
            <w:tcW w:w="2131" w:type="dxa"/>
            <w:tcBorders>
              <w:top w:val="single" w:color="auto" w:sz="4" w:space="0"/>
              <w:left w:val="nil"/>
              <w:bottom w:val="single" w:color="auto" w:sz="4" w:space="0"/>
              <w:right w:val="single" w:color="auto" w:sz="4" w:space="0"/>
            </w:tcBorders>
            <w:shd w:val="clear" w:color="auto" w:fill="auto"/>
            <w:vAlign w:val="center"/>
          </w:tcPr>
          <w:p>
            <w:pPr>
              <w:jc w:val="center"/>
              <w:rPr>
                <w:rFonts w:asciiTheme="minorEastAsia" w:hAnsiTheme="minorEastAsia" w:eastAsiaTheme="minorEastAsia"/>
                <w:b/>
                <w:bCs/>
                <w:color w:val="000000"/>
                <w:highlight w:val="none"/>
              </w:rPr>
            </w:pPr>
            <w:r>
              <w:rPr>
                <w:rFonts w:hint="eastAsia" w:asciiTheme="minorEastAsia" w:hAnsiTheme="minorEastAsia" w:eastAsiaTheme="minorEastAsia"/>
                <w:b/>
                <w:bCs/>
                <w:color w:val="000000"/>
                <w:highlight w:val="none"/>
              </w:rPr>
              <w:t>货物名称</w:t>
            </w:r>
          </w:p>
        </w:tc>
        <w:tc>
          <w:tcPr>
            <w:tcW w:w="714" w:type="dxa"/>
            <w:tcBorders>
              <w:top w:val="single" w:color="auto" w:sz="4" w:space="0"/>
              <w:left w:val="nil"/>
              <w:bottom w:val="single" w:color="auto" w:sz="4" w:space="0"/>
              <w:right w:val="single" w:color="auto" w:sz="4" w:space="0"/>
            </w:tcBorders>
            <w:shd w:val="clear" w:color="auto" w:fill="auto"/>
            <w:vAlign w:val="center"/>
          </w:tcPr>
          <w:p>
            <w:pPr>
              <w:jc w:val="center"/>
              <w:rPr>
                <w:rFonts w:asciiTheme="minorEastAsia" w:hAnsiTheme="minorEastAsia" w:eastAsiaTheme="minorEastAsia"/>
                <w:b/>
                <w:bCs/>
                <w:color w:val="000000"/>
                <w:highlight w:val="none"/>
              </w:rPr>
            </w:pPr>
            <w:r>
              <w:rPr>
                <w:rFonts w:hint="eastAsia" w:asciiTheme="minorEastAsia" w:hAnsiTheme="minorEastAsia" w:eastAsiaTheme="minorEastAsia"/>
                <w:b/>
                <w:bCs/>
                <w:color w:val="000000"/>
                <w:highlight w:val="none"/>
              </w:rPr>
              <w:t>数量</w:t>
            </w:r>
          </w:p>
        </w:tc>
        <w:tc>
          <w:tcPr>
            <w:tcW w:w="992" w:type="dxa"/>
            <w:tcBorders>
              <w:top w:val="single" w:color="auto" w:sz="4" w:space="0"/>
              <w:left w:val="nil"/>
              <w:bottom w:val="single" w:color="auto" w:sz="4" w:space="0"/>
              <w:right w:val="single" w:color="auto" w:sz="4" w:space="0"/>
            </w:tcBorders>
            <w:shd w:val="clear" w:color="auto" w:fill="auto"/>
            <w:vAlign w:val="center"/>
          </w:tcPr>
          <w:p>
            <w:pPr>
              <w:jc w:val="center"/>
              <w:rPr>
                <w:rFonts w:asciiTheme="minorEastAsia" w:hAnsiTheme="minorEastAsia" w:eastAsiaTheme="minorEastAsia"/>
                <w:b/>
                <w:bCs/>
                <w:color w:val="000000"/>
                <w:highlight w:val="none"/>
              </w:rPr>
            </w:pPr>
            <w:r>
              <w:rPr>
                <w:rFonts w:hint="eastAsia" w:asciiTheme="minorEastAsia" w:hAnsiTheme="minorEastAsia" w:eastAsiaTheme="minorEastAsia"/>
                <w:b/>
                <w:bCs/>
                <w:color w:val="000000"/>
                <w:highlight w:val="none"/>
              </w:rPr>
              <w:t>单位</w:t>
            </w:r>
          </w:p>
        </w:tc>
        <w:tc>
          <w:tcPr>
            <w:tcW w:w="992" w:type="dxa"/>
            <w:tcBorders>
              <w:top w:val="single" w:color="auto" w:sz="4" w:space="0"/>
              <w:left w:val="nil"/>
              <w:bottom w:val="single" w:color="auto" w:sz="4" w:space="0"/>
              <w:right w:val="single" w:color="auto" w:sz="4" w:space="0"/>
            </w:tcBorders>
            <w:shd w:val="clear" w:color="auto" w:fill="auto"/>
            <w:vAlign w:val="center"/>
          </w:tcPr>
          <w:p>
            <w:pPr>
              <w:jc w:val="center"/>
              <w:rPr>
                <w:rFonts w:asciiTheme="minorEastAsia" w:hAnsiTheme="minorEastAsia" w:eastAsiaTheme="minorEastAsia"/>
                <w:b/>
                <w:bCs/>
                <w:color w:val="FF0000"/>
                <w:highlight w:val="none"/>
              </w:rPr>
            </w:pPr>
            <w:r>
              <w:rPr>
                <w:rFonts w:hint="eastAsia" w:asciiTheme="minorEastAsia" w:hAnsiTheme="minorEastAsia" w:eastAsiaTheme="minorEastAsia"/>
                <w:b/>
                <w:bCs/>
                <w:color w:val="FF0000"/>
                <w:highlight w:val="none"/>
              </w:rPr>
              <w:t>是否核心产品</w:t>
            </w:r>
          </w:p>
        </w:tc>
        <w:tc>
          <w:tcPr>
            <w:tcW w:w="1201" w:type="dxa"/>
            <w:tcBorders>
              <w:top w:val="single" w:color="auto" w:sz="4" w:space="0"/>
              <w:left w:val="nil"/>
              <w:bottom w:val="single" w:color="auto" w:sz="4" w:space="0"/>
              <w:right w:val="single" w:color="auto" w:sz="4" w:space="0"/>
            </w:tcBorders>
            <w:shd w:val="clear" w:color="auto" w:fill="auto"/>
            <w:vAlign w:val="center"/>
          </w:tcPr>
          <w:p>
            <w:pPr>
              <w:jc w:val="center"/>
              <w:rPr>
                <w:rFonts w:asciiTheme="minorEastAsia" w:hAnsiTheme="minorEastAsia" w:eastAsiaTheme="minorEastAsia"/>
                <w:b/>
                <w:bCs/>
                <w:color w:val="000000"/>
                <w:highlight w:val="none"/>
              </w:rPr>
            </w:pPr>
            <w:r>
              <w:rPr>
                <w:rFonts w:hint="eastAsia" w:asciiTheme="minorEastAsia" w:hAnsiTheme="minorEastAsia" w:eastAsiaTheme="minorEastAsia"/>
                <w:b/>
                <w:bCs/>
                <w:color w:val="000000"/>
                <w:highlight w:val="none"/>
              </w:rPr>
              <w:t>备注</w:t>
            </w:r>
          </w:p>
        </w:tc>
        <w:tc>
          <w:tcPr>
            <w:tcW w:w="1416" w:type="dxa"/>
            <w:tcBorders>
              <w:top w:val="single" w:color="auto" w:sz="4" w:space="0"/>
              <w:left w:val="nil"/>
              <w:bottom w:val="single" w:color="auto" w:sz="4" w:space="0"/>
              <w:right w:val="single" w:color="auto" w:sz="4" w:space="0"/>
            </w:tcBorders>
            <w:shd w:val="clear" w:color="auto" w:fill="auto"/>
            <w:vAlign w:val="center"/>
          </w:tcPr>
          <w:p>
            <w:pPr>
              <w:jc w:val="center"/>
              <w:rPr>
                <w:rFonts w:asciiTheme="minorEastAsia" w:hAnsiTheme="minorEastAsia" w:eastAsiaTheme="minorEastAsia"/>
                <w:b/>
                <w:bCs/>
                <w:color w:val="FF0000"/>
                <w:highlight w:val="none"/>
              </w:rPr>
            </w:pPr>
            <w:r>
              <w:rPr>
                <w:rFonts w:hint="eastAsia" w:asciiTheme="minorEastAsia" w:hAnsiTheme="minorEastAsia" w:eastAsiaTheme="minorEastAsia"/>
                <w:b/>
                <w:bCs/>
                <w:color w:val="FF0000"/>
                <w:highlight w:val="none"/>
              </w:rPr>
              <w:t>财政控制总金额（元）</w:t>
            </w:r>
          </w:p>
        </w:tc>
      </w:tr>
      <w:tr>
        <w:tblPrEx>
          <w:tblCellMar>
            <w:top w:w="0" w:type="dxa"/>
            <w:left w:w="108" w:type="dxa"/>
            <w:bottom w:w="0" w:type="dxa"/>
            <w:right w:w="108" w:type="dxa"/>
          </w:tblCellMar>
        </w:tblPrEx>
        <w:trPr>
          <w:trHeight w:val="560" w:hRule="atLeast"/>
          <w:jc w:val="center"/>
        </w:trPr>
        <w:tc>
          <w:tcPr>
            <w:tcW w:w="70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heme="minorEastAsia" w:hAnsiTheme="minorEastAsia" w:eastAsiaTheme="minorEastAsia"/>
                <w:color w:val="000000"/>
                <w:highlight w:val="none"/>
              </w:rPr>
            </w:pPr>
            <w:r>
              <w:rPr>
                <w:rFonts w:hint="eastAsia" w:asciiTheme="minorEastAsia" w:hAnsiTheme="minorEastAsia" w:eastAsiaTheme="minorEastAsia"/>
                <w:color w:val="000000"/>
                <w:highlight w:val="none"/>
              </w:rPr>
              <w:t>1</w:t>
            </w:r>
          </w:p>
        </w:tc>
        <w:tc>
          <w:tcPr>
            <w:tcW w:w="2131" w:type="dxa"/>
            <w:tcBorders>
              <w:top w:val="single" w:color="auto" w:sz="4" w:space="0"/>
              <w:left w:val="nil"/>
              <w:bottom w:val="single" w:color="auto" w:sz="4" w:space="0"/>
              <w:right w:val="single" w:color="auto" w:sz="4" w:space="0"/>
            </w:tcBorders>
            <w:shd w:val="clear" w:color="auto" w:fill="auto"/>
            <w:vAlign w:val="center"/>
          </w:tcPr>
          <w:p>
            <w:pPr>
              <w:rPr>
                <w:rFonts w:asciiTheme="minorEastAsia" w:hAnsiTheme="minorEastAsia" w:eastAsiaTheme="minorEastAsia"/>
                <w:color w:val="000000"/>
                <w:highlight w:val="none"/>
              </w:rPr>
            </w:pPr>
            <w:r>
              <w:rPr>
                <w:rFonts w:hint="eastAsia" w:asciiTheme="minorEastAsia" w:hAnsiTheme="minorEastAsia" w:eastAsiaTheme="minorEastAsia"/>
                <w:color w:val="000000"/>
                <w:highlight w:val="none"/>
              </w:rPr>
              <w:t>政务服务终端机</w:t>
            </w:r>
          </w:p>
        </w:tc>
        <w:tc>
          <w:tcPr>
            <w:tcW w:w="714" w:type="dxa"/>
            <w:tcBorders>
              <w:top w:val="single" w:color="auto" w:sz="4" w:space="0"/>
              <w:left w:val="nil"/>
              <w:bottom w:val="single" w:color="auto" w:sz="4" w:space="0"/>
              <w:right w:val="single" w:color="auto" w:sz="4" w:space="0"/>
            </w:tcBorders>
            <w:shd w:val="clear" w:color="auto" w:fill="auto"/>
            <w:vAlign w:val="center"/>
          </w:tcPr>
          <w:p>
            <w:pPr>
              <w:jc w:val="center"/>
              <w:rPr>
                <w:rFonts w:hint="eastAsia" w:asciiTheme="minorEastAsia" w:hAnsiTheme="minorEastAsia" w:eastAsiaTheme="minorEastAsia"/>
                <w:color w:val="000000"/>
                <w:highlight w:val="none"/>
                <w:lang w:eastAsia="zh-CN"/>
              </w:rPr>
            </w:pPr>
            <w:r>
              <w:rPr>
                <w:rFonts w:hint="eastAsia" w:asciiTheme="minorEastAsia" w:hAnsiTheme="minorEastAsia" w:eastAsiaTheme="minorEastAsia"/>
                <w:color w:val="000000"/>
                <w:highlight w:val="none"/>
                <w:lang w:val="en-US" w:eastAsia="zh-CN"/>
              </w:rPr>
              <w:t>9</w:t>
            </w:r>
          </w:p>
        </w:tc>
        <w:tc>
          <w:tcPr>
            <w:tcW w:w="992" w:type="dxa"/>
            <w:tcBorders>
              <w:top w:val="single" w:color="auto" w:sz="4" w:space="0"/>
              <w:left w:val="nil"/>
              <w:bottom w:val="single" w:color="auto" w:sz="4" w:space="0"/>
              <w:right w:val="single" w:color="auto" w:sz="4" w:space="0"/>
            </w:tcBorders>
            <w:shd w:val="clear" w:color="auto" w:fill="auto"/>
            <w:vAlign w:val="center"/>
          </w:tcPr>
          <w:p>
            <w:pPr>
              <w:jc w:val="center"/>
              <w:rPr>
                <w:rFonts w:asciiTheme="minorEastAsia" w:hAnsiTheme="minorEastAsia" w:eastAsiaTheme="minorEastAsia"/>
                <w:color w:val="000000"/>
                <w:highlight w:val="none"/>
              </w:rPr>
            </w:pPr>
            <w:r>
              <w:rPr>
                <w:rFonts w:hint="eastAsia" w:asciiTheme="minorEastAsia" w:hAnsiTheme="minorEastAsia" w:eastAsiaTheme="minorEastAsia"/>
                <w:color w:val="000000"/>
                <w:highlight w:val="none"/>
              </w:rPr>
              <w:t>台</w:t>
            </w:r>
          </w:p>
        </w:tc>
        <w:tc>
          <w:tcPr>
            <w:tcW w:w="992" w:type="dxa"/>
            <w:tcBorders>
              <w:top w:val="single" w:color="auto" w:sz="4" w:space="0"/>
              <w:left w:val="nil"/>
              <w:bottom w:val="single" w:color="auto" w:sz="4" w:space="0"/>
              <w:right w:val="single" w:color="auto" w:sz="4" w:space="0"/>
            </w:tcBorders>
            <w:shd w:val="clear" w:color="auto" w:fill="auto"/>
            <w:vAlign w:val="center"/>
          </w:tcPr>
          <w:p>
            <w:pPr>
              <w:jc w:val="center"/>
              <w:rPr>
                <w:rFonts w:asciiTheme="minorEastAsia" w:hAnsiTheme="minorEastAsia" w:eastAsiaTheme="minorEastAsia"/>
                <w:b/>
                <w:bCs/>
                <w:color w:val="FF0000"/>
                <w:highlight w:val="none"/>
              </w:rPr>
            </w:pPr>
            <w:r>
              <w:rPr>
                <w:rFonts w:hint="eastAsia" w:asciiTheme="minorEastAsia" w:hAnsiTheme="minorEastAsia" w:eastAsiaTheme="minorEastAsia"/>
                <w:b/>
                <w:bCs/>
                <w:color w:val="FF0000"/>
                <w:highlight w:val="none"/>
              </w:rPr>
              <w:t>是</w:t>
            </w:r>
          </w:p>
        </w:tc>
        <w:tc>
          <w:tcPr>
            <w:tcW w:w="120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heme="minorEastAsia" w:hAnsiTheme="minorEastAsia" w:eastAsiaTheme="minorEastAsia"/>
                <w:color w:val="000000"/>
                <w:highlight w:val="none"/>
              </w:rPr>
            </w:pPr>
            <w:r>
              <w:rPr>
                <w:rFonts w:hint="eastAsia" w:asciiTheme="minorEastAsia" w:hAnsiTheme="minorEastAsia" w:eastAsiaTheme="minorEastAsia"/>
                <w:color w:val="000000"/>
                <w:highlight w:val="none"/>
              </w:rPr>
              <w:t>拒绝进口</w:t>
            </w:r>
          </w:p>
        </w:tc>
        <w:tc>
          <w:tcPr>
            <w:tcW w:w="1416" w:type="dxa"/>
            <w:vMerge w:val="restart"/>
            <w:tcBorders>
              <w:top w:val="nil"/>
              <w:left w:val="single" w:color="auto" w:sz="4" w:space="0"/>
              <w:bottom w:val="single" w:color="000000" w:sz="4" w:space="0"/>
              <w:right w:val="single" w:color="auto" w:sz="4" w:space="0"/>
            </w:tcBorders>
            <w:shd w:val="clear" w:color="auto" w:fill="auto"/>
            <w:vAlign w:val="center"/>
          </w:tcPr>
          <w:p>
            <w:pPr>
              <w:jc w:val="center"/>
              <w:rPr>
                <w:rFonts w:asciiTheme="minorEastAsia" w:hAnsiTheme="minorEastAsia" w:eastAsiaTheme="minorEastAsia"/>
                <w:b/>
                <w:color w:val="FF0000"/>
                <w:highlight w:val="none"/>
              </w:rPr>
            </w:pPr>
            <w:r>
              <w:rPr>
                <w:rFonts w:hint="eastAsia" w:asciiTheme="minorEastAsia" w:hAnsiTheme="minorEastAsia" w:eastAsiaTheme="minorEastAsia"/>
                <w:b/>
                <w:color w:val="FF0000"/>
                <w:highlight w:val="none"/>
              </w:rPr>
              <w:t>765，000.00</w:t>
            </w:r>
          </w:p>
        </w:tc>
      </w:tr>
      <w:tr>
        <w:tblPrEx>
          <w:tblCellMar>
            <w:top w:w="0" w:type="dxa"/>
            <w:left w:w="108" w:type="dxa"/>
            <w:bottom w:w="0" w:type="dxa"/>
            <w:right w:w="108" w:type="dxa"/>
          </w:tblCellMar>
        </w:tblPrEx>
        <w:trPr>
          <w:trHeight w:val="280" w:hRule="atLeast"/>
          <w:jc w:val="center"/>
        </w:trPr>
        <w:tc>
          <w:tcPr>
            <w:tcW w:w="70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heme="minorEastAsia" w:hAnsiTheme="minorEastAsia" w:eastAsiaTheme="minorEastAsia"/>
                <w:color w:val="000000"/>
                <w:highlight w:val="none"/>
              </w:rPr>
            </w:pPr>
            <w:r>
              <w:rPr>
                <w:rFonts w:hint="eastAsia" w:asciiTheme="minorEastAsia" w:hAnsiTheme="minorEastAsia" w:eastAsiaTheme="minorEastAsia"/>
                <w:color w:val="000000"/>
                <w:highlight w:val="none"/>
              </w:rPr>
              <w:t>2</w:t>
            </w:r>
          </w:p>
        </w:tc>
        <w:tc>
          <w:tcPr>
            <w:tcW w:w="2131" w:type="dxa"/>
            <w:tcBorders>
              <w:top w:val="single" w:color="auto" w:sz="4" w:space="0"/>
              <w:left w:val="nil"/>
              <w:bottom w:val="single" w:color="auto" w:sz="4" w:space="0"/>
              <w:right w:val="single" w:color="auto" w:sz="4" w:space="0"/>
            </w:tcBorders>
            <w:shd w:val="clear" w:color="auto" w:fill="auto"/>
            <w:vAlign w:val="center"/>
          </w:tcPr>
          <w:p>
            <w:pPr>
              <w:rPr>
                <w:rFonts w:asciiTheme="minorEastAsia" w:hAnsiTheme="minorEastAsia" w:eastAsiaTheme="minorEastAsia"/>
                <w:color w:val="000000"/>
                <w:highlight w:val="none"/>
              </w:rPr>
            </w:pPr>
            <w:r>
              <w:rPr>
                <w:rFonts w:hint="eastAsia"/>
                <w:color w:val="000000"/>
                <w:highlight w:val="none"/>
              </w:rPr>
              <w:t>技术服务</w:t>
            </w:r>
          </w:p>
        </w:tc>
        <w:tc>
          <w:tcPr>
            <w:tcW w:w="714" w:type="dxa"/>
            <w:tcBorders>
              <w:top w:val="single" w:color="auto" w:sz="4" w:space="0"/>
              <w:left w:val="nil"/>
              <w:bottom w:val="single" w:color="auto" w:sz="4" w:space="0"/>
              <w:right w:val="single" w:color="auto" w:sz="4" w:space="0"/>
            </w:tcBorders>
            <w:shd w:val="clear" w:color="auto" w:fill="auto"/>
          </w:tcPr>
          <w:p>
            <w:pPr>
              <w:jc w:val="center"/>
              <w:rPr>
                <w:rFonts w:asciiTheme="minorEastAsia" w:hAnsiTheme="minorEastAsia" w:eastAsiaTheme="minorEastAsia"/>
                <w:color w:val="000000"/>
                <w:highlight w:val="none"/>
              </w:rPr>
            </w:pPr>
            <w:r>
              <w:rPr>
                <w:rFonts w:hint="eastAsia" w:asciiTheme="minorEastAsia" w:hAnsiTheme="minorEastAsia" w:eastAsiaTheme="minorEastAsia"/>
                <w:color w:val="000000"/>
                <w:highlight w:val="none"/>
              </w:rPr>
              <w:t>1</w:t>
            </w:r>
          </w:p>
        </w:tc>
        <w:tc>
          <w:tcPr>
            <w:tcW w:w="992" w:type="dxa"/>
            <w:tcBorders>
              <w:top w:val="single" w:color="auto" w:sz="4" w:space="0"/>
              <w:left w:val="nil"/>
              <w:bottom w:val="single" w:color="auto" w:sz="4" w:space="0"/>
              <w:right w:val="single" w:color="auto" w:sz="4" w:space="0"/>
            </w:tcBorders>
            <w:shd w:val="clear" w:color="auto" w:fill="auto"/>
            <w:vAlign w:val="center"/>
          </w:tcPr>
          <w:p>
            <w:pPr>
              <w:jc w:val="center"/>
              <w:rPr>
                <w:rFonts w:asciiTheme="minorEastAsia" w:hAnsiTheme="minorEastAsia" w:eastAsiaTheme="minorEastAsia"/>
                <w:color w:val="000000"/>
                <w:highlight w:val="none"/>
              </w:rPr>
            </w:pPr>
            <w:r>
              <w:rPr>
                <w:rFonts w:hint="eastAsia" w:asciiTheme="minorEastAsia" w:hAnsiTheme="minorEastAsia" w:eastAsiaTheme="minorEastAsia"/>
                <w:color w:val="000000"/>
                <w:highlight w:val="none"/>
              </w:rPr>
              <w:t>项</w:t>
            </w:r>
          </w:p>
        </w:tc>
        <w:tc>
          <w:tcPr>
            <w:tcW w:w="992" w:type="dxa"/>
            <w:tcBorders>
              <w:top w:val="single" w:color="auto" w:sz="4" w:space="0"/>
              <w:left w:val="nil"/>
              <w:bottom w:val="single" w:color="auto" w:sz="4" w:space="0"/>
              <w:right w:val="single" w:color="auto" w:sz="4" w:space="0"/>
            </w:tcBorders>
            <w:shd w:val="clear" w:color="auto" w:fill="auto"/>
            <w:vAlign w:val="center"/>
          </w:tcPr>
          <w:p>
            <w:pPr>
              <w:jc w:val="center"/>
              <w:rPr>
                <w:rFonts w:asciiTheme="minorEastAsia" w:hAnsiTheme="minorEastAsia" w:eastAsiaTheme="minorEastAsia"/>
                <w:color w:val="000000"/>
                <w:highlight w:val="none"/>
              </w:rPr>
            </w:pPr>
          </w:p>
        </w:tc>
        <w:tc>
          <w:tcPr>
            <w:tcW w:w="1201"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Theme="minorEastAsia" w:hAnsiTheme="minorEastAsia" w:eastAsiaTheme="minorEastAsia"/>
                <w:color w:val="000000"/>
                <w:highlight w:val="none"/>
              </w:rPr>
            </w:pPr>
            <w:r>
              <w:rPr>
                <w:rFonts w:hint="eastAsia" w:asciiTheme="minorEastAsia" w:hAnsiTheme="minorEastAsia" w:eastAsiaTheme="minorEastAsia"/>
                <w:color w:val="000000"/>
                <w:highlight w:val="none"/>
              </w:rPr>
              <w:t>拒绝进口</w:t>
            </w:r>
          </w:p>
        </w:tc>
        <w:tc>
          <w:tcPr>
            <w:tcW w:w="1416" w:type="dxa"/>
            <w:vMerge w:val="continue"/>
            <w:tcBorders>
              <w:top w:val="nil"/>
              <w:left w:val="single" w:color="auto" w:sz="4" w:space="0"/>
              <w:bottom w:val="single" w:color="auto" w:sz="4" w:space="0"/>
              <w:right w:val="single" w:color="auto" w:sz="4" w:space="0"/>
            </w:tcBorders>
            <w:vAlign w:val="center"/>
          </w:tcPr>
          <w:p>
            <w:pPr>
              <w:rPr>
                <w:rFonts w:asciiTheme="minorEastAsia" w:hAnsiTheme="minorEastAsia" w:eastAsiaTheme="minorEastAsia"/>
                <w:color w:val="FF0000"/>
                <w:highlight w:val="none"/>
              </w:rPr>
            </w:pPr>
          </w:p>
        </w:tc>
      </w:tr>
    </w:tbl>
    <w:p>
      <w:pPr>
        <w:ind w:firstLine="422" w:firstLineChars="200"/>
        <w:rPr>
          <w:b/>
          <w:color w:val="FF0000"/>
          <w:szCs w:val="21"/>
          <w:highlight w:val="none"/>
        </w:rPr>
      </w:pPr>
      <w:r>
        <w:rPr>
          <w:rFonts w:hint="eastAsia"/>
          <w:b/>
          <w:color w:val="FF0000"/>
          <w:szCs w:val="21"/>
          <w:highlight w:val="none"/>
        </w:rPr>
        <w:t>备注：</w:t>
      </w:r>
    </w:p>
    <w:p>
      <w:pPr>
        <w:ind w:firstLine="315" w:firstLineChars="150"/>
        <w:jc w:val="left"/>
        <w:rPr>
          <w:szCs w:val="21"/>
          <w:highlight w:val="none"/>
        </w:rPr>
      </w:pPr>
      <w:r>
        <w:rPr>
          <w:szCs w:val="21"/>
          <w:highlight w:val="none"/>
        </w:rPr>
        <w:t>1、备注栏注明“拒绝进口”的产品不接受投标人选用进口产品参与投标；注明“接受进口”的产品允许投标人选用进口产品参与投标，但不排斥国内产品。 </w:t>
      </w:r>
    </w:p>
    <w:p>
      <w:pPr>
        <w:ind w:firstLine="315" w:firstLineChars="150"/>
        <w:jc w:val="left"/>
        <w:rPr>
          <w:szCs w:val="21"/>
          <w:highlight w:val="none"/>
        </w:rPr>
      </w:pPr>
      <w:r>
        <w:rPr>
          <w:szCs w:val="21"/>
          <w:highlight w:val="none"/>
        </w:rPr>
        <w:t>2、投标人的投标总价超过财政控制金额为无效投标。</w:t>
      </w:r>
    </w:p>
    <w:p>
      <w:pPr>
        <w:ind w:firstLine="315" w:firstLineChars="150"/>
        <w:jc w:val="left"/>
        <w:rPr>
          <w:szCs w:val="21"/>
          <w:highlight w:val="none"/>
        </w:rPr>
      </w:pPr>
      <w:r>
        <w:rPr>
          <w:szCs w:val="21"/>
          <w:highlight w:val="none"/>
        </w:rPr>
        <w:t>3、以人民币为结算单位，投标报价包含完成项目所需的一切费用。即：设备费、软件费、税费、运输费、装卸费、安装费、调试费、培训费、计量及技术服务费和一切不可预见费等一切费用，项目结算时不做任何单价或费用的调整。</w:t>
      </w:r>
    </w:p>
    <w:p>
      <w:pPr>
        <w:ind w:firstLine="315" w:firstLineChars="150"/>
        <w:jc w:val="left"/>
        <w:rPr>
          <w:szCs w:val="21"/>
          <w:highlight w:val="none"/>
        </w:rPr>
      </w:pPr>
      <w:r>
        <w:rPr>
          <w:szCs w:val="21"/>
          <w:highlight w:val="none"/>
        </w:rPr>
        <w:t>4、如本项目涉及常用办公设备采购，投标人报价不得高于南山区财政局关于转发《深圳市财政委员会〈关于印发深圳市本级行政事业单位常用办公设备配置预算标准〉的通知》的通知（深南财【2014】1号）的标准要求，否则将视为不满足招标文件要求。此文件可在深圳市南山区政府采购网站上查询。</w:t>
      </w:r>
    </w:p>
    <w:p>
      <w:pPr>
        <w:ind w:firstLine="315" w:firstLineChars="150"/>
        <w:jc w:val="left"/>
        <w:rPr>
          <w:szCs w:val="21"/>
          <w:highlight w:val="none"/>
        </w:rPr>
      </w:pPr>
      <w:r>
        <w:rPr>
          <w:rFonts w:hint="eastAsia"/>
          <w:szCs w:val="21"/>
          <w:highlight w:val="none"/>
        </w:rPr>
        <w:t>5、（仅适用于采用综合评分法评审的项目）</w:t>
      </w:r>
      <w:r>
        <w:rPr>
          <w:szCs w:val="21"/>
          <w:highlight w:val="none"/>
        </w:rPr>
        <w:t>多家投标人提供的核心产品品牌相同的，提供相同品牌产品且通过资格审查、符合性审查的不同投标人参加同一合同项下投标的，按一家投标人计算，评审后得分最高的同品牌投标人获得</w:t>
      </w:r>
      <w:r>
        <w:rPr>
          <w:rFonts w:hint="eastAsia"/>
          <w:szCs w:val="21"/>
          <w:highlight w:val="none"/>
        </w:rPr>
        <w:t>候选中标供应商</w:t>
      </w:r>
      <w:r>
        <w:rPr>
          <w:szCs w:val="21"/>
          <w:highlight w:val="none"/>
        </w:rPr>
        <w:t>推荐资格；评审得分相同的，</w:t>
      </w:r>
      <w:r>
        <w:rPr>
          <w:rFonts w:hint="eastAsia"/>
          <w:szCs w:val="21"/>
          <w:highlight w:val="none"/>
        </w:rPr>
        <w:t>通过抽签</w:t>
      </w:r>
      <w:r>
        <w:rPr>
          <w:szCs w:val="21"/>
          <w:highlight w:val="none"/>
        </w:rPr>
        <w:t>方式确定，其他同品牌投标人不作为</w:t>
      </w:r>
      <w:r>
        <w:rPr>
          <w:rFonts w:hint="eastAsia"/>
          <w:szCs w:val="21"/>
          <w:highlight w:val="none"/>
        </w:rPr>
        <w:t>候选中标供应商</w:t>
      </w:r>
      <w:r>
        <w:rPr>
          <w:szCs w:val="21"/>
          <w:highlight w:val="none"/>
        </w:rPr>
        <w:t>。</w:t>
      </w:r>
      <w:r>
        <w:rPr>
          <w:rFonts w:hint="eastAsia"/>
          <w:szCs w:val="21"/>
          <w:highlight w:val="none"/>
        </w:rPr>
        <w:t>（1）抽签原则：在项目评审结束的当日，由采购单位法定代表人或其授权代表和区采购招标中心工作人员组成抽签小组，在评标委员会的监督下，利用区采购招标中心平台进行抽签。本项抽签按最大号原则确定，抽中最大号者入围候选中标供应商名单。（2）抽签程序:①采购单位法定代表人或其授权代表进行抽签；②按照供应商最后上传投标文件的结束时间先后顺序进行抽签；③采购单位法定代表人或其授权代表按抽签按钮后如果没有抽到号码球，则再按抽签按钮重抽一次，直至抽到号码球为止；④首轮抽签结束后，因供应商有重号而无法确定结果的，重号的供应商进行下一轮抽签，以决定该重号供应商的排序，抽签顺序和原则不变，直至确定入围的候选中标供应商结果为止；⑤采购单位法定代表人或其授权代表抽签后须对抽签结果进行签字确认。</w:t>
      </w:r>
    </w:p>
    <w:p>
      <w:pPr>
        <w:ind w:firstLine="315" w:firstLineChars="150"/>
        <w:jc w:val="left"/>
        <w:rPr>
          <w:szCs w:val="21"/>
          <w:highlight w:val="none"/>
        </w:rPr>
      </w:pPr>
    </w:p>
    <w:p>
      <w:pPr>
        <w:adjustRightInd/>
        <w:snapToGrid/>
        <w:spacing w:before="280" w:after="290" w:line="377" w:lineRule="auto"/>
        <w:jc w:val="center"/>
        <w:outlineLvl w:val="2"/>
        <w:rPr>
          <w:rFonts w:cs="Times New Roman"/>
          <w:b/>
          <w:sz w:val="24"/>
          <w:szCs w:val="20"/>
          <w:highlight w:val="none"/>
        </w:rPr>
      </w:pPr>
      <w:r>
        <w:rPr>
          <w:rFonts w:hint="eastAsia" w:cs="Times New Roman"/>
          <w:b/>
          <w:sz w:val="24"/>
          <w:szCs w:val="20"/>
          <w:highlight w:val="none"/>
        </w:rPr>
        <w:br w:type="page"/>
      </w:r>
      <w:r>
        <w:rPr>
          <w:rFonts w:hint="eastAsia" w:cs="Times New Roman"/>
          <w:b/>
          <w:sz w:val="24"/>
          <w:szCs w:val="20"/>
          <w:highlight w:val="none"/>
        </w:rPr>
        <w:t>二、具体技术要求</w:t>
      </w:r>
    </w:p>
    <w:p>
      <w:pPr>
        <w:ind w:firstLine="315" w:firstLineChars="150"/>
        <w:jc w:val="left"/>
        <w:rPr>
          <w:szCs w:val="21"/>
          <w:highlight w:val="none"/>
        </w:rPr>
      </w:pPr>
      <w:r>
        <w:rPr>
          <w:rFonts w:hint="eastAsia"/>
          <w:szCs w:val="21"/>
          <w:highlight w:val="none"/>
        </w:rPr>
        <w:t>说明：</w:t>
      </w:r>
    </w:p>
    <w:p>
      <w:pPr>
        <w:ind w:firstLine="422" w:firstLineChars="200"/>
        <w:rPr>
          <w:b/>
          <w:szCs w:val="21"/>
          <w:highlight w:val="none"/>
        </w:rPr>
      </w:pPr>
      <w:r>
        <w:rPr>
          <w:rFonts w:hint="eastAsia"/>
          <w:b/>
          <w:szCs w:val="21"/>
          <w:highlight w:val="none"/>
        </w:rPr>
        <w:t>1、本项目在技术要求中所涉及的设备、材料的品牌、型号仅供投标人参考。投标人所投设备、材料的技术参数不得低于参考品牌的技术要求和档次。</w:t>
      </w:r>
    </w:p>
    <w:p>
      <w:pPr>
        <w:ind w:firstLine="422" w:firstLineChars="200"/>
        <w:rPr>
          <w:b/>
          <w:szCs w:val="21"/>
          <w:highlight w:val="none"/>
        </w:rPr>
      </w:pPr>
      <w:r>
        <w:rPr>
          <w:rFonts w:hint="eastAsia"/>
          <w:b/>
          <w:szCs w:val="21"/>
          <w:highlight w:val="none"/>
        </w:rPr>
        <w:t>2、本项目技术需求中要求提供的各项证明材料均提供扫描件，原件备查。如投标人未按要求提供的，或提供的材料未能证明所投产品响应情况的，则该参数视为没有满足招标文件要求。</w:t>
      </w:r>
    </w:p>
    <w:p>
      <w:pPr>
        <w:ind w:firstLine="422" w:firstLineChars="200"/>
        <w:rPr>
          <w:b/>
          <w:szCs w:val="21"/>
          <w:highlight w:val="none"/>
        </w:rPr>
      </w:pPr>
      <w:r>
        <w:rPr>
          <w:rFonts w:hint="eastAsia"/>
          <w:b/>
          <w:szCs w:val="21"/>
          <w:highlight w:val="none"/>
        </w:rPr>
        <w:t>3、如项目技术要求中设置了“★”号参数的，则该项参数为关键性技术指标，投标人所投产品必须满足，否则视为没有实质性满足招标文件要求。</w:t>
      </w:r>
    </w:p>
    <w:p>
      <w:pPr>
        <w:ind w:firstLine="422" w:firstLineChars="200"/>
        <w:rPr>
          <w:b/>
          <w:szCs w:val="21"/>
          <w:highlight w:val="none"/>
        </w:rPr>
      </w:pPr>
      <w:r>
        <w:rPr>
          <w:rFonts w:hint="eastAsia"/>
          <w:b/>
          <w:szCs w:val="21"/>
          <w:highlight w:val="none"/>
        </w:rPr>
        <w:t>4、如项目技术要求中设置了“▲”号参数的，则该项参数为重要技术指标，将在“产品</w:t>
      </w:r>
      <w:r>
        <w:rPr>
          <w:b/>
          <w:szCs w:val="21"/>
          <w:highlight w:val="none"/>
        </w:rPr>
        <w:t>技术指标符合程度评价</w:t>
      </w:r>
      <w:r>
        <w:rPr>
          <w:rFonts w:hint="eastAsia"/>
          <w:b/>
          <w:szCs w:val="21"/>
          <w:highlight w:val="none"/>
        </w:rPr>
        <w:t>”评分项中作为重点评价指标。</w:t>
      </w:r>
    </w:p>
    <w:tbl>
      <w:tblPr>
        <w:tblStyle w:val="44"/>
        <w:tblW w:w="9923" w:type="dxa"/>
        <w:tblInd w:w="-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13" w:type="dxa"/>
          <w:left w:w="142" w:type="dxa"/>
          <w:bottom w:w="113" w:type="dxa"/>
          <w:right w:w="142" w:type="dxa"/>
        </w:tblCellMar>
      </w:tblPr>
      <w:tblGrid>
        <w:gridCol w:w="709"/>
        <w:gridCol w:w="993"/>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42" w:type="dxa"/>
            <w:bottom w:w="113" w:type="dxa"/>
            <w:right w:w="142" w:type="dxa"/>
          </w:tblCellMar>
        </w:tblPrEx>
        <w:trPr>
          <w:trHeight w:val="602" w:hRule="atLeast"/>
        </w:trPr>
        <w:tc>
          <w:tcPr>
            <w:tcW w:w="709" w:type="dxa"/>
            <w:shd w:val="clear" w:color="auto" w:fill="auto"/>
            <w:vAlign w:val="center"/>
          </w:tcPr>
          <w:p>
            <w:pPr>
              <w:jc w:val="center"/>
              <w:rPr>
                <w:b/>
                <w:color w:val="000000" w:themeColor="text1"/>
                <w:szCs w:val="21"/>
                <w:highlight w:val="none"/>
              </w:rPr>
            </w:pPr>
            <w:r>
              <w:rPr>
                <w:rFonts w:hint="eastAsia"/>
                <w:b/>
                <w:color w:val="000000" w:themeColor="text1"/>
                <w:szCs w:val="21"/>
                <w:highlight w:val="none"/>
              </w:rPr>
              <w:t>序号</w:t>
            </w:r>
          </w:p>
        </w:tc>
        <w:tc>
          <w:tcPr>
            <w:tcW w:w="993" w:type="dxa"/>
            <w:shd w:val="clear" w:color="auto" w:fill="auto"/>
            <w:vAlign w:val="center"/>
          </w:tcPr>
          <w:p>
            <w:pPr>
              <w:jc w:val="center"/>
              <w:rPr>
                <w:b/>
                <w:color w:val="000000" w:themeColor="text1"/>
                <w:szCs w:val="21"/>
                <w:highlight w:val="none"/>
              </w:rPr>
            </w:pPr>
            <w:r>
              <w:rPr>
                <w:rFonts w:hint="eastAsia"/>
                <w:b/>
                <w:color w:val="000000" w:themeColor="text1"/>
                <w:szCs w:val="21"/>
                <w:highlight w:val="none"/>
              </w:rPr>
              <w:t>货物名称</w:t>
            </w:r>
          </w:p>
        </w:tc>
        <w:tc>
          <w:tcPr>
            <w:tcW w:w="8221" w:type="dxa"/>
            <w:shd w:val="clear" w:color="auto" w:fill="auto"/>
            <w:vAlign w:val="center"/>
          </w:tcPr>
          <w:p>
            <w:pPr>
              <w:jc w:val="center"/>
              <w:rPr>
                <w:b/>
                <w:color w:val="000000" w:themeColor="text1"/>
                <w:szCs w:val="21"/>
                <w:highlight w:val="none"/>
              </w:rPr>
            </w:pPr>
            <w:r>
              <w:rPr>
                <w:rFonts w:hint="eastAsia"/>
                <w:b/>
                <w:color w:val="000000" w:themeColor="text1"/>
                <w:szCs w:val="21"/>
                <w:highlight w:val="none"/>
              </w:rPr>
              <w:t>招标技术要求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42" w:type="dxa"/>
            <w:bottom w:w="113" w:type="dxa"/>
            <w:right w:w="142" w:type="dxa"/>
          </w:tblCellMar>
        </w:tblPrEx>
        <w:trPr>
          <w:trHeight w:val="602" w:hRule="atLeast"/>
        </w:trPr>
        <w:tc>
          <w:tcPr>
            <w:tcW w:w="709" w:type="dxa"/>
            <w:vMerge w:val="restart"/>
            <w:shd w:val="clear" w:color="auto" w:fill="auto"/>
            <w:vAlign w:val="center"/>
          </w:tcPr>
          <w:p>
            <w:pPr>
              <w:jc w:val="center"/>
              <w:rPr>
                <w:color w:val="000000" w:themeColor="text1"/>
                <w:szCs w:val="21"/>
                <w:highlight w:val="none"/>
              </w:rPr>
            </w:pPr>
            <w:r>
              <w:rPr>
                <w:rFonts w:hint="eastAsia"/>
                <w:color w:val="000000" w:themeColor="text1"/>
                <w:szCs w:val="21"/>
                <w:highlight w:val="none"/>
              </w:rPr>
              <w:t>1</w:t>
            </w:r>
          </w:p>
        </w:tc>
        <w:tc>
          <w:tcPr>
            <w:tcW w:w="993" w:type="dxa"/>
            <w:vMerge w:val="restart"/>
            <w:shd w:val="clear" w:color="auto" w:fill="auto"/>
            <w:vAlign w:val="center"/>
          </w:tcPr>
          <w:p>
            <w:pPr>
              <w:jc w:val="center"/>
              <w:rPr>
                <w:color w:val="000000" w:themeColor="text1"/>
                <w:szCs w:val="21"/>
                <w:highlight w:val="none"/>
              </w:rPr>
            </w:pPr>
            <w:r>
              <w:rPr>
                <w:rFonts w:hint="eastAsia"/>
                <w:color w:val="000000" w:themeColor="text1"/>
                <w:szCs w:val="21"/>
                <w:highlight w:val="none"/>
              </w:rPr>
              <w:t>自助终端机</w:t>
            </w:r>
          </w:p>
        </w:tc>
        <w:tc>
          <w:tcPr>
            <w:tcW w:w="8221" w:type="dxa"/>
            <w:shd w:val="clear" w:color="auto" w:fill="auto"/>
            <w:vAlign w:val="center"/>
          </w:tcPr>
          <w:p>
            <w:pPr>
              <w:rPr>
                <w:b/>
                <w:bCs/>
                <w:color w:val="000000" w:themeColor="text1"/>
                <w:szCs w:val="21"/>
                <w:highlight w:val="none"/>
              </w:rPr>
            </w:pPr>
            <w:r>
              <w:rPr>
                <w:rFonts w:hint="eastAsia"/>
                <w:b/>
                <w:bCs/>
                <w:color w:val="000000" w:themeColor="text1"/>
                <w:szCs w:val="21"/>
                <w:highlight w:val="none"/>
              </w:rPr>
              <w:t>1.</w:t>
            </w:r>
            <w:r>
              <w:rPr>
                <w:b/>
                <w:bCs/>
                <w:color w:val="000000" w:themeColor="text1"/>
                <w:szCs w:val="21"/>
                <w:highlight w:val="none"/>
              </w:rPr>
              <w:t xml:space="preserve">1 </w:t>
            </w:r>
            <w:r>
              <w:rPr>
                <w:rFonts w:hint="eastAsia"/>
                <w:b/>
                <w:bCs/>
                <w:color w:val="000000" w:themeColor="text1"/>
                <w:szCs w:val="21"/>
                <w:highlight w:val="none"/>
              </w:rPr>
              <w:t>自助终端机尺寸参数：</w:t>
            </w:r>
          </w:p>
          <w:p>
            <w:pPr>
              <w:ind w:firstLine="420" w:firstLineChars="200"/>
              <w:rPr>
                <w:bCs/>
                <w:color w:val="000000" w:themeColor="text1"/>
                <w:szCs w:val="21"/>
                <w:highlight w:val="none"/>
              </w:rPr>
            </w:pPr>
            <w:r>
              <w:rPr>
                <w:rFonts w:hint="eastAsia"/>
                <w:bCs/>
                <w:color w:val="000000" w:themeColor="text1"/>
                <w:szCs w:val="21"/>
                <w:highlight w:val="none"/>
              </w:rPr>
              <w:t>宽度：830mm</w:t>
            </w:r>
            <w:r>
              <w:rPr>
                <w:rFonts w:hint="eastAsia"/>
                <w:color w:val="000000" w:themeColor="text1"/>
                <w:sz w:val="18"/>
                <w:szCs w:val="18"/>
                <w:highlight w:val="none"/>
                <w:lang w:val="en-GB"/>
              </w:rPr>
              <w:t>（±20mm）</w:t>
            </w:r>
          </w:p>
          <w:p>
            <w:pPr>
              <w:ind w:firstLine="420" w:firstLineChars="200"/>
              <w:rPr>
                <w:bCs/>
                <w:color w:val="000000" w:themeColor="text1"/>
                <w:szCs w:val="21"/>
                <w:highlight w:val="none"/>
              </w:rPr>
            </w:pPr>
            <w:r>
              <w:rPr>
                <w:rFonts w:hint="eastAsia"/>
                <w:bCs/>
                <w:color w:val="000000" w:themeColor="text1"/>
                <w:szCs w:val="21"/>
                <w:highlight w:val="none"/>
              </w:rPr>
              <w:t>纵深：715mm</w:t>
            </w:r>
            <w:r>
              <w:rPr>
                <w:rFonts w:hint="eastAsia"/>
                <w:color w:val="000000" w:themeColor="text1"/>
                <w:sz w:val="18"/>
                <w:szCs w:val="18"/>
                <w:highlight w:val="none"/>
                <w:lang w:val="en-GB"/>
              </w:rPr>
              <w:t>（±20mm）</w:t>
            </w:r>
          </w:p>
          <w:p>
            <w:pPr>
              <w:ind w:firstLine="420" w:firstLineChars="200"/>
              <w:rPr>
                <w:bCs/>
                <w:color w:val="000000" w:themeColor="text1"/>
                <w:szCs w:val="21"/>
                <w:highlight w:val="none"/>
              </w:rPr>
            </w:pPr>
            <w:r>
              <w:rPr>
                <w:rFonts w:hint="eastAsia"/>
                <w:bCs/>
                <w:color w:val="000000" w:themeColor="text1"/>
                <w:szCs w:val="21"/>
                <w:highlight w:val="none"/>
              </w:rPr>
              <w:t>高度：1850mm</w:t>
            </w:r>
            <w:r>
              <w:rPr>
                <w:rFonts w:hint="eastAsia"/>
                <w:color w:val="000000" w:themeColor="text1"/>
                <w:sz w:val="18"/>
                <w:szCs w:val="18"/>
                <w:highlight w:val="none"/>
                <w:lang w:val="en-GB"/>
              </w:rPr>
              <w:t>（±20mm）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42" w:type="dxa"/>
            <w:bottom w:w="113" w:type="dxa"/>
            <w:right w:w="142" w:type="dxa"/>
          </w:tblCellMar>
        </w:tblPrEx>
        <w:trPr>
          <w:trHeight w:val="602" w:hRule="atLeast"/>
        </w:trPr>
        <w:tc>
          <w:tcPr>
            <w:tcW w:w="709" w:type="dxa"/>
            <w:vMerge w:val="continue"/>
            <w:shd w:val="clear" w:color="auto" w:fill="auto"/>
            <w:vAlign w:val="center"/>
          </w:tcPr>
          <w:p>
            <w:pPr>
              <w:jc w:val="center"/>
              <w:rPr>
                <w:color w:val="000000" w:themeColor="text1"/>
                <w:szCs w:val="21"/>
                <w:highlight w:val="none"/>
              </w:rPr>
            </w:pPr>
          </w:p>
        </w:tc>
        <w:tc>
          <w:tcPr>
            <w:tcW w:w="993" w:type="dxa"/>
            <w:vMerge w:val="continue"/>
            <w:shd w:val="clear" w:color="auto" w:fill="auto"/>
            <w:vAlign w:val="center"/>
          </w:tcPr>
          <w:p>
            <w:pPr>
              <w:jc w:val="center"/>
              <w:rPr>
                <w:color w:val="000000" w:themeColor="text1"/>
                <w:szCs w:val="21"/>
                <w:highlight w:val="none"/>
              </w:rPr>
            </w:pPr>
          </w:p>
        </w:tc>
        <w:tc>
          <w:tcPr>
            <w:tcW w:w="8221" w:type="dxa"/>
            <w:shd w:val="clear" w:color="auto" w:fill="auto"/>
            <w:vAlign w:val="center"/>
          </w:tcPr>
          <w:p>
            <w:pPr>
              <w:rPr>
                <w:b/>
                <w:color w:val="000000" w:themeColor="text1"/>
                <w:szCs w:val="21"/>
                <w:highlight w:val="none"/>
              </w:rPr>
            </w:pPr>
            <w:r>
              <w:rPr>
                <w:b/>
                <w:bCs/>
                <w:color w:val="000000" w:themeColor="text1"/>
                <w:szCs w:val="21"/>
                <w:highlight w:val="none"/>
              </w:rPr>
              <w:t>1.2</w:t>
            </w:r>
            <w:r>
              <w:rPr>
                <w:rFonts w:hint="eastAsia"/>
                <w:b/>
                <w:color w:val="000000" w:themeColor="text1"/>
                <w:szCs w:val="21"/>
                <w:highlight w:val="none"/>
              </w:rPr>
              <w:t>部件</w:t>
            </w:r>
            <w:r>
              <w:rPr>
                <w:b/>
                <w:color w:val="000000" w:themeColor="text1"/>
                <w:szCs w:val="21"/>
                <w:highlight w:val="none"/>
              </w:rPr>
              <w:t>配置要求及功能说明</w:t>
            </w:r>
            <w:r>
              <w:rPr>
                <w:rFonts w:hint="eastAsia"/>
                <w:b/>
                <w:color w:val="000000" w:themeColor="text1"/>
                <w:szCs w:val="21"/>
                <w:highlight w:val="none"/>
              </w:rPr>
              <w:t>:</w:t>
            </w:r>
          </w:p>
          <w:p>
            <w:pPr>
              <w:rPr>
                <w:b/>
                <w:color w:val="000000" w:themeColor="text1"/>
                <w:szCs w:val="21"/>
                <w:highlight w:val="none"/>
              </w:rPr>
            </w:pPr>
            <w:r>
              <w:rPr>
                <w:rFonts w:hint="eastAsia"/>
                <w:b/>
                <w:color w:val="000000" w:themeColor="text1"/>
                <w:szCs w:val="21"/>
                <w:highlight w:val="none"/>
              </w:rPr>
              <w:t>1</w:t>
            </w:r>
            <w:r>
              <w:rPr>
                <w:b/>
                <w:color w:val="000000" w:themeColor="text1"/>
                <w:szCs w:val="21"/>
                <w:highlight w:val="none"/>
              </w:rPr>
              <w:t>.2.1</w:t>
            </w:r>
            <w:r>
              <w:rPr>
                <w:rFonts w:hint="eastAsia"/>
                <w:b/>
                <w:color w:val="000000" w:themeColor="text1"/>
                <w:szCs w:val="21"/>
                <w:highlight w:val="none"/>
              </w:rPr>
              <w:t>工控主机</w:t>
            </w:r>
          </w:p>
          <w:p>
            <w:pPr>
              <w:rPr>
                <w:bCs/>
                <w:color w:val="000000" w:themeColor="text1"/>
                <w:szCs w:val="21"/>
                <w:highlight w:val="none"/>
              </w:rPr>
            </w:pPr>
            <w:r>
              <w:rPr>
                <w:rFonts w:hint="eastAsia"/>
                <w:bCs/>
                <w:color w:val="000000" w:themeColor="text1"/>
                <w:szCs w:val="21"/>
                <w:highlight w:val="none"/>
              </w:rPr>
              <w:t>配置要求:</w:t>
            </w:r>
          </w:p>
          <w:p>
            <w:pPr>
              <w:rPr>
                <w:bCs/>
                <w:color w:val="000000" w:themeColor="text1"/>
                <w:szCs w:val="21"/>
                <w:highlight w:val="none"/>
              </w:rPr>
            </w:pPr>
            <w:r>
              <w:rPr>
                <w:rFonts w:hint="eastAsia"/>
                <w:bCs/>
                <w:color w:val="000000" w:themeColor="text1"/>
                <w:szCs w:val="21"/>
                <w:highlight w:val="none"/>
              </w:rPr>
              <w:tab/>
            </w:r>
            <w:r>
              <w:rPr>
                <w:rFonts w:hint="eastAsia"/>
                <w:bCs/>
                <w:color w:val="000000" w:themeColor="text1"/>
                <w:szCs w:val="21"/>
                <w:highlight w:val="none"/>
              </w:rPr>
              <w:t>1.CPU：Intel 双核2.6及以上；</w:t>
            </w:r>
          </w:p>
          <w:p>
            <w:pPr>
              <w:rPr>
                <w:bCs/>
                <w:color w:val="000000" w:themeColor="text1"/>
                <w:szCs w:val="21"/>
                <w:highlight w:val="none"/>
              </w:rPr>
            </w:pPr>
            <w:r>
              <w:rPr>
                <w:rFonts w:hint="eastAsia"/>
                <w:bCs/>
                <w:color w:val="000000" w:themeColor="text1"/>
                <w:szCs w:val="21"/>
                <w:highlight w:val="none"/>
              </w:rPr>
              <w:tab/>
            </w:r>
            <w:r>
              <w:rPr>
                <w:rFonts w:hint="eastAsia"/>
                <w:bCs/>
                <w:color w:val="000000" w:themeColor="text1"/>
                <w:szCs w:val="21"/>
                <w:highlight w:val="none"/>
              </w:rPr>
              <w:t>2.内存：4GB及以上；</w:t>
            </w:r>
          </w:p>
          <w:p>
            <w:pPr>
              <w:rPr>
                <w:bCs/>
                <w:color w:val="000000" w:themeColor="text1"/>
                <w:szCs w:val="21"/>
                <w:highlight w:val="none"/>
              </w:rPr>
            </w:pPr>
            <w:r>
              <w:rPr>
                <w:rFonts w:hint="eastAsia"/>
                <w:bCs/>
                <w:color w:val="000000" w:themeColor="text1"/>
                <w:szCs w:val="21"/>
                <w:highlight w:val="none"/>
              </w:rPr>
              <w:tab/>
            </w:r>
            <w:r>
              <w:rPr>
                <w:rFonts w:hint="eastAsia"/>
                <w:bCs/>
                <w:color w:val="000000" w:themeColor="text1"/>
                <w:szCs w:val="21"/>
                <w:highlight w:val="none"/>
              </w:rPr>
              <w:t>3.硬盘：500GB及以上；</w:t>
            </w:r>
          </w:p>
          <w:p>
            <w:pPr>
              <w:rPr>
                <w:bCs/>
                <w:color w:val="000000" w:themeColor="text1"/>
                <w:szCs w:val="21"/>
                <w:highlight w:val="none"/>
              </w:rPr>
            </w:pPr>
            <w:r>
              <w:rPr>
                <w:rFonts w:hint="eastAsia"/>
                <w:bCs/>
                <w:color w:val="000000" w:themeColor="text1"/>
                <w:szCs w:val="21"/>
                <w:highlight w:val="none"/>
              </w:rPr>
              <w:tab/>
            </w:r>
            <w:r>
              <w:rPr>
                <w:rFonts w:hint="eastAsia"/>
                <w:bCs/>
                <w:color w:val="000000" w:themeColor="text1"/>
                <w:szCs w:val="21"/>
                <w:highlight w:val="none"/>
              </w:rPr>
              <w:t>4. 接口：USB接口≥10个、串口≥10个；</w:t>
            </w:r>
          </w:p>
          <w:p>
            <w:pPr>
              <w:rPr>
                <w:bCs/>
                <w:color w:val="000000" w:themeColor="text1"/>
                <w:szCs w:val="21"/>
                <w:highlight w:val="none"/>
              </w:rPr>
            </w:pPr>
            <w:r>
              <w:rPr>
                <w:rFonts w:hint="eastAsia"/>
                <w:bCs/>
                <w:color w:val="000000" w:themeColor="text1"/>
                <w:szCs w:val="21"/>
                <w:highlight w:val="none"/>
              </w:rPr>
              <w:tab/>
            </w:r>
            <w:r>
              <w:rPr>
                <w:rFonts w:hint="eastAsia"/>
                <w:bCs/>
                <w:color w:val="000000" w:themeColor="text1"/>
                <w:szCs w:val="21"/>
                <w:highlight w:val="none"/>
              </w:rPr>
              <w:t>5.操作系统：正版Windows 7及以上。</w:t>
            </w:r>
          </w:p>
          <w:p>
            <w:pPr>
              <w:rPr>
                <w:bCs/>
                <w:color w:val="000000" w:themeColor="text1"/>
                <w:szCs w:val="21"/>
                <w:highlight w:val="none"/>
              </w:rPr>
            </w:pPr>
            <w:r>
              <w:rPr>
                <w:rFonts w:hint="eastAsia"/>
                <w:bCs/>
                <w:color w:val="000000" w:themeColor="text1"/>
                <w:szCs w:val="21"/>
                <w:highlight w:val="none"/>
              </w:rPr>
              <w:t>功能说明:</w:t>
            </w:r>
          </w:p>
          <w:p>
            <w:pPr>
              <w:rPr>
                <w:bCs/>
                <w:color w:val="000000" w:themeColor="text1"/>
                <w:szCs w:val="21"/>
                <w:highlight w:val="none"/>
              </w:rPr>
            </w:pPr>
            <w:r>
              <w:rPr>
                <w:rFonts w:hint="eastAsia"/>
                <w:bCs/>
                <w:color w:val="000000" w:themeColor="text1"/>
                <w:szCs w:val="21"/>
                <w:highlight w:val="none"/>
              </w:rPr>
              <w:tab/>
            </w:r>
            <w:r>
              <w:rPr>
                <w:bCs/>
                <w:color w:val="000000" w:themeColor="text1"/>
                <w:szCs w:val="21"/>
                <w:highlight w:val="none"/>
              </w:rPr>
              <w:t>6</w:t>
            </w:r>
            <w:r>
              <w:rPr>
                <w:rFonts w:hint="eastAsia"/>
                <w:bCs/>
                <w:color w:val="000000" w:themeColor="text1"/>
                <w:szCs w:val="21"/>
                <w:highlight w:val="none"/>
              </w:rPr>
              <w:t>.主控机采用工控主机，正版操作系统，USB和串口等接口均板载集成，稳定可靠。</w:t>
            </w:r>
          </w:p>
          <w:p>
            <w:pPr>
              <w:rPr>
                <w:bCs/>
                <w:color w:val="000000" w:themeColor="text1"/>
                <w:szCs w:val="21"/>
                <w:highlight w:val="none"/>
              </w:rPr>
            </w:pPr>
          </w:p>
          <w:p>
            <w:pPr>
              <w:rPr>
                <w:b/>
                <w:bCs/>
                <w:color w:val="000000" w:themeColor="text1"/>
                <w:szCs w:val="21"/>
                <w:highlight w:val="none"/>
              </w:rPr>
            </w:pPr>
            <w:r>
              <w:rPr>
                <w:rFonts w:hint="eastAsia"/>
                <w:b/>
                <w:bCs/>
                <w:color w:val="000000" w:themeColor="text1"/>
                <w:szCs w:val="21"/>
                <w:highlight w:val="none"/>
              </w:rPr>
              <w:t>1</w:t>
            </w:r>
            <w:r>
              <w:rPr>
                <w:b/>
                <w:bCs/>
                <w:color w:val="000000" w:themeColor="text1"/>
                <w:szCs w:val="21"/>
                <w:highlight w:val="none"/>
              </w:rPr>
              <w:t>.2.2</w:t>
            </w:r>
            <w:r>
              <w:rPr>
                <w:rFonts w:hint="eastAsia"/>
                <w:b/>
                <w:bCs/>
                <w:color w:val="000000" w:themeColor="text1"/>
                <w:szCs w:val="21"/>
                <w:highlight w:val="none"/>
              </w:rPr>
              <w:t>触摸显示器</w:t>
            </w:r>
          </w:p>
          <w:p>
            <w:pPr>
              <w:rPr>
                <w:bCs/>
                <w:color w:val="000000" w:themeColor="text1"/>
                <w:szCs w:val="21"/>
                <w:highlight w:val="none"/>
              </w:rPr>
            </w:pPr>
            <w:r>
              <w:rPr>
                <w:rFonts w:hint="eastAsia"/>
                <w:bCs/>
                <w:color w:val="000000" w:themeColor="text1"/>
                <w:szCs w:val="21"/>
                <w:highlight w:val="none"/>
              </w:rPr>
              <w:t>配置要求：</w:t>
            </w:r>
          </w:p>
          <w:p>
            <w:pPr>
              <w:rPr>
                <w:bCs/>
                <w:color w:val="000000" w:themeColor="text1"/>
                <w:szCs w:val="21"/>
                <w:highlight w:val="none"/>
              </w:rPr>
            </w:pPr>
            <w:r>
              <w:rPr>
                <w:rFonts w:hint="eastAsia"/>
                <w:bCs/>
                <w:color w:val="000000" w:themeColor="text1"/>
                <w:szCs w:val="21"/>
                <w:highlight w:val="none"/>
              </w:rPr>
              <w:tab/>
            </w:r>
            <w:r>
              <w:rPr>
                <w:rFonts w:hint="eastAsia"/>
                <w:bCs/>
                <w:color w:val="000000" w:themeColor="text1"/>
                <w:szCs w:val="21"/>
                <w:highlight w:val="none"/>
              </w:rPr>
              <w:t>1. ▲屏幕尺寸： 21.5英寸及以上；</w:t>
            </w:r>
            <w:r>
              <w:rPr>
                <w:rFonts w:hint="eastAsia"/>
                <w:b/>
                <w:bCs/>
                <w:color w:val="000000" w:themeColor="text1"/>
                <w:szCs w:val="21"/>
                <w:highlight w:val="none"/>
              </w:rPr>
              <w:t>（提供机器实物照片）</w:t>
            </w:r>
          </w:p>
          <w:p>
            <w:pPr>
              <w:rPr>
                <w:bCs/>
                <w:color w:val="000000" w:themeColor="text1"/>
                <w:szCs w:val="21"/>
                <w:highlight w:val="none"/>
              </w:rPr>
            </w:pPr>
            <w:r>
              <w:rPr>
                <w:rFonts w:hint="eastAsia"/>
                <w:bCs/>
                <w:color w:val="000000" w:themeColor="text1"/>
                <w:szCs w:val="21"/>
                <w:highlight w:val="none"/>
              </w:rPr>
              <w:tab/>
            </w:r>
            <w:r>
              <w:rPr>
                <w:rFonts w:hint="eastAsia"/>
                <w:bCs/>
                <w:color w:val="000000" w:themeColor="text1"/>
                <w:szCs w:val="21"/>
                <w:highlight w:val="none"/>
              </w:rPr>
              <w:t>2.屏幕比例：16：9；</w:t>
            </w:r>
          </w:p>
          <w:p>
            <w:pPr>
              <w:rPr>
                <w:bCs/>
                <w:color w:val="000000" w:themeColor="text1"/>
                <w:szCs w:val="21"/>
                <w:highlight w:val="none"/>
              </w:rPr>
            </w:pPr>
            <w:r>
              <w:rPr>
                <w:rFonts w:hint="eastAsia"/>
                <w:bCs/>
                <w:color w:val="000000" w:themeColor="text1"/>
                <w:szCs w:val="21"/>
                <w:highlight w:val="none"/>
              </w:rPr>
              <w:tab/>
            </w:r>
            <w:r>
              <w:rPr>
                <w:rFonts w:hint="eastAsia"/>
                <w:bCs/>
                <w:color w:val="000000" w:themeColor="text1"/>
                <w:szCs w:val="21"/>
                <w:highlight w:val="none"/>
              </w:rPr>
              <w:t xml:space="preserve">3.分辨率：1920×1080； </w:t>
            </w:r>
          </w:p>
          <w:p>
            <w:pPr>
              <w:rPr>
                <w:bCs/>
                <w:color w:val="000000" w:themeColor="text1"/>
                <w:szCs w:val="21"/>
                <w:highlight w:val="none"/>
              </w:rPr>
            </w:pPr>
            <w:r>
              <w:rPr>
                <w:rFonts w:hint="eastAsia"/>
                <w:bCs/>
                <w:color w:val="000000" w:themeColor="text1"/>
                <w:szCs w:val="21"/>
                <w:highlight w:val="none"/>
              </w:rPr>
              <w:tab/>
            </w:r>
            <w:r>
              <w:rPr>
                <w:rFonts w:hint="eastAsia"/>
                <w:bCs/>
                <w:color w:val="000000" w:themeColor="text1"/>
                <w:szCs w:val="21"/>
                <w:highlight w:val="none"/>
              </w:rPr>
              <w:t xml:space="preserve">4.刷新率：60Hz； </w:t>
            </w:r>
          </w:p>
          <w:p>
            <w:pPr>
              <w:rPr>
                <w:bCs/>
                <w:color w:val="000000" w:themeColor="text1"/>
                <w:szCs w:val="21"/>
                <w:highlight w:val="none"/>
              </w:rPr>
            </w:pPr>
            <w:r>
              <w:rPr>
                <w:rFonts w:hint="eastAsia"/>
                <w:bCs/>
                <w:color w:val="000000" w:themeColor="text1"/>
                <w:szCs w:val="21"/>
                <w:highlight w:val="none"/>
              </w:rPr>
              <w:tab/>
            </w:r>
            <w:r>
              <w:rPr>
                <w:rFonts w:hint="eastAsia"/>
                <w:bCs/>
                <w:color w:val="000000" w:themeColor="text1"/>
                <w:szCs w:val="21"/>
                <w:highlight w:val="none"/>
              </w:rPr>
              <w:t>5.触摸分辨率：4096×4096；</w:t>
            </w:r>
          </w:p>
          <w:p>
            <w:pPr>
              <w:rPr>
                <w:bCs/>
                <w:color w:val="000000" w:themeColor="text1"/>
                <w:szCs w:val="21"/>
                <w:highlight w:val="none"/>
              </w:rPr>
            </w:pPr>
            <w:r>
              <w:rPr>
                <w:rFonts w:hint="eastAsia"/>
                <w:bCs/>
                <w:color w:val="000000" w:themeColor="text1"/>
                <w:szCs w:val="21"/>
                <w:highlight w:val="none"/>
              </w:rPr>
              <w:tab/>
            </w:r>
            <w:r>
              <w:rPr>
                <w:rFonts w:hint="eastAsia"/>
                <w:bCs/>
                <w:color w:val="000000" w:themeColor="text1"/>
                <w:szCs w:val="21"/>
                <w:highlight w:val="none"/>
              </w:rPr>
              <w:t>6.支持多点触摸。</w:t>
            </w:r>
          </w:p>
          <w:p>
            <w:pPr>
              <w:rPr>
                <w:bCs/>
                <w:color w:val="000000" w:themeColor="text1"/>
                <w:szCs w:val="21"/>
                <w:highlight w:val="none"/>
              </w:rPr>
            </w:pPr>
            <w:r>
              <w:rPr>
                <w:rFonts w:hint="eastAsia"/>
                <w:bCs/>
                <w:color w:val="000000" w:themeColor="text1"/>
                <w:szCs w:val="21"/>
                <w:highlight w:val="none"/>
              </w:rPr>
              <w:t>功能说明：</w:t>
            </w:r>
          </w:p>
          <w:p>
            <w:pPr>
              <w:rPr>
                <w:bCs/>
                <w:color w:val="000000" w:themeColor="text1"/>
                <w:szCs w:val="21"/>
                <w:highlight w:val="none"/>
              </w:rPr>
            </w:pPr>
            <w:r>
              <w:rPr>
                <w:rFonts w:hint="eastAsia"/>
                <w:bCs/>
                <w:color w:val="000000" w:themeColor="text1"/>
                <w:szCs w:val="21"/>
                <w:highlight w:val="none"/>
              </w:rPr>
              <w:tab/>
            </w:r>
            <w:r>
              <w:rPr>
                <w:rFonts w:hint="eastAsia"/>
                <w:bCs/>
                <w:color w:val="000000" w:themeColor="text1"/>
                <w:szCs w:val="21"/>
                <w:highlight w:val="none"/>
              </w:rPr>
              <w:t>1.显示清晰，支持多点触摸，便于操作；</w:t>
            </w:r>
          </w:p>
          <w:p>
            <w:pPr>
              <w:rPr>
                <w:bCs/>
                <w:color w:val="000000" w:themeColor="text1"/>
                <w:szCs w:val="21"/>
                <w:highlight w:val="none"/>
              </w:rPr>
            </w:pPr>
            <w:r>
              <w:rPr>
                <w:rFonts w:hint="eastAsia"/>
                <w:bCs/>
                <w:color w:val="000000" w:themeColor="text1"/>
                <w:szCs w:val="21"/>
                <w:highlight w:val="none"/>
              </w:rPr>
              <w:tab/>
            </w:r>
            <w:r>
              <w:rPr>
                <w:rFonts w:hint="eastAsia"/>
                <w:bCs/>
                <w:color w:val="000000" w:themeColor="text1"/>
                <w:szCs w:val="21"/>
                <w:highlight w:val="none"/>
              </w:rPr>
              <w:t>2.红外触摸，响应速度快，提供完美的人机交互体验。</w:t>
            </w:r>
          </w:p>
          <w:p>
            <w:pPr>
              <w:rPr>
                <w:bCs/>
                <w:color w:val="000000" w:themeColor="text1"/>
                <w:szCs w:val="21"/>
                <w:highlight w:val="none"/>
              </w:rPr>
            </w:pPr>
          </w:p>
          <w:p>
            <w:pPr>
              <w:rPr>
                <w:b/>
                <w:bCs/>
                <w:color w:val="000000" w:themeColor="text1"/>
                <w:szCs w:val="21"/>
                <w:highlight w:val="none"/>
              </w:rPr>
            </w:pPr>
            <w:r>
              <w:rPr>
                <w:rFonts w:hint="eastAsia"/>
                <w:b/>
                <w:bCs/>
                <w:color w:val="000000" w:themeColor="text1"/>
                <w:szCs w:val="21"/>
                <w:highlight w:val="none"/>
              </w:rPr>
              <w:t>1.2.3 副显示器</w:t>
            </w:r>
            <w:r>
              <w:rPr>
                <w:rFonts w:hint="eastAsia"/>
                <w:b/>
                <w:bCs/>
                <w:color w:val="000000" w:themeColor="text1"/>
                <w:szCs w:val="21"/>
                <w:highlight w:val="none"/>
              </w:rPr>
              <w:tab/>
            </w:r>
          </w:p>
          <w:p>
            <w:pPr>
              <w:rPr>
                <w:bCs/>
                <w:color w:val="000000" w:themeColor="text1"/>
                <w:szCs w:val="21"/>
                <w:highlight w:val="none"/>
              </w:rPr>
            </w:pPr>
            <w:r>
              <w:rPr>
                <w:rFonts w:hint="eastAsia"/>
                <w:bCs/>
                <w:color w:val="000000" w:themeColor="text1"/>
                <w:szCs w:val="21"/>
                <w:highlight w:val="none"/>
              </w:rPr>
              <w:t>配置要求:</w:t>
            </w:r>
          </w:p>
          <w:p>
            <w:pPr>
              <w:rPr>
                <w:bCs/>
                <w:color w:val="000000" w:themeColor="text1"/>
                <w:szCs w:val="21"/>
                <w:highlight w:val="none"/>
              </w:rPr>
            </w:pPr>
            <w:r>
              <w:rPr>
                <w:rFonts w:hint="eastAsia"/>
                <w:bCs/>
                <w:color w:val="000000" w:themeColor="text1"/>
                <w:szCs w:val="21"/>
                <w:highlight w:val="none"/>
              </w:rPr>
              <w:tab/>
            </w:r>
            <w:r>
              <w:rPr>
                <w:rFonts w:hint="eastAsia"/>
                <w:bCs/>
                <w:color w:val="000000" w:themeColor="text1"/>
                <w:szCs w:val="21"/>
                <w:highlight w:val="none"/>
              </w:rPr>
              <w:t>1. ▲屏幕尺寸：不小于21.5英寸；</w:t>
            </w:r>
            <w:r>
              <w:rPr>
                <w:rFonts w:hint="eastAsia"/>
                <w:b/>
                <w:bCs/>
                <w:color w:val="000000" w:themeColor="text1"/>
                <w:szCs w:val="21"/>
                <w:highlight w:val="none"/>
              </w:rPr>
              <w:t>（提供机器实物样机照片）</w:t>
            </w:r>
          </w:p>
          <w:p>
            <w:pPr>
              <w:rPr>
                <w:bCs/>
                <w:color w:val="000000" w:themeColor="text1"/>
                <w:szCs w:val="21"/>
                <w:highlight w:val="none"/>
              </w:rPr>
            </w:pPr>
            <w:r>
              <w:rPr>
                <w:rFonts w:hint="eastAsia"/>
                <w:bCs/>
                <w:color w:val="000000" w:themeColor="text1"/>
                <w:szCs w:val="21"/>
                <w:highlight w:val="none"/>
              </w:rPr>
              <w:tab/>
            </w:r>
            <w:r>
              <w:rPr>
                <w:rFonts w:hint="eastAsia"/>
                <w:bCs/>
                <w:color w:val="000000" w:themeColor="text1"/>
                <w:szCs w:val="21"/>
                <w:highlight w:val="none"/>
              </w:rPr>
              <w:t>2.屏幕比例：16：9；</w:t>
            </w:r>
          </w:p>
          <w:p>
            <w:pPr>
              <w:rPr>
                <w:bCs/>
                <w:color w:val="000000" w:themeColor="text1"/>
                <w:szCs w:val="21"/>
                <w:highlight w:val="none"/>
              </w:rPr>
            </w:pPr>
            <w:r>
              <w:rPr>
                <w:rFonts w:hint="eastAsia"/>
                <w:bCs/>
                <w:color w:val="000000" w:themeColor="text1"/>
                <w:szCs w:val="21"/>
                <w:highlight w:val="none"/>
              </w:rPr>
              <w:tab/>
            </w:r>
            <w:r>
              <w:rPr>
                <w:rFonts w:hint="eastAsia"/>
                <w:bCs/>
                <w:color w:val="000000" w:themeColor="text1"/>
                <w:szCs w:val="21"/>
                <w:highlight w:val="none"/>
              </w:rPr>
              <w:t xml:space="preserve">3.分辨率：1920×1080； </w:t>
            </w:r>
          </w:p>
          <w:p>
            <w:pPr>
              <w:rPr>
                <w:bCs/>
                <w:color w:val="000000" w:themeColor="text1"/>
                <w:szCs w:val="21"/>
                <w:highlight w:val="none"/>
              </w:rPr>
            </w:pPr>
            <w:r>
              <w:rPr>
                <w:rFonts w:hint="eastAsia"/>
                <w:bCs/>
                <w:color w:val="000000" w:themeColor="text1"/>
                <w:szCs w:val="21"/>
                <w:highlight w:val="none"/>
              </w:rPr>
              <w:tab/>
            </w:r>
            <w:r>
              <w:rPr>
                <w:rFonts w:hint="eastAsia"/>
                <w:bCs/>
                <w:color w:val="000000" w:themeColor="text1"/>
                <w:szCs w:val="21"/>
                <w:highlight w:val="none"/>
              </w:rPr>
              <w:t xml:space="preserve">4.刷新率：60Hz； </w:t>
            </w:r>
          </w:p>
          <w:p>
            <w:pPr>
              <w:rPr>
                <w:bCs/>
                <w:color w:val="000000" w:themeColor="text1"/>
                <w:szCs w:val="21"/>
                <w:highlight w:val="none"/>
              </w:rPr>
            </w:pPr>
            <w:r>
              <w:rPr>
                <w:rFonts w:hint="eastAsia"/>
                <w:bCs/>
                <w:color w:val="000000" w:themeColor="text1"/>
                <w:szCs w:val="21"/>
                <w:highlight w:val="none"/>
              </w:rPr>
              <w:t>功能说明:</w:t>
            </w:r>
          </w:p>
          <w:p>
            <w:pPr>
              <w:rPr>
                <w:bCs/>
                <w:color w:val="000000" w:themeColor="text1"/>
                <w:szCs w:val="21"/>
                <w:highlight w:val="none"/>
              </w:rPr>
            </w:pPr>
            <w:r>
              <w:rPr>
                <w:rFonts w:hint="eastAsia"/>
                <w:bCs/>
                <w:color w:val="000000" w:themeColor="text1"/>
                <w:szCs w:val="21"/>
                <w:highlight w:val="none"/>
              </w:rPr>
              <w:tab/>
            </w:r>
            <w:r>
              <w:rPr>
                <w:rFonts w:hint="eastAsia"/>
                <w:bCs/>
                <w:color w:val="000000" w:themeColor="text1"/>
                <w:szCs w:val="21"/>
                <w:highlight w:val="none"/>
              </w:rPr>
              <w:t>1.业务流程，副屏指引，提示清晰；</w:t>
            </w:r>
          </w:p>
          <w:p>
            <w:pPr>
              <w:rPr>
                <w:bCs/>
                <w:color w:val="000000" w:themeColor="text1"/>
                <w:szCs w:val="21"/>
                <w:highlight w:val="none"/>
              </w:rPr>
            </w:pPr>
            <w:r>
              <w:rPr>
                <w:rFonts w:hint="eastAsia"/>
                <w:bCs/>
                <w:color w:val="000000" w:themeColor="text1"/>
                <w:szCs w:val="21"/>
                <w:highlight w:val="none"/>
              </w:rPr>
              <w:tab/>
            </w:r>
            <w:r>
              <w:rPr>
                <w:rFonts w:hint="eastAsia"/>
                <w:bCs/>
                <w:color w:val="000000" w:themeColor="text1"/>
                <w:szCs w:val="21"/>
                <w:highlight w:val="none"/>
              </w:rPr>
              <w:t>2.政策宣传，信息展示。</w:t>
            </w:r>
          </w:p>
          <w:p>
            <w:pPr>
              <w:rPr>
                <w:bCs/>
                <w:color w:val="000000" w:themeColor="text1"/>
                <w:szCs w:val="21"/>
                <w:highlight w:val="none"/>
              </w:rPr>
            </w:pPr>
          </w:p>
          <w:p>
            <w:pPr>
              <w:rPr>
                <w:b/>
                <w:bCs/>
                <w:color w:val="000000" w:themeColor="text1"/>
                <w:szCs w:val="21"/>
                <w:highlight w:val="none"/>
              </w:rPr>
            </w:pPr>
            <w:r>
              <w:rPr>
                <w:rFonts w:hint="eastAsia"/>
                <w:b/>
                <w:bCs/>
                <w:color w:val="000000" w:themeColor="text1"/>
                <w:szCs w:val="21"/>
                <w:highlight w:val="none"/>
              </w:rPr>
              <w:t>1.2.4条码阅读器</w:t>
            </w:r>
          </w:p>
          <w:p>
            <w:pPr>
              <w:rPr>
                <w:bCs/>
                <w:color w:val="000000" w:themeColor="text1"/>
                <w:szCs w:val="21"/>
                <w:highlight w:val="none"/>
              </w:rPr>
            </w:pPr>
            <w:r>
              <w:rPr>
                <w:rFonts w:hint="eastAsia"/>
                <w:bCs/>
                <w:color w:val="000000" w:themeColor="text1"/>
                <w:szCs w:val="21"/>
                <w:highlight w:val="none"/>
              </w:rPr>
              <w:t>配置要求:</w:t>
            </w:r>
          </w:p>
          <w:p>
            <w:pPr>
              <w:rPr>
                <w:bCs/>
                <w:color w:val="000000" w:themeColor="text1"/>
                <w:szCs w:val="21"/>
                <w:highlight w:val="none"/>
              </w:rPr>
            </w:pPr>
            <w:r>
              <w:rPr>
                <w:rFonts w:hint="eastAsia"/>
                <w:bCs/>
                <w:color w:val="000000" w:themeColor="text1"/>
                <w:szCs w:val="21"/>
                <w:highlight w:val="none"/>
              </w:rPr>
              <w:tab/>
            </w:r>
            <w:r>
              <w:rPr>
                <w:rFonts w:hint="eastAsia"/>
                <w:bCs/>
                <w:color w:val="000000" w:themeColor="text1"/>
                <w:szCs w:val="21"/>
                <w:highlight w:val="none"/>
              </w:rPr>
              <w:t>1.对所有1D、PDF和2D条码都具有极强的扫描性能；</w:t>
            </w:r>
          </w:p>
          <w:p>
            <w:pPr>
              <w:rPr>
                <w:bCs/>
                <w:color w:val="000000" w:themeColor="text1"/>
                <w:szCs w:val="21"/>
                <w:highlight w:val="none"/>
              </w:rPr>
            </w:pPr>
            <w:r>
              <w:rPr>
                <w:rFonts w:hint="eastAsia"/>
                <w:bCs/>
                <w:color w:val="000000" w:themeColor="text1"/>
                <w:szCs w:val="21"/>
                <w:highlight w:val="none"/>
              </w:rPr>
              <w:tab/>
            </w:r>
            <w:r>
              <w:rPr>
                <w:rFonts w:hint="eastAsia"/>
                <w:bCs/>
                <w:color w:val="000000" w:themeColor="text1"/>
                <w:szCs w:val="21"/>
                <w:highlight w:val="none"/>
              </w:rPr>
              <w:t>2.光源：高可见度LED；</w:t>
            </w:r>
          </w:p>
          <w:p>
            <w:pPr>
              <w:rPr>
                <w:bCs/>
                <w:color w:val="000000" w:themeColor="text1"/>
                <w:szCs w:val="21"/>
                <w:highlight w:val="none"/>
              </w:rPr>
            </w:pPr>
            <w:r>
              <w:rPr>
                <w:rFonts w:hint="eastAsia"/>
                <w:bCs/>
                <w:color w:val="000000" w:themeColor="text1"/>
                <w:szCs w:val="21"/>
                <w:highlight w:val="none"/>
              </w:rPr>
              <w:tab/>
            </w:r>
            <w:r>
              <w:rPr>
                <w:rFonts w:hint="eastAsia"/>
                <w:bCs/>
                <w:color w:val="000000" w:themeColor="text1"/>
                <w:szCs w:val="21"/>
                <w:highlight w:val="none"/>
              </w:rPr>
              <w:t>3.扫描介质：支持手机和纸张等条码识读。</w:t>
            </w:r>
          </w:p>
          <w:p>
            <w:pPr>
              <w:rPr>
                <w:bCs/>
                <w:color w:val="000000" w:themeColor="text1"/>
                <w:szCs w:val="21"/>
                <w:highlight w:val="none"/>
              </w:rPr>
            </w:pPr>
            <w:r>
              <w:rPr>
                <w:rFonts w:hint="eastAsia"/>
                <w:bCs/>
                <w:color w:val="000000" w:themeColor="text1"/>
                <w:szCs w:val="21"/>
                <w:highlight w:val="none"/>
              </w:rPr>
              <w:t>功能说明:</w:t>
            </w:r>
          </w:p>
          <w:p>
            <w:pPr>
              <w:rPr>
                <w:bCs/>
                <w:color w:val="000000" w:themeColor="text1"/>
                <w:szCs w:val="21"/>
                <w:highlight w:val="none"/>
              </w:rPr>
            </w:pPr>
            <w:r>
              <w:rPr>
                <w:rFonts w:hint="eastAsia"/>
                <w:bCs/>
                <w:color w:val="000000" w:themeColor="text1"/>
                <w:szCs w:val="21"/>
                <w:highlight w:val="none"/>
              </w:rPr>
              <w:tab/>
            </w:r>
            <w:r>
              <w:rPr>
                <w:rFonts w:hint="eastAsia"/>
                <w:bCs/>
                <w:color w:val="000000" w:themeColor="text1"/>
                <w:szCs w:val="21"/>
                <w:highlight w:val="none"/>
              </w:rPr>
              <w:t>1.条码扫码，信息录入，高效便捷；</w:t>
            </w:r>
          </w:p>
          <w:p>
            <w:pPr>
              <w:rPr>
                <w:bCs/>
                <w:color w:val="000000" w:themeColor="text1"/>
                <w:szCs w:val="21"/>
                <w:highlight w:val="none"/>
              </w:rPr>
            </w:pPr>
            <w:r>
              <w:rPr>
                <w:rFonts w:hint="eastAsia"/>
                <w:bCs/>
                <w:color w:val="000000" w:themeColor="text1"/>
                <w:szCs w:val="21"/>
                <w:highlight w:val="none"/>
              </w:rPr>
              <w:tab/>
            </w:r>
            <w:r>
              <w:rPr>
                <w:rFonts w:hint="eastAsia"/>
                <w:bCs/>
                <w:color w:val="000000" w:themeColor="text1"/>
                <w:szCs w:val="21"/>
                <w:highlight w:val="none"/>
              </w:rPr>
              <w:t>2.快速识别，手机屏幕识别兼容性高。</w:t>
            </w:r>
          </w:p>
          <w:p>
            <w:pPr>
              <w:rPr>
                <w:bCs/>
                <w:color w:val="000000" w:themeColor="text1"/>
                <w:szCs w:val="21"/>
                <w:highlight w:val="none"/>
              </w:rPr>
            </w:pPr>
          </w:p>
          <w:p>
            <w:pPr>
              <w:rPr>
                <w:b/>
                <w:bCs/>
                <w:color w:val="000000" w:themeColor="text1"/>
                <w:szCs w:val="21"/>
                <w:highlight w:val="none"/>
              </w:rPr>
            </w:pPr>
            <w:r>
              <w:rPr>
                <w:rFonts w:hint="eastAsia"/>
                <w:b/>
                <w:bCs/>
                <w:color w:val="000000" w:themeColor="text1"/>
                <w:szCs w:val="21"/>
                <w:highlight w:val="none"/>
              </w:rPr>
              <w:t>1.2.5 加密键盘</w:t>
            </w:r>
          </w:p>
          <w:p>
            <w:pPr>
              <w:rPr>
                <w:bCs/>
                <w:color w:val="000000" w:themeColor="text1"/>
                <w:szCs w:val="21"/>
                <w:highlight w:val="none"/>
              </w:rPr>
            </w:pPr>
            <w:r>
              <w:rPr>
                <w:rFonts w:hint="eastAsia"/>
                <w:bCs/>
                <w:color w:val="000000" w:themeColor="text1"/>
                <w:szCs w:val="21"/>
                <w:highlight w:val="none"/>
              </w:rPr>
              <w:t>配置要求:</w:t>
            </w:r>
          </w:p>
          <w:p>
            <w:pPr>
              <w:rPr>
                <w:bCs/>
                <w:color w:val="000000" w:themeColor="text1"/>
                <w:szCs w:val="21"/>
                <w:highlight w:val="none"/>
              </w:rPr>
            </w:pPr>
            <w:r>
              <w:rPr>
                <w:rFonts w:hint="eastAsia"/>
                <w:bCs/>
                <w:color w:val="000000" w:themeColor="text1"/>
                <w:szCs w:val="21"/>
                <w:highlight w:val="none"/>
              </w:rPr>
              <w:tab/>
            </w:r>
            <w:r>
              <w:rPr>
                <w:rFonts w:hint="eastAsia"/>
                <w:bCs/>
                <w:color w:val="000000" w:themeColor="text1"/>
                <w:szCs w:val="21"/>
                <w:highlight w:val="none"/>
              </w:rPr>
              <w:t>1. 16键不锈钢数字键盘；</w:t>
            </w:r>
          </w:p>
          <w:p>
            <w:pPr>
              <w:rPr>
                <w:bCs/>
                <w:color w:val="000000" w:themeColor="text1"/>
                <w:szCs w:val="21"/>
                <w:highlight w:val="none"/>
              </w:rPr>
            </w:pPr>
            <w:r>
              <w:rPr>
                <w:rFonts w:hint="eastAsia"/>
                <w:bCs/>
                <w:color w:val="000000" w:themeColor="text1"/>
                <w:szCs w:val="21"/>
                <w:highlight w:val="none"/>
              </w:rPr>
              <w:tab/>
            </w:r>
            <w:r>
              <w:rPr>
                <w:rFonts w:hint="eastAsia"/>
                <w:bCs/>
                <w:color w:val="000000" w:themeColor="text1"/>
                <w:szCs w:val="21"/>
                <w:highlight w:val="none"/>
              </w:rPr>
              <w:t>2.防水、防尘、防火、防爆、防腐、防钻、防泄露、防监听、防置换；</w:t>
            </w:r>
          </w:p>
          <w:p>
            <w:pPr>
              <w:rPr>
                <w:bCs/>
                <w:color w:val="000000" w:themeColor="text1"/>
                <w:szCs w:val="21"/>
                <w:highlight w:val="none"/>
              </w:rPr>
            </w:pPr>
            <w:r>
              <w:rPr>
                <w:rFonts w:hint="eastAsia"/>
                <w:bCs/>
                <w:color w:val="000000" w:themeColor="text1"/>
                <w:szCs w:val="21"/>
                <w:highlight w:val="none"/>
              </w:rPr>
              <w:t>功能说明:</w:t>
            </w:r>
          </w:p>
          <w:p>
            <w:pPr>
              <w:rPr>
                <w:bCs/>
                <w:color w:val="000000" w:themeColor="text1"/>
                <w:szCs w:val="21"/>
                <w:highlight w:val="none"/>
              </w:rPr>
            </w:pPr>
            <w:r>
              <w:rPr>
                <w:rFonts w:hint="eastAsia"/>
                <w:bCs/>
                <w:color w:val="000000" w:themeColor="text1"/>
                <w:szCs w:val="21"/>
                <w:highlight w:val="none"/>
              </w:rPr>
              <w:tab/>
            </w:r>
            <w:r>
              <w:rPr>
                <w:rFonts w:hint="eastAsia"/>
                <w:bCs/>
                <w:color w:val="000000" w:themeColor="text1"/>
                <w:szCs w:val="21"/>
                <w:highlight w:val="none"/>
              </w:rPr>
              <w:t>1.实现银行卡缴款功能；</w:t>
            </w:r>
          </w:p>
          <w:p>
            <w:pPr>
              <w:rPr>
                <w:bCs/>
                <w:color w:val="000000" w:themeColor="text1"/>
                <w:szCs w:val="21"/>
                <w:highlight w:val="none"/>
              </w:rPr>
            </w:pPr>
            <w:r>
              <w:rPr>
                <w:rFonts w:hint="eastAsia"/>
                <w:bCs/>
                <w:color w:val="000000" w:themeColor="text1"/>
                <w:szCs w:val="21"/>
                <w:highlight w:val="none"/>
              </w:rPr>
              <w:tab/>
            </w:r>
            <w:r>
              <w:rPr>
                <w:rFonts w:hint="eastAsia"/>
                <w:bCs/>
                <w:color w:val="000000" w:themeColor="text1"/>
                <w:szCs w:val="21"/>
                <w:highlight w:val="none"/>
              </w:rPr>
              <w:t>2. ▲具有银联认证和检验报告，安全可靠</w:t>
            </w:r>
            <w:r>
              <w:rPr>
                <w:rFonts w:hint="eastAsia"/>
                <w:b/>
                <w:bCs/>
                <w:color w:val="000000" w:themeColor="text1"/>
                <w:szCs w:val="21"/>
                <w:highlight w:val="none"/>
              </w:rPr>
              <w:t>（提供银行卡检测中心测报告复印件）</w:t>
            </w:r>
            <w:r>
              <w:rPr>
                <w:rFonts w:hint="eastAsia"/>
                <w:bCs/>
                <w:color w:val="000000" w:themeColor="text1"/>
                <w:szCs w:val="21"/>
                <w:highlight w:val="none"/>
              </w:rPr>
              <w:t>。</w:t>
            </w:r>
          </w:p>
          <w:p>
            <w:pPr>
              <w:rPr>
                <w:bCs/>
                <w:color w:val="000000" w:themeColor="text1"/>
                <w:szCs w:val="21"/>
                <w:highlight w:val="none"/>
              </w:rPr>
            </w:pPr>
          </w:p>
          <w:p>
            <w:pPr>
              <w:rPr>
                <w:b/>
                <w:bCs/>
                <w:color w:val="000000" w:themeColor="text1"/>
                <w:szCs w:val="21"/>
                <w:highlight w:val="none"/>
              </w:rPr>
            </w:pPr>
            <w:r>
              <w:rPr>
                <w:rFonts w:hint="eastAsia"/>
                <w:b/>
                <w:bCs/>
                <w:color w:val="000000" w:themeColor="text1"/>
                <w:szCs w:val="21"/>
                <w:highlight w:val="none"/>
              </w:rPr>
              <w:t>1.2.6 银联卡读卡器</w:t>
            </w:r>
          </w:p>
          <w:p>
            <w:pPr>
              <w:rPr>
                <w:bCs/>
                <w:color w:val="000000" w:themeColor="text1"/>
                <w:szCs w:val="21"/>
                <w:highlight w:val="none"/>
              </w:rPr>
            </w:pPr>
            <w:r>
              <w:rPr>
                <w:rFonts w:hint="eastAsia"/>
                <w:bCs/>
                <w:color w:val="000000" w:themeColor="text1"/>
                <w:szCs w:val="21"/>
                <w:highlight w:val="none"/>
              </w:rPr>
              <w:t>配置要求:</w:t>
            </w:r>
          </w:p>
          <w:p>
            <w:pPr>
              <w:rPr>
                <w:bCs/>
                <w:color w:val="000000" w:themeColor="text1"/>
                <w:szCs w:val="21"/>
                <w:highlight w:val="none"/>
              </w:rPr>
            </w:pPr>
            <w:r>
              <w:rPr>
                <w:rFonts w:hint="eastAsia"/>
                <w:bCs/>
                <w:color w:val="000000" w:themeColor="text1"/>
                <w:szCs w:val="21"/>
                <w:highlight w:val="none"/>
              </w:rPr>
              <w:tab/>
            </w:r>
            <w:r>
              <w:rPr>
                <w:rFonts w:hint="eastAsia"/>
                <w:bCs/>
                <w:color w:val="000000" w:themeColor="text1"/>
                <w:szCs w:val="21"/>
                <w:highlight w:val="none"/>
              </w:rPr>
              <w:t>1.支持IC卡读/写、磁卡读；</w:t>
            </w:r>
          </w:p>
          <w:p>
            <w:pPr>
              <w:rPr>
                <w:bCs/>
                <w:color w:val="000000" w:themeColor="text1"/>
                <w:szCs w:val="21"/>
                <w:highlight w:val="none"/>
              </w:rPr>
            </w:pPr>
            <w:r>
              <w:rPr>
                <w:rFonts w:hint="eastAsia"/>
                <w:bCs/>
                <w:color w:val="000000" w:themeColor="text1"/>
                <w:szCs w:val="21"/>
                <w:highlight w:val="none"/>
              </w:rPr>
              <w:tab/>
            </w:r>
            <w:r>
              <w:rPr>
                <w:rFonts w:hint="eastAsia"/>
                <w:bCs/>
                <w:color w:val="000000" w:themeColor="text1"/>
                <w:szCs w:val="21"/>
                <w:highlight w:val="none"/>
              </w:rPr>
              <w:t>2.带保护门，有效的防止异物进入读卡器内。</w:t>
            </w:r>
          </w:p>
          <w:p>
            <w:pPr>
              <w:rPr>
                <w:bCs/>
                <w:color w:val="000000" w:themeColor="text1"/>
                <w:szCs w:val="21"/>
                <w:highlight w:val="none"/>
              </w:rPr>
            </w:pPr>
            <w:r>
              <w:rPr>
                <w:rFonts w:hint="eastAsia"/>
                <w:bCs/>
                <w:color w:val="000000" w:themeColor="text1"/>
                <w:szCs w:val="21"/>
                <w:highlight w:val="none"/>
              </w:rPr>
              <w:t>功能说明:</w:t>
            </w:r>
          </w:p>
          <w:p>
            <w:pPr>
              <w:rPr>
                <w:bCs/>
                <w:color w:val="000000" w:themeColor="text1"/>
                <w:szCs w:val="21"/>
                <w:highlight w:val="none"/>
              </w:rPr>
            </w:pPr>
            <w:r>
              <w:rPr>
                <w:rFonts w:hint="eastAsia"/>
                <w:bCs/>
                <w:color w:val="000000" w:themeColor="text1"/>
                <w:szCs w:val="21"/>
                <w:highlight w:val="none"/>
              </w:rPr>
              <w:tab/>
            </w:r>
            <w:r>
              <w:rPr>
                <w:rFonts w:hint="eastAsia"/>
                <w:bCs/>
                <w:color w:val="000000" w:themeColor="text1"/>
                <w:szCs w:val="21"/>
                <w:highlight w:val="none"/>
              </w:rPr>
              <w:t>1.实现银行卡缴款功能；</w:t>
            </w:r>
          </w:p>
          <w:p>
            <w:pPr>
              <w:rPr>
                <w:bCs/>
                <w:color w:val="000000" w:themeColor="text1"/>
                <w:szCs w:val="21"/>
                <w:highlight w:val="none"/>
              </w:rPr>
            </w:pPr>
            <w:r>
              <w:rPr>
                <w:rFonts w:hint="eastAsia"/>
                <w:bCs/>
                <w:color w:val="000000" w:themeColor="text1"/>
                <w:szCs w:val="21"/>
                <w:highlight w:val="none"/>
              </w:rPr>
              <w:tab/>
            </w:r>
            <w:r>
              <w:rPr>
                <w:rFonts w:hint="eastAsia"/>
                <w:bCs/>
                <w:color w:val="000000" w:themeColor="text1"/>
                <w:szCs w:val="21"/>
                <w:highlight w:val="none"/>
              </w:rPr>
              <w:t>2. ▲具有银联认证和检验报告，安全可靠。</w:t>
            </w:r>
            <w:r>
              <w:rPr>
                <w:rFonts w:hint="eastAsia"/>
                <w:b/>
                <w:bCs/>
                <w:color w:val="000000" w:themeColor="text1"/>
                <w:szCs w:val="21"/>
                <w:highlight w:val="none"/>
              </w:rPr>
              <w:t>（提供银行卡检测中心测报告和认证证书复印件）</w:t>
            </w:r>
          </w:p>
          <w:p>
            <w:pPr>
              <w:rPr>
                <w:bCs/>
                <w:color w:val="000000" w:themeColor="text1"/>
                <w:szCs w:val="21"/>
                <w:highlight w:val="none"/>
              </w:rPr>
            </w:pPr>
          </w:p>
          <w:p>
            <w:pPr>
              <w:rPr>
                <w:b/>
                <w:bCs/>
                <w:color w:val="000000" w:themeColor="text1"/>
                <w:szCs w:val="21"/>
                <w:highlight w:val="none"/>
              </w:rPr>
            </w:pPr>
            <w:r>
              <w:rPr>
                <w:rFonts w:hint="eastAsia"/>
                <w:b/>
                <w:bCs/>
                <w:color w:val="000000" w:themeColor="text1"/>
                <w:szCs w:val="21"/>
                <w:highlight w:val="none"/>
              </w:rPr>
              <w:t>1.2.7 签字板</w:t>
            </w:r>
          </w:p>
          <w:p>
            <w:pPr>
              <w:rPr>
                <w:bCs/>
                <w:color w:val="000000" w:themeColor="text1"/>
                <w:szCs w:val="21"/>
                <w:highlight w:val="none"/>
              </w:rPr>
            </w:pPr>
            <w:r>
              <w:rPr>
                <w:rFonts w:hint="eastAsia"/>
                <w:bCs/>
                <w:color w:val="000000" w:themeColor="text1"/>
                <w:szCs w:val="21"/>
                <w:highlight w:val="none"/>
              </w:rPr>
              <w:t>配置要求:</w:t>
            </w:r>
          </w:p>
          <w:p>
            <w:pPr>
              <w:rPr>
                <w:bCs/>
                <w:color w:val="000000" w:themeColor="text1"/>
                <w:szCs w:val="21"/>
                <w:highlight w:val="none"/>
              </w:rPr>
            </w:pPr>
            <w:r>
              <w:rPr>
                <w:rFonts w:hint="eastAsia"/>
                <w:bCs/>
                <w:color w:val="000000" w:themeColor="text1"/>
                <w:szCs w:val="21"/>
                <w:highlight w:val="none"/>
              </w:rPr>
              <w:tab/>
            </w:r>
            <w:r>
              <w:rPr>
                <w:rFonts w:hint="eastAsia"/>
                <w:bCs/>
                <w:color w:val="000000" w:themeColor="text1"/>
                <w:szCs w:val="21"/>
                <w:highlight w:val="none"/>
              </w:rPr>
              <w:t>1.显示方式：液晶显示屏；</w:t>
            </w:r>
          </w:p>
          <w:p>
            <w:pPr>
              <w:rPr>
                <w:bCs/>
                <w:color w:val="000000" w:themeColor="text1"/>
                <w:szCs w:val="21"/>
                <w:highlight w:val="none"/>
              </w:rPr>
            </w:pPr>
            <w:r>
              <w:rPr>
                <w:rFonts w:hint="eastAsia"/>
                <w:bCs/>
                <w:color w:val="000000" w:themeColor="text1"/>
                <w:szCs w:val="21"/>
                <w:highlight w:val="none"/>
              </w:rPr>
              <w:tab/>
            </w:r>
            <w:r>
              <w:rPr>
                <w:rFonts w:hint="eastAsia"/>
                <w:bCs/>
                <w:color w:val="000000" w:themeColor="text1"/>
                <w:szCs w:val="21"/>
                <w:highlight w:val="none"/>
              </w:rPr>
              <w:t>2.感应方式：电磁感应；</w:t>
            </w:r>
          </w:p>
          <w:p>
            <w:pPr>
              <w:rPr>
                <w:bCs/>
                <w:color w:val="000000" w:themeColor="text1"/>
                <w:szCs w:val="21"/>
                <w:highlight w:val="none"/>
              </w:rPr>
            </w:pPr>
            <w:r>
              <w:rPr>
                <w:rFonts w:hint="eastAsia"/>
                <w:bCs/>
                <w:color w:val="000000" w:themeColor="text1"/>
                <w:szCs w:val="21"/>
                <w:highlight w:val="none"/>
              </w:rPr>
              <w:tab/>
            </w:r>
            <w:r>
              <w:rPr>
                <w:rFonts w:hint="eastAsia"/>
                <w:bCs/>
                <w:color w:val="000000" w:themeColor="text1"/>
                <w:szCs w:val="21"/>
                <w:highlight w:val="none"/>
              </w:rPr>
              <w:t>3.压感笔类型：无源。</w:t>
            </w:r>
          </w:p>
          <w:p>
            <w:pPr>
              <w:rPr>
                <w:bCs/>
                <w:color w:val="000000" w:themeColor="text1"/>
                <w:szCs w:val="21"/>
                <w:highlight w:val="none"/>
              </w:rPr>
            </w:pPr>
            <w:r>
              <w:rPr>
                <w:rFonts w:hint="eastAsia"/>
                <w:bCs/>
                <w:color w:val="000000" w:themeColor="text1"/>
                <w:szCs w:val="21"/>
                <w:highlight w:val="none"/>
              </w:rPr>
              <w:t>功能说明:</w:t>
            </w:r>
          </w:p>
          <w:p>
            <w:pPr>
              <w:rPr>
                <w:bCs/>
                <w:color w:val="000000" w:themeColor="text1"/>
                <w:szCs w:val="21"/>
                <w:highlight w:val="none"/>
              </w:rPr>
            </w:pPr>
            <w:r>
              <w:rPr>
                <w:rFonts w:hint="eastAsia"/>
                <w:bCs/>
                <w:color w:val="000000" w:themeColor="text1"/>
                <w:szCs w:val="21"/>
                <w:highlight w:val="none"/>
              </w:rPr>
              <w:tab/>
            </w:r>
            <w:r>
              <w:rPr>
                <w:rFonts w:hint="eastAsia"/>
                <w:bCs/>
                <w:color w:val="000000" w:themeColor="text1"/>
                <w:szCs w:val="21"/>
                <w:highlight w:val="none"/>
              </w:rPr>
              <w:t>1.采集用户签名的生物特征信息，数据加密防篡改，安全性高；</w:t>
            </w:r>
          </w:p>
          <w:p>
            <w:pPr>
              <w:rPr>
                <w:bCs/>
                <w:color w:val="000000" w:themeColor="text1"/>
                <w:szCs w:val="21"/>
                <w:highlight w:val="none"/>
              </w:rPr>
            </w:pPr>
            <w:r>
              <w:rPr>
                <w:rFonts w:hint="eastAsia"/>
                <w:bCs/>
                <w:color w:val="000000" w:themeColor="text1"/>
                <w:szCs w:val="21"/>
                <w:highlight w:val="none"/>
              </w:rPr>
              <w:tab/>
            </w:r>
            <w:r>
              <w:rPr>
                <w:rFonts w:hint="eastAsia"/>
                <w:bCs/>
                <w:color w:val="000000" w:themeColor="text1"/>
                <w:szCs w:val="21"/>
                <w:highlight w:val="none"/>
              </w:rPr>
              <w:t>2.集成液晶显示屏，无线无源压感笔，电子签名，手写批注，操作便捷。</w:t>
            </w:r>
          </w:p>
          <w:p>
            <w:pPr>
              <w:rPr>
                <w:bCs/>
                <w:color w:val="000000" w:themeColor="text1"/>
                <w:szCs w:val="21"/>
                <w:highlight w:val="none"/>
              </w:rPr>
            </w:pPr>
          </w:p>
          <w:p>
            <w:pPr>
              <w:rPr>
                <w:b/>
                <w:bCs/>
                <w:color w:val="000000" w:themeColor="text1"/>
                <w:szCs w:val="21"/>
                <w:highlight w:val="none"/>
              </w:rPr>
            </w:pPr>
            <w:r>
              <w:rPr>
                <w:rFonts w:hint="eastAsia"/>
                <w:b/>
                <w:bCs/>
                <w:color w:val="000000" w:themeColor="text1"/>
                <w:szCs w:val="21"/>
                <w:highlight w:val="none"/>
              </w:rPr>
              <w:t>1.2.8 彩色打印机</w:t>
            </w:r>
          </w:p>
          <w:p>
            <w:pPr>
              <w:rPr>
                <w:bCs/>
                <w:color w:val="000000" w:themeColor="text1"/>
                <w:szCs w:val="21"/>
                <w:highlight w:val="none"/>
              </w:rPr>
            </w:pPr>
            <w:r>
              <w:rPr>
                <w:rFonts w:hint="eastAsia"/>
                <w:bCs/>
                <w:color w:val="000000" w:themeColor="text1"/>
                <w:szCs w:val="21"/>
                <w:highlight w:val="none"/>
              </w:rPr>
              <w:t>配置要求:</w:t>
            </w:r>
          </w:p>
          <w:p>
            <w:pPr>
              <w:rPr>
                <w:bCs/>
                <w:color w:val="000000" w:themeColor="text1"/>
                <w:szCs w:val="21"/>
                <w:highlight w:val="none"/>
              </w:rPr>
            </w:pPr>
            <w:r>
              <w:rPr>
                <w:rFonts w:hint="eastAsia"/>
                <w:bCs/>
                <w:color w:val="000000" w:themeColor="text1"/>
                <w:szCs w:val="21"/>
                <w:highlight w:val="none"/>
              </w:rPr>
              <w:tab/>
            </w:r>
            <w:r>
              <w:rPr>
                <w:rFonts w:hint="eastAsia"/>
                <w:bCs/>
                <w:color w:val="000000" w:themeColor="text1"/>
                <w:szCs w:val="21"/>
                <w:highlight w:val="none"/>
              </w:rPr>
              <w:t>1.最大打印幅面A4；</w:t>
            </w:r>
          </w:p>
          <w:p>
            <w:pPr>
              <w:rPr>
                <w:bCs/>
                <w:color w:val="000000" w:themeColor="text1"/>
                <w:szCs w:val="21"/>
                <w:highlight w:val="none"/>
              </w:rPr>
            </w:pPr>
            <w:r>
              <w:rPr>
                <w:rFonts w:hint="eastAsia"/>
                <w:bCs/>
                <w:color w:val="000000" w:themeColor="text1"/>
                <w:szCs w:val="21"/>
                <w:highlight w:val="none"/>
              </w:rPr>
              <w:tab/>
            </w:r>
            <w:r>
              <w:rPr>
                <w:rFonts w:hint="eastAsia"/>
                <w:bCs/>
                <w:color w:val="000000" w:themeColor="text1"/>
                <w:szCs w:val="21"/>
                <w:highlight w:val="none"/>
              </w:rPr>
              <w:t>2.耗材类型：鼓粉分离；</w:t>
            </w:r>
          </w:p>
          <w:p>
            <w:pPr>
              <w:rPr>
                <w:bCs/>
                <w:color w:val="000000" w:themeColor="text1"/>
                <w:szCs w:val="21"/>
                <w:highlight w:val="none"/>
              </w:rPr>
            </w:pPr>
            <w:r>
              <w:rPr>
                <w:rFonts w:hint="eastAsia"/>
                <w:bCs/>
                <w:color w:val="000000" w:themeColor="text1"/>
                <w:szCs w:val="21"/>
                <w:highlight w:val="none"/>
              </w:rPr>
              <w:tab/>
            </w:r>
            <w:r>
              <w:rPr>
                <w:rFonts w:hint="eastAsia"/>
                <w:bCs/>
                <w:color w:val="000000" w:themeColor="text1"/>
                <w:szCs w:val="21"/>
                <w:highlight w:val="none"/>
              </w:rPr>
              <w:t>3.支持纸盒扩展。</w:t>
            </w:r>
          </w:p>
          <w:p>
            <w:pPr>
              <w:rPr>
                <w:bCs/>
                <w:color w:val="000000" w:themeColor="text1"/>
                <w:szCs w:val="21"/>
                <w:highlight w:val="none"/>
              </w:rPr>
            </w:pPr>
            <w:r>
              <w:rPr>
                <w:rFonts w:hint="eastAsia"/>
                <w:bCs/>
                <w:color w:val="000000" w:themeColor="text1"/>
                <w:szCs w:val="21"/>
                <w:highlight w:val="none"/>
              </w:rPr>
              <w:t>功能说明:</w:t>
            </w:r>
          </w:p>
          <w:p>
            <w:pPr>
              <w:rPr>
                <w:bCs/>
                <w:color w:val="000000" w:themeColor="text1"/>
                <w:szCs w:val="21"/>
                <w:highlight w:val="none"/>
              </w:rPr>
            </w:pPr>
            <w:r>
              <w:rPr>
                <w:rFonts w:hint="eastAsia"/>
                <w:bCs/>
                <w:color w:val="000000" w:themeColor="text1"/>
                <w:szCs w:val="21"/>
                <w:highlight w:val="none"/>
              </w:rPr>
              <w:tab/>
            </w:r>
            <w:r>
              <w:rPr>
                <w:rFonts w:hint="eastAsia"/>
                <w:bCs/>
                <w:color w:val="000000" w:themeColor="text1"/>
                <w:szCs w:val="21"/>
                <w:highlight w:val="none"/>
              </w:rPr>
              <w:t>1.用于材料打印，可以直接打印红色印章；</w:t>
            </w:r>
          </w:p>
          <w:p>
            <w:pPr>
              <w:rPr>
                <w:bCs/>
                <w:color w:val="000000" w:themeColor="text1"/>
                <w:szCs w:val="21"/>
                <w:highlight w:val="none"/>
              </w:rPr>
            </w:pPr>
            <w:r>
              <w:rPr>
                <w:rFonts w:hint="eastAsia"/>
                <w:bCs/>
                <w:color w:val="000000" w:themeColor="text1"/>
                <w:szCs w:val="21"/>
                <w:highlight w:val="none"/>
              </w:rPr>
              <w:tab/>
            </w:r>
            <w:r>
              <w:rPr>
                <w:rFonts w:hint="eastAsia"/>
                <w:bCs/>
                <w:color w:val="000000" w:themeColor="text1"/>
                <w:szCs w:val="21"/>
                <w:highlight w:val="none"/>
              </w:rPr>
              <w:t>2.支持缺纸、缺墨等状态采集，通过自助终端管理系统，监控打印机状态，报警提醒，及时维护。</w:t>
            </w:r>
          </w:p>
          <w:p>
            <w:pPr>
              <w:rPr>
                <w:bCs/>
                <w:color w:val="000000" w:themeColor="text1"/>
                <w:szCs w:val="21"/>
                <w:highlight w:val="none"/>
              </w:rPr>
            </w:pPr>
            <w:r>
              <w:rPr>
                <w:rFonts w:hint="eastAsia"/>
                <w:bCs/>
                <w:color w:val="000000" w:themeColor="text1"/>
                <w:szCs w:val="21"/>
                <w:highlight w:val="none"/>
              </w:rPr>
              <w:tab/>
            </w:r>
            <w:r>
              <w:rPr>
                <w:rFonts w:hint="eastAsia"/>
                <w:bCs/>
                <w:color w:val="000000" w:themeColor="text1"/>
                <w:szCs w:val="21"/>
                <w:highlight w:val="none"/>
              </w:rPr>
              <w:t>3.打印速度快，纸盒可扩展，满足自助打印等业务需求。</w:t>
            </w:r>
          </w:p>
          <w:p>
            <w:pPr>
              <w:rPr>
                <w:bCs/>
                <w:color w:val="000000" w:themeColor="text1"/>
                <w:szCs w:val="21"/>
                <w:highlight w:val="none"/>
              </w:rPr>
            </w:pPr>
          </w:p>
          <w:p>
            <w:pPr>
              <w:rPr>
                <w:b/>
                <w:bCs/>
                <w:color w:val="000000" w:themeColor="text1"/>
                <w:szCs w:val="21"/>
                <w:highlight w:val="none"/>
              </w:rPr>
            </w:pPr>
            <w:r>
              <w:rPr>
                <w:rFonts w:hint="eastAsia"/>
                <w:b/>
                <w:bCs/>
                <w:color w:val="000000" w:themeColor="text1"/>
                <w:szCs w:val="21"/>
                <w:highlight w:val="none"/>
              </w:rPr>
              <w:t>1.2.9 指纹识别器</w:t>
            </w:r>
          </w:p>
          <w:p>
            <w:pPr>
              <w:rPr>
                <w:bCs/>
                <w:color w:val="000000" w:themeColor="text1"/>
                <w:szCs w:val="21"/>
                <w:highlight w:val="none"/>
              </w:rPr>
            </w:pPr>
            <w:r>
              <w:rPr>
                <w:rFonts w:hint="eastAsia"/>
                <w:bCs/>
                <w:color w:val="000000" w:themeColor="text1"/>
                <w:szCs w:val="21"/>
                <w:highlight w:val="none"/>
              </w:rPr>
              <w:t>配置要求:</w:t>
            </w:r>
          </w:p>
          <w:p>
            <w:pPr>
              <w:rPr>
                <w:bCs/>
                <w:color w:val="000000" w:themeColor="text1"/>
                <w:szCs w:val="21"/>
                <w:highlight w:val="none"/>
              </w:rPr>
            </w:pPr>
            <w:r>
              <w:rPr>
                <w:rFonts w:hint="eastAsia"/>
                <w:bCs/>
                <w:color w:val="000000" w:themeColor="text1"/>
                <w:szCs w:val="21"/>
                <w:highlight w:val="none"/>
              </w:rPr>
              <w:tab/>
            </w:r>
            <w:r>
              <w:rPr>
                <w:rFonts w:hint="eastAsia"/>
                <w:bCs/>
                <w:color w:val="000000" w:themeColor="text1"/>
                <w:szCs w:val="21"/>
                <w:highlight w:val="none"/>
              </w:rPr>
              <w:t>1.通过市民指纹实现登录认证。</w:t>
            </w:r>
          </w:p>
          <w:p>
            <w:pPr>
              <w:rPr>
                <w:bCs/>
                <w:color w:val="000000" w:themeColor="text1"/>
                <w:szCs w:val="21"/>
                <w:highlight w:val="none"/>
              </w:rPr>
            </w:pPr>
            <w:r>
              <w:rPr>
                <w:rFonts w:hint="eastAsia"/>
                <w:bCs/>
                <w:color w:val="000000" w:themeColor="text1"/>
                <w:szCs w:val="21"/>
                <w:highlight w:val="none"/>
              </w:rPr>
              <w:tab/>
            </w:r>
            <w:r>
              <w:rPr>
                <w:rFonts w:hint="eastAsia"/>
                <w:bCs/>
                <w:color w:val="000000" w:themeColor="text1"/>
                <w:szCs w:val="21"/>
                <w:highlight w:val="none"/>
              </w:rPr>
              <w:t>2.传感器类型：电容、活体、面状。</w:t>
            </w:r>
          </w:p>
          <w:p>
            <w:pPr>
              <w:rPr>
                <w:bCs/>
                <w:color w:val="000000" w:themeColor="text1"/>
                <w:szCs w:val="21"/>
                <w:highlight w:val="none"/>
              </w:rPr>
            </w:pPr>
            <w:r>
              <w:rPr>
                <w:rFonts w:hint="eastAsia"/>
                <w:bCs/>
                <w:color w:val="000000" w:themeColor="text1"/>
                <w:szCs w:val="21"/>
                <w:highlight w:val="none"/>
              </w:rPr>
              <w:t>功能说明:</w:t>
            </w:r>
          </w:p>
          <w:p>
            <w:pPr>
              <w:rPr>
                <w:bCs/>
                <w:color w:val="000000" w:themeColor="text1"/>
                <w:szCs w:val="21"/>
                <w:highlight w:val="none"/>
              </w:rPr>
            </w:pPr>
            <w:r>
              <w:rPr>
                <w:rFonts w:hint="eastAsia"/>
                <w:bCs/>
                <w:color w:val="000000" w:themeColor="text1"/>
                <w:szCs w:val="21"/>
                <w:highlight w:val="none"/>
              </w:rPr>
              <w:tab/>
            </w:r>
            <w:r>
              <w:rPr>
                <w:rFonts w:hint="eastAsia"/>
                <w:bCs/>
                <w:color w:val="000000" w:themeColor="text1"/>
                <w:szCs w:val="21"/>
                <w:highlight w:val="none"/>
              </w:rPr>
              <w:t>1.指纹签名，活体检测，身份核验，防止抵赖；</w:t>
            </w:r>
          </w:p>
          <w:p>
            <w:pPr>
              <w:rPr>
                <w:bCs/>
                <w:color w:val="000000" w:themeColor="text1"/>
                <w:szCs w:val="21"/>
                <w:highlight w:val="none"/>
              </w:rPr>
            </w:pPr>
            <w:r>
              <w:rPr>
                <w:rFonts w:hint="eastAsia"/>
                <w:bCs/>
                <w:color w:val="000000" w:themeColor="text1"/>
                <w:szCs w:val="21"/>
                <w:highlight w:val="none"/>
              </w:rPr>
              <w:tab/>
            </w:r>
            <w:r>
              <w:rPr>
                <w:rFonts w:hint="eastAsia"/>
                <w:bCs/>
                <w:color w:val="000000" w:themeColor="text1"/>
                <w:szCs w:val="21"/>
                <w:highlight w:val="none"/>
              </w:rPr>
              <w:t>2.面状指纹器，处理速度快，便于用户快速录入指纹。</w:t>
            </w:r>
          </w:p>
          <w:p>
            <w:pPr>
              <w:rPr>
                <w:bCs/>
                <w:color w:val="000000" w:themeColor="text1"/>
                <w:szCs w:val="21"/>
                <w:highlight w:val="none"/>
              </w:rPr>
            </w:pPr>
          </w:p>
          <w:p>
            <w:pPr>
              <w:rPr>
                <w:b/>
                <w:bCs/>
                <w:color w:val="000000" w:themeColor="text1"/>
                <w:szCs w:val="21"/>
                <w:highlight w:val="none"/>
              </w:rPr>
            </w:pPr>
            <w:r>
              <w:rPr>
                <w:rFonts w:hint="eastAsia"/>
                <w:b/>
                <w:bCs/>
                <w:color w:val="000000" w:themeColor="text1"/>
                <w:szCs w:val="21"/>
                <w:highlight w:val="none"/>
              </w:rPr>
              <w:t>1.2.10 活体双目摄像头</w:t>
            </w:r>
          </w:p>
          <w:p>
            <w:pPr>
              <w:rPr>
                <w:bCs/>
                <w:color w:val="000000" w:themeColor="text1"/>
                <w:szCs w:val="21"/>
                <w:highlight w:val="none"/>
              </w:rPr>
            </w:pPr>
            <w:r>
              <w:rPr>
                <w:rFonts w:hint="eastAsia"/>
                <w:bCs/>
                <w:color w:val="000000" w:themeColor="text1"/>
                <w:szCs w:val="21"/>
                <w:highlight w:val="none"/>
              </w:rPr>
              <w:t>配置要求:</w:t>
            </w:r>
          </w:p>
          <w:p>
            <w:pPr>
              <w:rPr>
                <w:bCs/>
                <w:color w:val="000000" w:themeColor="text1"/>
                <w:szCs w:val="21"/>
                <w:highlight w:val="none"/>
              </w:rPr>
            </w:pPr>
            <w:r>
              <w:rPr>
                <w:rFonts w:hint="eastAsia"/>
                <w:bCs/>
                <w:color w:val="000000" w:themeColor="text1"/>
                <w:szCs w:val="21"/>
                <w:highlight w:val="none"/>
              </w:rPr>
              <w:tab/>
            </w:r>
            <w:r>
              <w:rPr>
                <w:rFonts w:hint="eastAsia"/>
                <w:bCs/>
                <w:color w:val="000000" w:themeColor="text1"/>
                <w:szCs w:val="21"/>
                <w:highlight w:val="none"/>
              </w:rPr>
              <w:t>1.双模摄像头：近红外和可见光；</w:t>
            </w:r>
          </w:p>
          <w:p>
            <w:pPr>
              <w:rPr>
                <w:bCs/>
                <w:color w:val="000000" w:themeColor="text1"/>
                <w:szCs w:val="21"/>
                <w:highlight w:val="none"/>
              </w:rPr>
            </w:pPr>
            <w:r>
              <w:rPr>
                <w:rFonts w:hint="eastAsia"/>
                <w:bCs/>
                <w:color w:val="000000" w:themeColor="text1"/>
                <w:szCs w:val="21"/>
                <w:highlight w:val="none"/>
              </w:rPr>
              <w:tab/>
            </w:r>
            <w:r>
              <w:rPr>
                <w:rFonts w:hint="eastAsia"/>
                <w:bCs/>
                <w:color w:val="000000" w:themeColor="text1"/>
                <w:szCs w:val="21"/>
                <w:highlight w:val="none"/>
              </w:rPr>
              <w:t>2.像素：200万及以上；</w:t>
            </w:r>
          </w:p>
          <w:p>
            <w:pPr>
              <w:rPr>
                <w:bCs/>
                <w:color w:val="000000" w:themeColor="text1"/>
                <w:szCs w:val="21"/>
                <w:highlight w:val="none"/>
              </w:rPr>
            </w:pPr>
            <w:r>
              <w:rPr>
                <w:rFonts w:hint="eastAsia"/>
                <w:bCs/>
                <w:color w:val="000000" w:themeColor="text1"/>
                <w:szCs w:val="21"/>
                <w:highlight w:val="none"/>
              </w:rPr>
              <w:tab/>
            </w:r>
            <w:r>
              <w:rPr>
                <w:rFonts w:hint="eastAsia"/>
                <w:bCs/>
                <w:color w:val="000000" w:themeColor="text1"/>
                <w:szCs w:val="21"/>
                <w:highlight w:val="none"/>
              </w:rPr>
              <w:t>3.识别距离：30-120CM。</w:t>
            </w:r>
          </w:p>
          <w:p>
            <w:pPr>
              <w:rPr>
                <w:bCs/>
                <w:color w:val="000000" w:themeColor="text1"/>
                <w:szCs w:val="21"/>
                <w:highlight w:val="none"/>
              </w:rPr>
            </w:pPr>
            <w:r>
              <w:rPr>
                <w:rFonts w:hint="eastAsia"/>
                <w:bCs/>
                <w:color w:val="000000" w:themeColor="text1"/>
                <w:szCs w:val="21"/>
                <w:highlight w:val="none"/>
              </w:rPr>
              <w:t>功能说明:</w:t>
            </w:r>
          </w:p>
          <w:p>
            <w:pPr>
              <w:rPr>
                <w:bCs/>
                <w:color w:val="000000" w:themeColor="text1"/>
                <w:szCs w:val="21"/>
                <w:highlight w:val="none"/>
              </w:rPr>
            </w:pPr>
            <w:r>
              <w:rPr>
                <w:rFonts w:hint="eastAsia"/>
                <w:bCs/>
                <w:color w:val="000000" w:themeColor="text1"/>
                <w:szCs w:val="21"/>
                <w:highlight w:val="none"/>
              </w:rPr>
              <w:tab/>
            </w:r>
            <w:r>
              <w:rPr>
                <w:rFonts w:hint="eastAsia"/>
                <w:bCs/>
                <w:color w:val="000000" w:themeColor="text1"/>
                <w:szCs w:val="21"/>
                <w:highlight w:val="none"/>
              </w:rPr>
              <w:t>1.人脸识别，人证比对，活体检测，对办事人进行身份核验；</w:t>
            </w:r>
          </w:p>
          <w:p>
            <w:pPr>
              <w:rPr>
                <w:bCs/>
                <w:color w:val="000000" w:themeColor="text1"/>
                <w:szCs w:val="21"/>
                <w:highlight w:val="none"/>
              </w:rPr>
            </w:pPr>
            <w:r>
              <w:rPr>
                <w:rFonts w:hint="eastAsia"/>
                <w:bCs/>
                <w:color w:val="000000" w:themeColor="text1"/>
                <w:szCs w:val="21"/>
                <w:highlight w:val="none"/>
              </w:rPr>
              <w:tab/>
            </w:r>
            <w:r>
              <w:rPr>
                <w:rFonts w:hint="eastAsia"/>
                <w:bCs/>
                <w:color w:val="000000" w:themeColor="text1"/>
                <w:szCs w:val="21"/>
                <w:highlight w:val="none"/>
              </w:rPr>
              <w:t>2.摄像头可上下调节，办事人可调整拍照范围，易用性高。</w:t>
            </w:r>
          </w:p>
          <w:p>
            <w:pPr>
              <w:rPr>
                <w:b/>
                <w:bCs/>
                <w:color w:val="000000" w:themeColor="text1"/>
                <w:szCs w:val="21"/>
                <w:highlight w:val="none"/>
              </w:rPr>
            </w:pPr>
            <w:r>
              <w:rPr>
                <w:rFonts w:hint="eastAsia"/>
                <w:b/>
                <w:bCs/>
                <w:color w:val="000000" w:themeColor="text1"/>
                <w:szCs w:val="21"/>
                <w:highlight w:val="none"/>
              </w:rPr>
              <w:t>▲具备国家级权威信息安全测试机构提供的安全测评报告；（报告为以下三个检测机构之一所出具，均符合要求，提供评测报告复印件）</w:t>
            </w:r>
          </w:p>
          <w:p>
            <w:pPr>
              <w:rPr>
                <w:b/>
                <w:bCs/>
                <w:color w:val="000000" w:themeColor="text1"/>
                <w:szCs w:val="21"/>
                <w:highlight w:val="none"/>
              </w:rPr>
            </w:pPr>
            <w:r>
              <w:rPr>
                <w:rFonts w:hint="eastAsia"/>
                <w:b/>
                <w:bCs/>
                <w:color w:val="000000" w:themeColor="text1"/>
                <w:szCs w:val="21"/>
                <w:highlight w:val="none"/>
              </w:rPr>
              <w:t>中国信息安全评测中心、信息产业信息安全测评中心（原信息产业部计算机安全技术检测中心）、公安部安全与警用电子产品质量检测中心；</w:t>
            </w:r>
          </w:p>
          <w:p>
            <w:pPr>
              <w:rPr>
                <w:bCs/>
                <w:color w:val="000000" w:themeColor="text1"/>
                <w:szCs w:val="21"/>
                <w:highlight w:val="none"/>
              </w:rPr>
            </w:pPr>
          </w:p>
          <w:p>
            <w:pPr>
              <w:rPr>
                <w:b/>
                <w:bCs/>
                <w:color w:val="000000" w:themeColor="text1"/>
                <w:szCs w:val="21"/>
                <w:highlight w:val="none"/>
              </w:rPr>
            </w:pPr>
            <w:r>
              <w:rPr>
                <w:rFonts w:hint="eastAsia"/>
                <w:b/>
                <w:bCs/>
                <w:color w:val="000000" w:themeColor="text1"/>
                <w:szCs w:val="21"/>
                <w:highlight w:val="none"/>
              </w:rPr>
              <w:t>1.2.11 热敏打印机</w:t>
            </w:r>
          </w:p>
          <w:p>
            <w:pPr>
              <w:rPr>
                <w:bCs/>
                <w:color w:val="000000" w:themeColor="text1"/>
                <w:szCs w:val="21"/>
                <w:highlight w:val="none"/>
              </w:rPr>
            </w:pPr>
            <w:r>
              <w:rPr>
                <w:rFonts w:hint="eastAsia"/>
                <w:bCs/>
                <w:color w:val="000000" w:themeColor="text1"/>
                <w:szCs w:val="21"/>
                <w:highlight w:val="none"/>
              </w:rPr>
              <w:t>配置要求：</w:t>
            </w:r>
          </w:p>
          <w:p>
            <w:pPr>
              <w:rPr>
                <w:bCs/>
                <w:color w:val="000000" w:themeColor="text1"/>
                <w:szCs w:val="21"/>
                <w:highlight w:val="none"/>
              </w:rPr>
            </w:pPr>
            <w:r>
              <w:rPr>
                <w:rFonts w:hint="eastAsia"/>
                <w:bCs/>
                <w:color w:val="000000" w:themeColor="text1"/>
                <w:szCs w:val="21"/>
                <w:highlight w:val="none"/>
              </w:rPr>
              <w:tab/>
            </w:r>
            <w:r>
              <w:rPr>
                <w:rFonts w:hint="eastAsia"/>
                <w:bCs/>
                <w:color w:val="000000" w:themeColor="text1"/>
                <w:szCs w:val="21"/>
                <w:highlight w:val="none"/>
              </w:rPr>
              <w:t>1.纸宽不小于80mm，高速、长寿命热敏打印机，带自动裁纸器；</w:t>
            </w:r>
          </w:p>
          <w:p>
            <w:pPr>
              <w:rPr>
                <w:bCs/>
                <w:color w:val="000000" w:themeColor="text1"/>
                <w:szCs w:val="21"/>
                <w:highlight w:val="none"/>
              </w:rPr>
            </w:pPr>
            <w:r>
              <w:rPr>
                <w:rFonts w:hint="eastAsia"/>
                <w:bCs/>
                <w:color w:val="000000" w:themeColor="text1"/>
                <w:szCs w:val="21"/>
                <w:highlight w:val="none"/>
              </w:rPr>
              <w:tab/>
            </w:r>
            <w:r>
              <w:rPr>
                <w:rFonts w:hint="eastAsia"/>
                <w:bCs/>
                <w:color w:val="000000" w:themeColor="text1"/>
                <w:szCs w:val="21"/>
                <w:highlight w:val="none"/>
              </w:rPr>
              <w:t>2.具备缺纸检测传感器；</w:t>
            </w:r>
          </w:p>
          <w:p>
            <w:pPr>
              <w:rPr>
                <w:bCs/>
                <w:color w:val="000000" w:themeColor="text1"/>
                <w:szCs w:val="21"/>
                <w:highlight w:val="none"/>
              </w:rPr>
            </w:pPr>
            <w:r>
              <w:rPr>
                <w:rFonts w:hint="eastAsia"/>
                <w:bCs/>
                <w:color w:val="000000" w:themeColor="text1"/>
                <w:szCs w:val="21"/>
                <w:highlight w:val="none"/>
              </w:rPr>
              <w:tab/>
            </w:r>
            <w:r>
              <w:rPr>
                <w:rFonts w:hint="eastAsia"/>
                <w:bCs/>
                <w:color w:val="000000" w:themeColor="text1"/>
                <w:szCs w:val="21"/>
                <w:highlight w:val="none"/>
              </w:rPr>
              <w:t>3.具备标记探测光电传感器；</w:t>
            </w:r>
          </w:p>
          <w:p>
            <w:pPr>
              <w:rPr>
                <w:bCs/>
                <w:color w:val="000000" w:themeColor="text1"/>
                <w:szCs w:val="21"/>
                <w:highlight w:val="none"/>
              </w:rPr>
            </w:pPr>
            <w:r>
              <w:rPr>
                <w:rFonts w:hint="eastAsia"/>
                <w:bCs/>
                <w:color w:val="000000" w:themeColor="text1"/>
                <w:szCs w:val="21"/>
                <w:highlight w:val="none"/>
              </w:rPr>
              <w:tab/>
            </w:r>
            <w:r>
              <w:rPr>
                <w:rFonts w:hint="eastAsia"/>
                <w:bCs/>
                <w:color w:val="000000" w:themeColor="text1"/>
                <w:szCs w:val="21"/>
                <w:highlight w:val="none"/>
              </w:rPr>
              <w:t>4.具备纸将近传感器；</w:t>
            </w:r>
          </w:p>
          <w:p>
            <w:pPr>
              <w:rPr>
                <w:bCs/>
                <w:color w:val="000000" w:themeColor="text1"/>
                <w:szCs w:val="21"/>
                <w:highlight w:val="none"/>
              </w:rPr>
            </w:pPr>
            <w:r>
              <w:rPr>
                <w:rFonts w:hint="eastAsia"/>
                <w:bCs/>
                <w:color w:val="000000" w:themeColor="text1"/>
                <w:szCs w:val="21"/>
                <w:highlight w:val="none"/>
              </w:rPr>
              <w:t>功能说明：</w:t>
            </w:r>
          </w:p>
          <w:p>
            <w:pPr>
              <w:rPr>
                <w:bCs/>
                <w:color w:val="000000" w:themeColor="text1"/>
                <w:szCs w:val="21"/>
                <w:highlight w:val="none"/>
              </w:rPr>
            </w:pPr>
            <w:r>
              <w:rPr>
                <w:rFonts w:hint="eastAsia"/>
                <w:bCs/>
                <w:color w:val="000000" w:themeColor="text1"/>
                <w:szCs w:val="21"/>
                <w:highlight w:val="none"/>
              </w:rPr>
              <w:tab/>
            </w:r>
            <w:r>
              <w:rPr>
                <w:rFonts w:hint="eastAsia"/>
                <w:bCs/>
                <w:color w:val="000000" w:themeColor="text1"/>
                <w:szCs w:val="21"/>
                <w:highlight w:val="none"/>
              </w:rPr>
              <w:t>1.用于业务办理完成的凭条打印；</w:t>
            </w:r>
          </w:p>
          <w:p>
            <w:pPr>
              <w:rPr>
                <w:bCs/>
                <w:color w:val="000000" w:themeColor="text1"/>
                <w:szCs w:val="21"/>
                <w:highlight w:val="none"/>
              </w:rPr>
            </w:pPr>
            <w:r>
              <w:rPr>
                <w:rFonts w:hint="eastAsia"/>
                <w:bCs/>
                <w:color w:val="000000" w:themeColor="text1"/>
                <w:szCs w:val="21"/>
                <w:highlight w:val="none"/>
              </w:rPr>
              <w:tab/>
            </w:r>
            <w:r>
              <w:rPr>
                <w:rFonts w:hint="eastAsia"/>
                <w:bCs/>
                <w:color w:val="000000" w:themeColor="text1"/>
                <w:szCs w:val="21"/>
                <w:highlight w:val="none"/>
              </w:rPr>
              <w:t>2.高速打印，内容清晰，具备状态检测功能，便于维护。</w:t>
            </w:r>
          </w:p>
          <w:p>
            <w:pPr>
              <w:rPr>
                <w:bCs/>
                <w:color w:val="000000" w:themeColor="text1"/>
                <w:szCs w:val="21"/>
                <w:highlight w:val="none"/>
              </w:rPr>
            </w:pPr>
          </w:p>
          <w:p>
            <w:pPr>
              <w:rPr>
                <w:b/>
                <w:bCs/>
                <w:color w:val="000000" w:themeColor="text1"/>
                <w:szCs w:val="21"/>
                <w:highlight w:val="none"/>
              </w:rPr>
            </w:pPr>
            <w:r>
              <w:rPr>
                <w:rFonts w:hint="eastAsia"/>
                <w:b/>
                <w:bCs/>
                <w:color w:val="000000" w:themeColor="text1"/>
                <w:szCs w:val="21"/>
                <w:highlight w:val="none"/>
              </w:rPr>
              <w:t>1.2.12</w:t>
            </w:r>
            <w:r>
              <w:rPr>
                <w:rFonts w:hint="eastAsia"/>
                <w:b/>
                <w:bCs/>
                <w:color w:val="000000" w:themeColor="text1"/>
                <w:szCs w:val="21"/>
                <w:highlight w:val="none"/>
              </w:rPr>
              <w:tab/>
            </w:r>
            <w:r>
              <w:rPr>
                <w:rFonts w:hint="eastAsia"/>
                <w:b/>
                <w:bCs/>
                <w:color w:val="000000" w:themeColor="text1"/>
                <w:szCs w:val="21"/>
                <w:highlight w:val="none"/>
              </w:rPr>
              <w:t>二代身份证阅读器</w:t>
            </w:r>
          </w:p>
          <w:p>
            <w:pPr>
              <w:rPr>
                <w:bCs/>
                <w:color w:val="000000" w:themeColor="text1"/>
                <w:szCs w:val="21"/>
                <w:highlight w:val="none"/>
              </w:rPr>
            </w:pPr>
            <w:r>
              <w:rPr>
                <w:rFonts w:hint="eastAsia"/>
                <w:bCs/>
                <w:color w:val="000000" w:themeColor="text1"/>
                <w:szCs w:val="21"/>
                <w:highlight w:val="none"/>
              </w:rPr>
              <w:t>配置要求：</w:t>
            </w:r>
          </w:p>
          <w:p>
            <w:pPr>
              <w:rPr>
                <w:bCs/>
                <w:color w:val="000000" w:themeColor="text1"/>
                <w:szCs w:val="21"/>
                <w:highlight w:val="none"/>
              </w:rPr>
            </w:pPr>
            <w:r>
              <w:rPr>
                <w:rFonts w:hint="eastAsia"/>
                <w:bCs/>
                <w:color w:val="000000" w:themeColor="text1"/>
                <w:szCs w:val="21"/>
                <w:highlight w:val="none"/>
              </w:rPr>
              <w:tab/>
            </w:r>
            <w:r>
              <w:rPr>
                <w:rFonts w:hint="eastAsia"/>
                <w:bCs/>
                <w:color w:val="000000" w:themeColor="text1"/>
                <w:szCs w:val="21"/>
                <w:highlight w:val="none"/>
              </w:rPr>
              <w:t>1.符合二代居民身份证包括最新一代居民身份证鉴别仪通用技术要求，能够读取目前所有二代身份证信息；</w:t>
            </w:r>
          </w:p>
          <w:p>
            <w:pPr>
              <w:rPr>
                <w:b/>
                <w:bCs/>
                <w:color w:val="000000" w:themeColor="text1"/>
                <w:szCs w:val="21"/>
                <w:highlight w:val="none"/>
              </w:rPr>
            </w:pPr>
            <w:r>
              <w:rPr>
                <w:rFonts w:hint="eastAsia"/>
                <w:bCs/>
                <w:color w:val="000000" w:themeColor="text1"/>
                <w:szCs w:val="21"/>
                <w:highlight w:val="none"/>
              </w:rPr>
              <w:tab/>
            </w:r>
            <w:r>
              <w:rPr>
                <w:rFonts w:hint="eastAsia"/>
                <w:bCs/>
                <w:color w:val="000000" w:themeColor="text1"/>
                <w:szCs w:val="21"/>
                <w:highlight w:val="none"/>
              </w:rPr>
              <w:t>2. ▲具备公安部认证证书</w:t>
            </w:r>
            <w:r>
              <w:rPr>
                <w:rFonts w:hint="eastAsia"/>
                <w:b/>
                <w:bCs/>
                <w:color w:val="000000" w:themeColor="text1"/>
                <w:szCs w:val="21"/>
                <w:highlight w:val="none"/>
              </w:rPr>
              <w:t>（报告为以下三个检测机构之一所出具，均符合要求，提供评测报告复印件）中国信息安全评测中心、信息产业信息安全测评中心（原信息产业部计算机安全技术检测中心）、公安部安全与警用电子产品质量检测中心；</w:t>
            </w:r>
          </w:p>
          <w:p>
            <w:pPr>
              <w:rPr>
                <w:bCs/>
                <w:color w:val="000000" w:themeColor="text1"/>
                <w:szCs w:val="21"/>
                <w:highlight w:val="none"/>
              </w:rPr>
            </w:pPr>
            <w:r>
              <w:rPr>
                <w:rFonts w:hint="eastAsia"/>
                <w:bCs/>
                <w:color w:val="000000" w:themeColor="text1"/>
                <w:szCs w:val="21"/>
                <w:highlight w:val="none"/>
              </w:rPr>
              <w:t>；</w:t>
            </w:r>
          </w:p>
          <w:p>
            <w:pPr>
              <w:rPr>
                <w:bCs/>
                <w:color w:val="000000" w:themeColor="text1"/>
                <w:szCs w:val="21"/>
                <w:highlight w:val="none"/>
              </w:rPr>
            </w:pPr>
            <w:r>
              <w:rPr>
                <w:rFonts w:hint="eastAsia"/>
                <w:bCs/>
                <w:color w:val="000000" w:themeColor="text1"/>
                <w:szCs w:val="21"/>
                <w:highlight w:val="none"/>
              </w:rPr>
              <w:t>功能说明：</w:t>
            </w:r>
          </w:p>
          <w:p>
            <w:pPr>
              <w:rPr>
                <w:bCs/>
                <w:color w:val="000000" w:themeColor="text1"/>
                <w:szCs w:val="21"/>
                <w:highlight w:val="none"/>
              </w:rPr>
            </w:pPr>
            <w:r>
              <w:rPr>
                <w:rFonts w:hint="eastAsia"/>
                <w:bCs/>
                <w:color w:val="000000" w:themeColor="text1"/>
                <w:szCs w:val="21"/>
                <w:highlight w:val="none"/>
              </w:rPr>
              <w:tab/>
            </w:r>
            <w:r>
              <w:rPr>
                <w:rFonts w:hint="eastAsia"/>
                <w:bCs/>
                <w:color w:val="000000" w:themeColor="text1"/>
                <w:szCs w:val="21"/>
                <w:highlight w:val="none"/>
              </w:rPr>
              <w:t>1.用于识别二代身份证；</w:t>
            </w:r>
          </w:p>
          <w:p>
            <w:pPr>
              <w:rPr>
                <w:bCs/>
                <w:color w:val="000000" w:themeColor="text1"/>
                <w:szCs w:val="21"/>
                <w:highlight w:val="none"/>
              </w:rPr>
            </w:pPr>
            <w:r>
              <w:rPr>
                <w:rFonts w:hint="eastAsia"/>
                <w:bCs/>
                <w:color w:val="000000" w:themeColor="text1"/>
                <w:szCs w:val="21"/>
                <w:highlight w:val="none"/>
              </w:rPr>
              <w:tab/>
            </w:r>
            <w:r>
              <w:rPr>
                <w:rFonts w:hint="eastAsia"/>
                <w:bCs/>
                <w:color w:val="000000" w:themeColor="text1"/>
                <w:szCs w:val="21"/>
                <w:highlight w:val="none"/>
              </w:rPr>
              <w:t>2.具备公安部认证证书，读取速度快，人证比对，身份核验。</w:t>
            </w:r>
          </w:p>
          <w:p>
            <w:pPr>
              <w:rPr>
                <w:bCs/>
                <w:color w:val="000000" w:themeColor="text1"/>
                <w:szCs w:val="21"/>
                <w:highlight w:val="none"/>
              </w:rPr>
            </w:pPr>
          </w:p>
          <w:p>
            <w:pPr>
              <w:rPr>
                <w:b/>
                <w:bCs/>
                <w:color w:val="000000" w:themeColor="text1"/>
                <w:szCs w:val="21"/>
                <w:highlight w:val="none"/>
              </w:rPr>
            </w:pPr>
            <w:r>
              <w:rPr>
                <w:rFonts w:hint="eastAsia"/>
                <w:b/>
                <w:bCs/>
                <w:color w:val="000000" w:themeColor="text1"/>
                <w:szCs w:val="21"/>
                <w:highlight w:val="none"/>
              </w:rPr>
              <w:t>1.2.13</w:t>
            </w:r>
            <w:r>
              <w:rPr>
                <w:rFonts w:hint="eastAsia"/>
                <w:b/>
                <w:bCs/>
                <w:color w:val="000000" w:themeColor="text1"/>
                <w:szCs w:val="21"/>
                <w:highlight w:val="none"/>
              </w:rPr>
              <w:tab/>
            </w:r>
            <w:r>
              <w:rPr>
                <w:rFonts w:hint="eastAsia"/>
                <w:b/>
                <w:bCs/>
                <w:color w:val="000000" w:themeColor="text1"/>
                <w:szCs w:val="21"/>
                <w:highlight w:val="none"/>
              </w:rPr>
              <w:t>USB病毒隔离设备</w:t>
            </w:r>
          </w:p>
          <w:p>
            <w:pPr>
              <w:rPr>
                <w:bCs/>
                <w:color w:val="000000" w:themeColor="text1"/>
                <w:szCs w:val="21"/>
                <w:highlight w:val="none"/>
              </w:rPr>
            </w:pPr>
            <w:r>
              <w:rPr>
                <w:rFonts w:hint="eastAsia"/>
                <w:bCs/>
                <w:color w:val="000000" w:themeColor="text1"/>
                <w:szCs w:val="21"/>
                <w:highlight w:val="none"/>
              </w:rPr>
              <w:t>配置要求：</w:t>
            </w:r>
          </w:p>
          <w:p>
            <w:pPr>
              <w:rPr>
                <w:bCs/>
                <w:color w:val="000000" w:themeColor="text1"/>
                <w:szCs w:val="21"/>
                <w:highlight w:val="none"/>
              </w:rPr>
            </w:pPr>
            <w:r>
              <w:rPr>
                <w:rFonts w:hint="eastAsia"/>
                <w:bCs/>
                <w:color w:val="000000" w:themeColor="text1"/>
                <w:szCs w:val="21"/>
                <w:highlight w:val="none"/>
              </w:rPr>
              <w:tab/>
            </w:r>
            <w:r>
              <w:rPr>
                <w:rFonts w:hint="eastAsia"/>
                <w:bCs/>
                <w:color w:val="000000" w:themeColor="text1"/>
                <w:szCs w:val="21"/>
                <w:highlight w:val="none"/>
              </w:rPr>
              <w:t>1.具备屏蔽U盘内病毒，可安全接收U盘、USB设备数据；</w:t>
            </w:r>
          </w:p>
          <w:p>
            <w:pPr>
              <w:rPr>
                <w:bCs/>
                <w:color w:val="000000" w:themeColor="text1"/>
                <w:szCs w:val="21"/>
                <w:highlight w:val="none"/>
              </w:rPr>
            </w:pPr>
            <w:r>
              <w:rPr>
                <w:rFonts w:hint="eastAsia"/>
                <w:bCs/>
                <w:color w:val="000000" w:themeColor="text1"/>
                <w:szCs w:val="21"/>
                <w:highlight w:val="none"/>
              </w:rPr>
              <w:tab/>
            </w:r>
            <w:r>
              <w:rPr>
                <w:rFonts w:hint="eastAsia"/>
                <w:bCs/>
                <w:color w:val="000000" w:themeColor="text1"/>
                <w:szCs w:val="21"/>
                <w:highlight w:val="none"/>
              </w:rPr>
              <w:t>2.可有效防范USB接口键盘、鼠标等设备的输入，保障系统安全。</w:t>
            </w:r>
          </w:p>
          <w:p>
            <w:pPr>
              <w:rPr>
                <w:bCs/>
                <w:color w:val="000000" w:themeColor="text1"/>
                <w:szCs w:val="21"/>
                <w:highlight w:val="none"/>
              </w:rPr>
            </w:pPr>
            <w:r>
              <w:rPr>
                <w:rFonts w:hint="eastAsia"/>
                <w:bCs/>
                <w:color w:val="000000" w:themeColor="text1"/>
                <w:szCs w:val="21"/>
                <w:highlight w:val="none"/>
              </w:rPr>
              <w:t>功能说明：</w:t>
            </w:r>
          </w:p>
          <w:p>
            <w:pPr>
              <w:rPr>
                <w:bCs/>
                <w:color w:val="000000" w:themeColor="text1"/>
                <w:szCs w:val="21"/>
                <w:highlight w:val="none"/>
              </w:rPr>
            </w:pPr>
            <w:r>
              <w:rPr>
                <w:rFonts w:hint="eastAsia"/>
                <w:bCs/>
                <w:color w:val="000000" w:themeColor="text1"/>
                <w:szCs w:val="21"/>
                <w:highlight w:val="none"/>
              </w:rPr>
              <w:tab/>
            </w:r>
            <w:r>
              <w:rPr>
                <w:rFonts w:hint="eastAsia"/>
                <w:bCs/>
                <w:color w:val="000000" w:themeColor="text1"/>
                <w:szCs w:val="21"/>
                <w:highlight w:val="none"/>
              </w:rPr>
              <w:t>1.USB介质隔离功能，并有效防范USB设备接入，保障系统安全；</w:t>
            </w:r>
          </w:p>
          <w:p>
            <w:pPr>
              <w:rPr>
                <w:b/>
                <w:bCs/>
                <w:color w:val="000000" w:themeColor="text1"/>
                <w:szCs w:val="21"/>
                <w:highlight w:val="none"/>
              </w:rPr>
            </w:pPr>
            <w:r>
              <w:rPr>
                <w:rFonts w:hint="eastAsia"/>
                <w:b/>
                <w:bCs/>
                <w:color w:val="000000" w:themeColor="text1"/>
                <w:szCs w:val="21"/>
                <w:highlight w:val="none"/>
              </w:rPr>
              <w:t>▲具备国家级权威信息安全测试机构提供的安全测评报告；（报告为以下三个检测机构之一所出具，均符合要求，提供评测报告复印件）</w:t>
            </w:r>
          </w:p>
          <w:p>
            <w:pPr>
              <w:rPr>
                <w:b/>
                <w:bCs/>
                <w:color w:val="000000" w:themeColor="text1"/>
                <w:szCs w:val="21"/>
                <w:highlight w:val="none"/>
              </w:rPr>
            </w:pPr>
            <w:r>
              <w:rPr>
                <w:rFonts w:hint="eastAsia"/>
                <w:b/>
                <w:bCs/>
                <w:color w:val="000000" w:themeColor="text1"/>
                <w:szCs w:val="21"/>
                <w:highlight w:val="none"/>
              </w:rPr>
              <w:t>中国信息安全评测中心、信息产业信息安全测评中心（原信息产业部计算机安全技术检测中心）、公安部安全与警用电子产品质量检测中心；</w:t>
            </w:r>
          </w:p>
          <w:p>
            <w:pPr>
              <w:rPr>
                <w:rFonts w:asciiTheme="minorEastAsia" w:hAnsiTheme="minorEastAsia" w:eastAsiaTheme="minorEastAsia"/>
                <w:b/>
                <w:bCs/>
                <w:szCs w:val="21"/>
                <w:highlight w:val="none"/>
              </w:rPr>
            </w:pPr>
            <w:r>
              <w:rPr>
                <w:rFonts w:hint="eastAsia" w:asciiTheme="minorEastAsia" w:hAnsiTheme="minorEastAsia" w:eastAsiaTheme="minorEastAsia"/>
                <w:b/>
                <w:bCs/>
                <w:szCs w:val="21"/>
                <w:highlight w:val="none"/>
              </w:rPr>
              <w:t>▲具备发明专利。（提供专利复印件）</w:t>
            </w:r>
          </w:p>
          <w:p>
            <w:pPr>
              <w:rPr>
                <w:bCs/>
                <w:color w:val="000000" w:themeColor="text1"/>
                <w:szCs w:val="21"/>
                <w:highlight w:val="none"/>
              </w:rPr>
            </w:pPr>
          </w:p>
          <w:p>
            <w:pPr>
              <w:rPr>
                <w:b/>
                <w:bCs/>
                <w:color w:val="000000" w:themeColor="text1"/>
                <w:szCs w:val="21"/>
                <w:highlight w:val="none"/>
              </w:rPr>
            </w:pPr>
            <w:r>
              <w:rPr>
                <w:rFonts w:hint="eastAsia"/>
                <w:b/>
                <w:bCs/>
                <w:color w:val="000000" w:themeColor="text1"/>
                <w:szCs w:val="21"/>
                <w:highlight w:val="none"/>
              </w:rPr>
              <w:t>1.2.14</w:t>
            </w:r>
            <w:r>
              <w:rPr>
                <w:rFonts w:hint="eastAsia"/>
                <w:b/>
                <w:bCs/>
                <w:color w:val="000000" w:themeColor="text1"/>
                <w:szCs w:val="21"/>
                <w:highlight w:val="none"/>
              </w:rPr>
              <w:tab/>
            </w:r>
            <w:r>
              <w:rPr>
                <w:rFonts w:hint="eastAsia"/>
                <w:b/>
                <w:bCs/>
                <w:color w:val="000000" w:themeColor="text1"/>
                <w:szCs w:val="21"/>
                <w:highlight w:val="none"/>
              </w:rPr>
              <w:t>高拍仪</w:t>
            </w:r>
          </w:p>
          <w:p>
            <w:pPr>
              <w:rPr>
                <w:bCs/>
                <w:color w:val="000000" w:themeColor="text1"/>
                <w:szCs w:val="21"/>
                <w:highlight w:val="none"/>
              </w:rPr>
            </w:pPr>
            <w:r>
              <w:rPr>
                <w:rFonts w:hint="eastAsia"/>
                <w:bCs/>
                <w:color w:val="000000" w:themeColor="text1"/>
                <w:szCs w:val="21"/>
                <w:highlight w:val="none"/>
              </w:rPr>
              <w:t>配置要求：</w:t>
            </w:r>
          </w:p>
          <w:p>
            <w:pPr>
              <w:rPr>
                <w:bCs/>
                <w:color w:val="000000" w:themeColor="text1"/>
                <w:szCs w:val="21"/>
                <w:highlight w:val="none"/>
              </w:rPr>
            </w:pPr>
            <w:r>
              <w:rPr>
                <w:rFonts w:hint="eastAsia"/>
                <w:bCs/>
                <w:color w:val="000000" w:themeColor="text1"/>
                <w:szCs w:val="21"/>
                <w:highlight w:val="none"/>
              </w:rPr>
              <w:tab/>
            </w:r>
            <w:r>
              <w:rPr>
                <w:rFonts w:hint="eastAsia"/>
                <w:bCs/>
                <w:color w:val="000000" w:themeColor="text1"/>
                <w:szCs w:val="21"/>
                <w:highlight w:val="none"/>
              </w:rPr>
              <w:t>1.最大幅面：A3，资料扫描存档；</w:t>
            </w:r>
          </w:p>
          <w:p>
            <w:pPr>
              <w:rPr>
                <w:bCs/>
                <w:color w:val="000000" w:themeColor="text1"/>
                <w:szCs w:val="21"/>
                <w:highlight w:val="none"/>
              </w:rPr>
            </w:pPr>
            <w:r>
              <w:rPr>
                <w:rFonts w:hint="eastAsia"/>
                <w:bCs/>
                <w:color w:val="000000" w:themeColor="text1"/>
                <w:szCs w:val="21"/>
                <w:highlight w:val="none"/>
              </w:rPr>
              <w:tab/>
            </w:r>
            <w:r>
              <w:rPr>
                <w:rFonts w:hint="eastAsia"/>
                <w:bCs/>
                <w:color w:val="000000" w:themeColor="text1"/>
                <w:szCs w:val="21"/>
                <w:highlight w:val="none"/>
              </w:rPr>
              <w:t>2.扫描介质：可扫描证件、文档、票据、图片、名片，卡片、各类凭证等；</w:t>
            </w:r>
          </w:p>
          <w:p>
            <w:pPr>
              <w:rPr>
                <w:bCs/>
                <w:color w:val="000000" w:themeColor="text1"/>
                <w:szCs w:val="21"/>
                <w:highlight w:val="none"/>
              </w:rPr>
            </w:pPr>
            <w:r>
              <w:rPr>
                <w:rFonts w:hint="eastAsia"/>
                <w:bCs/>
                <w:color w:val="000000" w:themeColor="text1"/>
                <w:szCs w:val="21"/>
                <w:highlight w:val="none"/>
              </w:rPr>
              <w:tab/>
            </w:r>
            <w:r>
              <w:rPr>
                <w:rFonts w:hint="eastAsia"/>
                <w:bCs/>
                <w:color w:val="000000" w:themeColor="text1"/>
                <w:szCs w:val="21"/>
                <w:highlight w:val="none"/>
              </w:rPr>
              <w:t>3.扫描光源：自然光+LED补光；</w:t>
            </w:r>
          </w:p>
          <w:p>
            <w:pPr>
              <w:rPr>
                <w:bCs/>
                <w:color w:val="000000" w:themeColor="text1"/>
                <w:szCs w:val="21"/>
                <w:highlight w:val="none"/>
              </w:rPr>
            </w:pPr>
            <w:r>
              <w:rPr>
                <w:rFonts w:hint="eastAsia"/>
                <w:bCs/>
                <w:color w:val="000000" w:themeColor="text1"/>
                <w:szCs w:val="21"/>
                <w:highlight w:val="none"/>
              </w:rPr>
              <w:t>功能说明：</w:t>
            </w:r>
          </w:p>
          <w:p>
            <w:pPr>
              <w:rPr>
                <w:bCs/>
                <w:color w:val="000000" w:themeColor="text1"/>
                <w:szCs w:val="21"/>
                <w:highlight w:val="none"/>
              </w:rPr>
            </w:pPr>
            <w:r>
              <w:rPr>
                <w:rFonts w:hint="eastAsia"/>
                <w:bCs/>
                <w:color w:val="000000" w:themeColor="text1"/>
                <w:szCs w:val="21"/>
                <w:highlight w:val="none"/>
              </w:rPr>
              <w:tab/>
            </w:r>
            <w:r>
              <w:rPr>
                <w:rFonts w:hint="eastAsia"/>
                <w:bCs/>
                <w:color w:val="000000" w:themeColor="text1"/>
                <w:szCs w:val="21"/>
                <w:highlight w:val="none"/>
              </w:rPr>
              <w:t>1.文档电子图片采集，支持A3/A4文件，具备自动裁剪功能；</w:t>
            </w:r>
          </w:p>
          <w:p>
            <w:pPr>
              <w:rPr>
                <w:bCs/>
                <w:color w:val="000000" w:themeColor="text1"/>
                <w:szCs w:val="21"/>
                <w:highlight w:val="none"/>
              </w:rPr>
            </w:pPr>
            <w:r>
              <w:rPr>
                <w:rFonts w:hint="eastAsia"/>
                <w:bCs/>
                <w:color w:val="000000" w:themeColor="text1"/>
                <w:szCs w:val="21"/>
                <w:highlight w:val="none"/>
              </w:rPr>
              <w:tab/>
            </w:r>
            <w:r>
              <w:rPr>
                <w:rFonts w:hint="eastAsia"/>
                <w:bCs/>
                <w:color w:val="000000" w:themeColor="text1"/>
                <w:szCs w:val="21"/>
                <w:highlight w:val="none"/>
              </w:rPr>
              <w:t>2.读取速度快，实现审批材料的高效采集；</w:t>
            </w:r>
          </w:p>
          <w:p>
            <w:pPr>
              <w:rPr>
                <w:bCs/>
                <w:color w:val="000000" w:themeColor="text1"/>
                <w:szCs w:val="21"/>
                <w:highlight w:val="none"/>
              </w:rPr>
            </w:pPr>
            <w:r>
              <w:rPr>
                <w:rFonts w:hint="eastAsia"/>
                <w:bCs/>
                <w:color w:val="000000" w:themeColor="text1"/>
                <w:szCs w:val="21"/>
                <w:highlight w:val="none"/>
              </w:rPr>
              <w:tab/>
            </w:r>
            <w:r>
              <w:rPr>
                <w:rFonts w:hint="eastAsia"/>
                <w:bCs/>
                <w:color w:val="000000" w:themeColor="text1"/>
                <w:szCs w:val="21"/>
                <w:highlight w:val="none"/>
              </w:rPr>
              <w:t>3.具备LED自动补光功能，环境适应能力强。</w:t>
            </w:r>
          </w:p>
          <w:p>
            <w:pPr>
              <w:rPr>
                <w:bCs/>
                <w:color w:val="000000" w:themeColor="text1"/>
                <w:szCs w:val="21"/>
                <w:highlight w:val="none"/>
              </w:rPr>
            </w:pPr>
          </w:p>
          <w:p>
            <w:pPr>
              <w:rPr>
                <w:b/>
                <w:bCs/>
                <w:color w:val="000000" w:themeColor="text1"/>
                <w:szCs w:val="21"/>
                <w:highlight w:val="none"/>
              </w:rPr>
            </w:pPr>
            <w:r>
              <w:rPr>
                <w:rFonts w:hint="eastAsia"/>
                <w:b/>
                <w:bCs/>
                <w:color w:val="000000" w:themeColor="text1"/>
                <w:szCs w:val="21"/>
                <w:highlight w:val="none"/>
              </w:rPr>
              <w:t>1.2.15</w:t>
            </w:r>
            <w:r>
              <w:rPr>
                <w:rFonts w:hint="eastAsia"/>
                <w:b/>
                <w:bCs/>
                <w:color w:val="000000" w:themeColor="text1"/>
                <w:szCs w:val="21"/>
                <w:highlight w:val="none"/>
              </w:rPr>
              <w:tab/>
            </w:r>
            <w:r>
              <w:rPr>
                <w:rFonts w:hint="eastAsia"/>
                <w:b/>
                <w:bCs/>
                <w:color w:val="000000" w:themeColor="text1"/>
                <w:szCs w:val="21"/>
                <w:highlight w:val="none"/>
              </w:rPr>
              <w:t>监控摄像头</w:t>
            </w:r>
          </w:p>
          <w:p>
            <w:pPr>
              <w:rPr>
                <w:bCs/>
                <w:color w:val="000000" w:themeColor="text1"/>
                <w:szCs w:val="21"/>
                <w:highlight w:val="none"/>
              </w:rPr>
            </w:pPr>
            <w:r>
              <w:rPr>
                <w:rFonts w:hint="eastAsia"/>
                <w:bCs/>
                <w:color w:val="000000" w:themeColor="text1"/>
                <w:szCs w:val="21"/>
                <w:highlight w:val="none"/>
              </w:rPr>
              <w:t>配置要求：</w:t>
            </w:r>
          </w:p>
          <w:p>
            <w:pPr>
              <w:rPr>
                <w:bCs/>
                <w:color w:val="000000" w:themeColor="text1"/>
                <w:szCs w:val="21"/>
                <w:highlight w:val="none"/>
              </w:rPr>
            </w:pPr>
            <w:r>
              <w:rPr>
                <w:rFonts w:hint="eastAsia"/>
                <w:bCs/>
                <w:color w:val="000000" w:themeColor="text1"/>
                <w:szCs w:val="21"/>
                <w:highlight w:val="none"/>
              </w:rPr>
              <w:tab/>
            </w:r>
            <w:r>
              <w:rPr>
                <w:rFonts w:hint="eastAsia"/>
                <w:bCs/>
                <w:color w:val="000000" w:themeColor="text1"/>
                <w:szCs w:val="21"/>
                <w:highlight w:val="none"/>
              </w:rPr>
              <w:t>1.镜头：圆锥型镜头；</w:t>
            </w:r>
          </w:p>
          <w:p>
            <w:pPr>
              <w:rPr>
                <w:bCs/>
                <w:color w:val="000000" w:themeColor="text1"/>
                <w:szCs w:val="21"/>
                <w:highlight w:val="none"/>
              </w:rPr>
            </w:pPr>
            <w:r>
              <w:rPr>
                <w:rFonts w:hint="eastAsia"/>
                <w:bCs/>
                <w:color w:val="000000" w:themeColor="text1"/>
                <w:szCs w:val="21"/>
                <w:highlight w:val="none"/>
              </w:rPr>
              <w:tab/>
            </w:r>
            <w:r>
              <w:rPr>
                <w:rFonts w:hint="eastAsia"/>
                <w:bCs/>
                <w:color w:val="000000" w:themeColor="text1"/>
                <w:szCs w:val="21"/>
                <w:highlight w:val="none"/>
              </w:rPr>
              <w:t>2.水平清晰度：420tvl；</w:t>
            </w:r>
          </w:p>
          <w:p>
            <w:pPr>
              <w:rPr>
                <w:bCs/>
                <w:color w:val="000000" w:themeColor="text1"/>
                <w:szCs w:val="21"/>
                <w:highlight w:val="none"/>
              </w:rPr>
            </w:pPr>
            <w:r>
              <w:rPr>
                <w:rFonts w:hint="eastAsia"/>
                <w:bCs/>
                <w:color w:val="000000" w:themeColor="text1"/>
                <w:szCs w:val="21"/>
                <w:highlight w:val="none"/>
              </w:rPr>
              <w:t>功能说明：</w:t>
            </w:r>
          </w:p>
          <w:p>
            <w:pPr>
              <w:rPr>
                <w:bCs/>
                <w:color w:val="000000" w:themeColor="text1"/>
                <w:szCs w:val="21"/>
                <w:highlight w:val="none"/>
              </w:rPr>
            </w:pPr>
            <w:r>
              <w:rPr>
                <w:rFonts w:hint="eastAsia"/>
                <w:bCs/>
                <w:color w:val="000000" w:themeColor="text1"/>
                <w:szCs w:val="21"/>
                <w:highlight w:val="none"/>
              </w:rPr>
              <w:tab/>
            </w:r>
            <w:r>
              <w:rPr>
                <w:rFonts w:hint="eastAsia"/>
                <w:bCs/>
                <w:color w:val="000000" w:themeColor="text1"/>
                <w:szCs w:val="21"/>
                <w:highlight w:val="none"/>
              </w:rPr>
              <w:t>1.业务办理可全程监控录像，保证了业务办理的不可抵赖性和安全性；</w:t>
            </w:r>
          </w:p>
          <w:p>
            <w:pPr>
              <w:rPr>
                <w:bCs/>
                <w:color w:val="000000" w:themeColor="text1"/>
                <w:szCs w:val="21"/>
                <w:highlight w:val="none"/>
              </w:rPr>
            </w:pPr>
            <w:r>
              <w:rPr>
                <w:rFonts w:hint="eastAsia"/>
                <w:bCs/>
                <w:color w:val="000000" w:themeColor="text1"/>
                <w:szCs w:val="21"/>
                <w:highlight w:val="none"/>
              </w:rPr>
              <w:tab/>
            </w:r>
            <w:r>
              <w:rPr>
                <w:rFonts w:hint="eastAsia"/>
                <w:bCs/>
                <w:color w:val="000000" w:themeColor="text1"/>
                <w:szCs w:val="21"/>
                <w:highlight w:val="none"/>
              </w:rPr>
              <w:t>2.支持网络远程监控，可通过自助终端管理系统监控现场环境及设备运行情况。</w:t>
            </w:r>
          </w:p>
          <w:p>
            <w:pPr>
              <w:rPr>
                <w:bCs/>
                <w:color w:val="000000" w:themeColor="text1"/>
                <w:szCs w:val="21"/>
                <w:highlight w:val="none"/>
              </w:rPr>
            </w:pPr>
          </w:p>
          <w:p>
            <w:pPr>
              <w:rPr>
                <w:b/>
                <w:bCs/>
                <w:color w:val="000000" w:themeColor="text1"/>
                <w:szCs w:val="21"/>
                <w:highlight w:val="none"/>
              </w:rPr>
            </w:pPr>
            <w:r>
              <w:rPr>
                <w:rFonts w:hint="eastAsia"/>
                <w:b/>
                <w:bCs/>
                <w:color w:val="000000" w:themeColor="text1"/>
                <w:szCs w:val="21"/>
                <w:highlight w:val="none"/>
              </w:rPr>
              <w:t>1.2.16</w:t>
            </w:r>
            <w:r>
              <w:rPr>
                <w:rFonts w:hint="eastAsia"/>
                <w:b/>
                <w:bCs/>
                <w:color w:val="000000" w:themeColor="text1"/>
                <w:szCs w:val="21"/>
                <w:highlight w:val="none"/>
              </w:rPr>
              <w:tab/>
            </w:r>
            <w:r>
              <w:rPr>
                <w:rFonts w:hint="eastAsia"/>
                <w:b/>
                <w:bCs/>
                <w:color w:val="000000" w:themeColor="text1"/>
                <w:szCs w:val="21"/>
                <w:highlight w:val="none"/>
              </w:rPr>
              <w:t>硬盘录像机</w:t>
            </w:r>
          </w:p>
          <w:p>
            <w:pPr>
              <w:rPr>
                <w:bCs/>
                <w:color w:val="000000" w:themeColor="text1"/>
                <w:szCs w:val="21"/>
                <w:highlight w:val="none"/>
              </w:rPr>
            </w:pPr>
            <w:r>
              <w:rPr>
                <w:rFonts w:hint="eastAsia"/>
                <w:bCs/>
                <w:color w:val="000000" w:themeColor="text1"/>
                <w:szCs w:val="21"/>
                <w:highlight w:val="none"/>
              </w:rPr>
              <w:t>配置要求：</w:t>
            </w:r>
          </w:p>
          <w:p>
            <w:pPr>
              <w:rPr>
                <w:bCs/>
                <w:color w:val="000000" w:themeColor="text1"/>
                <w:szCs w:val="21"/>
                <w:highlight w:val="none"/>
              </w:rPr>
            </w:pPr>
            <w:r>
              <w:rPr>
                <w:rFonts w:hint="eastAsia"/>
                <w:bCs/>
                <w:color w:val="000000" w:themeColor="text1"/>
                <w:szCs w:val="21"/>
                <w:highlight w:val="none"/>
              </w:rPr>
              <w:tab/>
            </w:r>
            <w:r>
              <w:rPr>
                <w:rFonts w:hint="eastAsia"/>
                <w:bCs/>
                <w:color w:val="000000" w:themeColor="text1"/>
                <w:szCs w:val="21"/>
                <w:highlight w:val="none"/>
              </w:rPr>
              <w:t>1.视频输入：4路；</w:t>
            </w:r>
          </w:p>
          <w:p>
            <w:pPr>
              <w:rPr>
                <w:bCs/>
                <w:color w:val="000000" w:themeColor="text1"/>
                <w:szCs w:val="21"/>
                <w:highlight w:val="none"/>
              </w:rPr>
            </w:pPr>
            <w:r>
              <w:rPr>
                <w:rFonts w:hint="eastAsia"/>
                <w:bCs/>
                <w:color w:val="000000" w:themeColor="text1"/>
                <w:szCs w:val="21"/>
                <w:highlight w:val="none"/>
              </w:rPr>
              <w:tab/>
            </w:r>
            <w:r>
              <w:rPr>
                <w:rFonts w:hint="eastAsia"/>
                <w:bCs/>
                <w:color w:val="000000" w:themeColor="text1"/>
                <w:szCs w:val="21"/>
                <w:highlight w:val="none"/>
              </w:rPr>
              <w:t>2.视频输入信号类型：BNC接口；</w:t>
            </w:r>
          </w:p>
          <w:p>
            <w:pPr>
              <w:rPr>
                <w:bCs/>
                <w:color w:val="000000" w:themeColor="text1"/>
                <w:szCs w:val="21"/>
                <w:highlight w:val="none"/>
              </w:rPr>
            </w:pPr>
            <w:r>
              <w:rPr>
                <w:rFonts w:hint="eastAsia"/>
                <w:bCs/>
                <w:color w:val="000000" w:themeColor="text1"/>
                <w:szCs w:val="21"/>
                <w:highlight w:val="none"/>
              </w:rPr>
              <w:tab/>
            </w:r>
            <w:r>
              <w:rPr>
                <w:rFonts w:hint="eastAsia"/>
                <w:bCs/>
                <w:color w:val="000000" w:themeColor="text1"/>
                <w:szCs w:val="21"/>
                <w:highlight w:val="none"/>
              </w:rPr>
              <w:t>3.视频输出：VGA 1路，HDMI 1路；</w:t>
            </w:r>
          </w:p>
          <w:p>
            <w:pPr>
              <w:rPr>
                <w:bCs/>
                <w:color w:val="000000" w:themeColor="text1"/>
                <w:szCs w:val="21"/>
                <w:highlight w:val="none"/>
              </w:rPr>
            </w:pPr>
            <w:r>
              <w:rPr>
                <w:rFonts w:hint="eastAsia"/>
                <w:bCs/>
                <w:color w:val="000000" w:themeColor="text1"/>
                <w:szCs w:val="21"/>
                <w:highlight w:val="none"/>
              </w:rPr>
              <w:tab/>
            </w:r>
            <w:r>
              <w:rPr>
                <w:rFonts w:hint="eastAsia"/>
                <w:bCs/>
                <w:color w:val="000000" w:themeColor="text1"/>
                <w:szCs w:val="21"/>
                <w:highlight w:val="none"/>
              </w:rPr>
              <w:t>4.硬盘容量：500G；</w:t>
            </w:r>
          </w:p>
          <w:p>
            <w:pPr>
              <w:rPr>
                <w:bCs/>
                <w:color w:val="000000" w:themeColor="text1"/>
                <w:szCs w:val="21"/>
                <w:highlight w:val="none"/>
              </w:rPr>
            </w:pPr>
            <w:r>
              <w:rPr>
                <w:rFonts w:hint="eastAsia"/>
                <w:bCs/>
                <w:color w:val="000000" w:themeColor="text1"/>
                <w:szCs w:val="21"/>
                <w:highlight w:val="none"/>
              </w:rPr>
              <w:tab/>
            </w:r>
            <w:r>
              <w:rPr>
                <w:rFonts w:hint="eastAsia"/>
                <w:bCs/>
                <w:color w:val="000000" w:themeColor="text1"/>
                <w:szCs w:val="21"/>
                <w:highlight w:val="none"/>
              </w:rPr>
              <w:t>5.录像管理：支持录像、回放、备份。</w:t>
            </w:r>
          </w:p>
          <w:p>
            <w:pPr>
              <w:rPr>
                <w:bCs/>
                <w:color w:val="000000" w:themeColor="text1"/>
                <w:szCs w:val="21"/>
                <w:highlight w:val="none"/>
              </w:rPr>
            </w:pPr>
            <w:r>
              <w:rPr>
                <w:rFonts w:hint="eastAsia"/>
                <w:bCs/>
                <w:color w:val="000000" w:themeColor="text1"/>
                <w:szCs w:val="21"/>
                <w:highlight w:val="none"/>
              </w:rPr>
              <w:t>功能说明：</w:t>
            </w:r>
          </w:p>
          <w:p>
            <w:pPr>
              <w:rPr>
                <w:bCs/>
                <w:color w:val="000000" w:themeColor="text1"/>
                <w:szCs w:val="21"/>
                <w:highlight w:val="none"/>
              </w:rPr>
            </w:pPr>
            <w:r>
              <w:rPr>
                <w:rFonts w:hint="eastAsia"/>
                <w:bCs/>
                <w:color w:val="000000" w:themeColor="text1"/>
                <w:szCs w:val="21"/>
                <w:highlight w:val="none"/>
              </w:rPr>
              <w:tab/>
            </w:r>
            <w:r>
              <w:rPr>
                <w:rFonts w:hint="eastAsia"/>
                <w:bCs/>
                <w:color w:val="000000" w:themeColor="text1"/>
                <w:szCs w:val="21"/>
                <w:highlight w:val="none"/>
              </w:rPr>
              <w:t>1.业务办理可全程监控录像，保证了业务办理的不可抵赖性和安全性；</w:t>
            </w:r>
          </w:p>
          <w:p>
            <w:pPr>
              <w:rPr>
                <w:bCs/>
                <w:color w:val="000000" w:themeColor="text1"/>
                <w:szCs w:val="21"/>
                <w:highlight w:val="none"/>
              </w:rPr>
            </w:pPr>
            <w:r>
              <w:rPr>
                <w:rFonts w:hint="eastAsia"/>
                <w:bCs/>
                <w:color w:val="000000" w:themeColor="text1"/>
                <w:szCs w:val="21"/>
                <w:highlight w:val="none"/>
              </w:rPr>
              <w:tab/>
            </w:r>
            <w:r>
              <w:rPr>
                <w:rFonts w:hint="eastAsia"/>
                <w:bCs/>
                <w:color w:val="000000" w:themeColor="text1"/>
                <w:szCs w:val="21"/>
                <w:highlight w:val="none"/>
              </w:rPr>
              <w:t>2.支持网络远程监控，可通过自助终端管理系统监控现场环境及设备运行情况。</w:t>
            </w:r>
          </w:p>
          <w:p>
            <w:pPr>
              <w:rPr>
                <w:bCs/>
                <w:color w:val="000000" w:themeColor="text1"/>
                <w:szCs w:val="21"/>
                <w:highlight w:val="none"/>
              </w:rPr>
            </w:pPr>
          </w:p>
          <w:p>
            <w:pPr>
              <w:rPr>
                <w:b/>
                <w:bCs/>
                <w:color w:val="000000" w:themeColor="text1"/>
                <w:szCs w:val="21"/>
                <w:highlight w:val="none"/>
              </w:rPr>
            </w:pPr>
            <w:r>
              <w:rPr>
                <w:rFonts w:hint="eastAsia"/>
                <w:b/>
                <w:bCs/>
                <w:color w:val="000000" w:themeColor="text1"/>
                <w:szCs w:val="21"/>
                <w:highlight w:val="none"/>
              </w:rPr>
              <w:t>1.2.17</w:t>
            </w:r>
            <w:r>
              <w:rPr>
                <w:rFonts w:hint="eastAsia"/>
                <w:b/>
                <w:bCs/>
                <w:color w:val="000000" w:themeColor="text1"/>
                <w:szCs w:val="21"/>
                <w:highlight w:val="none"/>
              </w:rPr>
              <w:tab/>
            </w:r>
            <w:r>
              <w:rPr>
                <w:rFonts w:hint="eastAsia"/>
                <w:b/>
                <w:bCs/>
                <w:color w:val="000000" w:themeColor="text1"/>
                <w:szCs w:val="21"/>
                <w:highlight w:val="none"/>
              </w:rPr>
              <w:t>智能灯控系统</w:t>
            </w:r>
          </w:p>
          <w:p>
            <w:pPr>
              <w:rPr>
                <w:bCs/>
                <w:color w:val="000000" w:themeColor="text1"/>
                <w:szCs w:val="21"/>
                <w:highlight w:val="none"/>
              </w:rPr>
            </w:pPr>
            <w:r>
              <w:rPr>
                <w:rFonts w:hint="eastAsia"/>
                <w:bCs/>
                <w:color w:val="000000" w:themeColor="text1"/>
                <w:szCs w:val="21"/>
                <w:highlight w:val="none"/>
              </w:rPr>
              <w:t>配置要求：</w:t>
            </w:r>
          </w:p>
          <w:p>
            <w:pPr>
              <w:rPr>
                <w:bCs/>
                <w:color w:val="000000" w:themeColor="text1"/>
                <w:szCs w:val="21"/>
                <w:highlight w:val="none"/>
              </w:rPr>
            </w:pPr>
            <w:r>
              <w:rPr>
                <w:rFonts w:hint="eastAsia"/>
                <w:bCs/>
                <w:color w:val="000000" w:themeColor="text1"/>
                <w:szCs w:val="21"/>
                <w:highlight w:val="none"/>
              </w:rPr>
              <w:tab/>
            </w:r>
            <w:r>
              <w:rPr>
                <w:rFonts w:hint="eastAsia"/>
                <w:bCs/>
                <w:color w:val="000000" w:themeColor="text1"/>
                <w:szCs w:val="21"/>
                <w:highlight w:val="none"/>
              </w:rPr>
              <w:t>1.自带LED灯控装置，通过应用软件根据业务需要，控制多组led灯开关，提醒用户需要进行的操作及其区域；</w:t>
            </w:r>
          </w:p>
          <w:p>
            <w:pPr>
              <w:rPr>
                <w:bCs/>
                <w:color w:val="000000" w:themeColor="text1"/>
                <w:szCs w:val="21"/>
                <w:highlight w:val="none"/>
              </w:rPr>
            </w:pPr>
            <w:r>
              <w:rPr>
                <w:rFonts w:hint="eastAsia"/>
                <w:bCs/>
                <w:color w:val="000000" w:themeColor="text1"/>
                <w:szCs w:val="21"/>
                <w:highlight w:val="none"/>
              </w:rPr>
              <w:tab/>
            </w:r>
            <w:r>
              <w:rPr>
                <w:rFonts w:hint="eastAsia"/>
                <w:bCs/>
                <w:color w:val="000000" w:themeColor="text1"/>
                <w:szCs w:val="21"/>
                <w:highlight w:val="none"/>
              </w:rPr>
              <w:t>2.自带操作区LED照明装置，实现操作区LED照明。方便市民操作时输入信息和查看资料；</w:t>
            </w:r>
          </w:p>
          <w:p>
            <w:pPr>
              <w:rPr>
                <w:bCs/>
                <w:color w:val="000000" w:themeColor="text1"/>
                <w:szCs w:val="21"/>
                <w:highlight w:val="none"/>
              </w:rPr>
            </w:pPr>
            <w:r>
              <w:rPr>
                <w:rFonts w:hint="eastAsia"/>
                <w:bCs/>
                <w:color w:val="000000" w:themeColor="text1"/>
                <w:szCs w:val="21"/>
                <w:highlight w:val="none"/>
              </w:rPr>
              <w:tab/>
            </w:r>
            <w:r>
              <w:rPr>
                <w:rFonts w:hint="eastAsia"/>
                <w:bCs/>
                <w:color w:val="000000" w:themeColor="text1"/>
                <w:szCs w:val="21"/>
                <w:highlight w:val="none"/>
              </w:rPr>
              <w:t>3.自带维护区LED照明装置，实现维护区LED照明，方便维护人员维护。</w:t>
            </w:r>
          </w:p>
          <w:p>
            <w:pPr>
              <w:rPr>
                <w:bCs/>
                <w:color w:val="000000" w:themeColor="text1"/>
                <w:szCs w:val="21"/>
                <w:highlight w:val="none"/>
              </w:rPr>
            </w:pPr>
            <w:r>
              <w:rPr>
                <w:rFonts w:hint="eastAsia"/>
                <w:bCs/>
                <w:color w:val="000000" w:themeColor="text1"/>
                <w:szCs w:val="21"/>
                <w:highlight w:val="none"/>
              </w:rPr>
              <w:t>功能说明：</w:t>
            </w:r>
          </w:p>
          <w:p>
            <w:pPr>
              <w:rPr>
                <w:bCs/>
                <w:color w:val="000000" w:themeColor="text1"/>
                <w:szCs w:val="21"/>
                <w:highlight w:val="none"/>
              </w:rPr>
            </w:pPr>
            <w:r>
              <w:rPr>
                <w:rFonts w:hint="eastAsia"/>
                <w:bCs/>
                <w:color w:val="000000" w:themeColor="text1"/>
                <w:szCs w:val="21"/>
                <w:highlight w:val="none"/>
              </w:rPr>
              <w:tab/>
            </w:r>
            <w:r>
              <w:rPr>
                <w:rFonts w:hint="eastAsia"/>
                <w:bCs/>
                <w:color w:val="000000" w:themeColor="text1"/>
                <w:szCs w:val="21"/>
                <w:highlight w:val="none"/>
              </w:rPr>
              <w:t>1.身份证读卡器、票据出口等区域，配置LED指示灯，可以提醒用户进行相关操作；</w:t>
            </w:r>
          </w:p>
          <w:p>
            <w:pPr>
              <w:rPr>
                <w:bCs/>
                <w:color w:val="000000" w:themeColor="text1"/>
                <w:szCs w:val="21"/>
                <w:highlight w:val="none"/>
              </w:rPr>
            </w:pPr>
            <w:r>
              <w:rPr>
                <w:rFonts w:hint="eastAsia"/>
                <w:bCs/>
                <w:color w:val="000000" w:themeColor="text1"/>
                <w:szCs w:val="21"/>
                <w:highlight w:val="none"/>
              </w:rPr>
              <w:tab/>
            </w:r>
            <w:r>
              <w:rPr>
                <w:rFonts w:hint="eastAsia"/>
                <w:bCs/>
                <w:color w:val="000000" w:themeColor="text1"/>
                <w:szCs w:val="21"/>
                <w:highlight w:val="none"/>
              </w:rPr>
              <w:t>2.机柜顶部，提供LED灯，便于办事人在光线暗的环境下，查询资料；</w:t>
            </w:r>
          </w:p>
          <w:p>
            <w:pPr>
              <w:rPr>
                <w:bCs/>
                <w:color w:val="000000" w:themeColor="text1"/>
                <w:szCs w:val="21"/>
                <w:highlight w:val="none"/>
              </w:rPr>
            </w:pPr>
            <w:r>
              <w:rPr>
                <w:rFonts w:hint="eastAsia"/>
                <w:bCs/>
                <w:color w:val="000000" w:themeColor="text1"/>
                <w:szCs w:val="21"/>
                <w:highlight w:val="none"/>
              </w:rPr>
              <w:tab/>
            </w:r>
            <w:r>
              <w:rPr>
                <w:rFonts w:hint="eastAsia"/>
                <w:bCs/>
                <w:color w:val="000000" w:themeColor="text1"/>
                <w:szCs w:val="21"/>
                <w:highlight w:val="none"/>
              </w:rPr>
              <w:t>3.机柜内部具备LED灯控，便于工作人员更换票据等日常维护。</w:t>
            </w:r>
          </w:p>
          <w:p>
            <w:pPr>
              <w:rPr>
                <w:bCs/>
                <w:color w:val="000000" w:themeColor="text1"/>
                <w:szCs w:val="21"/>
                <w:highlight w:val="none"/>
              </w:rPr>
            </w:pPr>
          </w:p>
          <w:p>
            <w:pPr>
              <w:rPr>
                <w:b/>
                <w:bCs/>
                <w:color w:val="000000" w:themeColor="text1"/>
                <w:szCs w:val="21"/>
                <w:highlight w:val="none"/>
              </w:rPr>
            </w:pPr>
            <w:r>
              <w:rPr>
                <w:rFonts w:hint="eastAsia"/>
                <w:b/>
                <w:bCs/>
                <w:color w:val="000000" w:themeColor="text1"/>
                <w:szCs w:val="21"/>
                <w:highlight w:val="none"/>
              </w:rPr>
              <w:t>1.2.18</w:t>
            </w:r>
            <w:r>
              <w:rPr>
                <w:rFonts w:hint="eastAsia"/>
                <w:b/>
                <w:bCs/>
                <w:color w:val="000000" w:themeColor="text1"/>
                <w:szCs w:val="21"/>
                <w:highlight w:val="none"/>
              </w:rPr>
              <w:tab/>
            </w:r>
            <w:r>
              <w:rPr>
                <w:rFonts w:hint="eastAsia"/>
                <w:b/>
                <w:bCs/>
                <w:color w:val="000000" w:themeColor="text1"/>
                <w:szCs w:val="21"/>
                <w:highlight w:val="none"/>
              </w:rPr>
              <w:t>智能监控系统</w:t>
            </w:r>
          </w:p>
          <w:p>
            <w:pPr>
              <w:rPr>
                <w:bCs/>
                <w:color w:val="000000" w:themeColor="text1"/>
                <w:szCs w:val="21"/>
                <w:highlight w:val="none"/>
              </w:rPr>
            </w:pPr>
            <w:r>
              <w:rPr>
                <w:rFonts w:hint="eastAsia"/>
                <w:bCs/>
                <w:color w:val="000000" w:themeColor="text1"/>
                <w:szCs w:val="21"/>
                <w:highlight w:val="none"/>
              </w:rPr>
              <w:t>配置要求：</w:t>
            </w:r>
          </w:p>
          <w:p>
            <w:pPr>
              <w:rPr>
                <w:bCs/>
                <w:color w:val="000000" w:themeColor="text1"/>
                <w:szCs w:val="21"/>
                <w:highlight w:val="none"/>
              </w:rPr>
            </w:pPr>
            <w:r>
              <w:rPr>
                <w:rFonts w:hint="eastAsia"/>
                <w:bCs/>
                <w:color w:val="000000" w:themeColor="text1"/>
                <w:szCs w:val="21"/>
                <w:highlight w:val="none"/>
              </w:rPr>
              <w:tab/>
            </w:r>
            <w:r>
              <w:rPr>
                <w:rFonts w:hint="eastAsia"/>
                <w:bCs/>
                <w:color w:val="000000" w:themeColor="text1"/>
                <w:szCs w:val="21"/>
                <w:highlight w:val="none"/>
              </w:rPr>
              <w:t>1.人体接近检测：欢迎语音/视频触发；</w:t>
            </w:r>
          </w:p>
          <w:p>
            <w:pPr>
              <w:rPr>
                <w:bCs/>
                <w:color w:val="000000" w:themeColor="text1"/>
                <w:szCs w:val="21"/>
                <w:highlight w:val="none"/>
              </w:rPr>
            </w:pPr>
            <w:r>
              <w:rPr>
                <w:rFonts w:hint="eastAsia"/>
                <w:bCs/>
                <w:color w:val="000000" w:themeColor="text1"/>
                <w:szCs w:val="21"/>
                <w:highlight w:val="none"/>
              </w:rPr>
              <w:tab/>
            </w:r>
            <w:r>
              <w:rPr>
                <w:rFonts w:hint="eastAsia"/>
                <w:bCs/>
                <w:color w:val="000000" w:themeColor="text1"/>
                <w:szCs w:val="21"/>
                <w:highlight w:val="none"/>
              </w:rPr>
              <w:t>2.温度湿度检测：实时掌握机器使用环境；</w:t>
            </w:r>
          </w:p>
          <w:p>
            <w:pPr>
              <w:rPr>
                <w:bCs/>
                <w:color w:val="000000" w:themeColor="text1"/>
                <w:szCs w:val="21"/>
                <w:highlight w:val="none"/>
              </w:rPr>
            </w:pPr>
            <w:r>
              <w:rPr>
                <w:rFonts w:hint="eastAsia"/>
                <w:bCs/>
                <w:color w:val="000000" w:themeColor="text1"/>
                <w:szCs w:val="21"/>
                <w:highlight w:val="none"/>
              </w:rPr>
              <w:tab/>
            </w:r>
            <w:r>
              <w:rPr>
                <w:rFonts w:hint="eastAsia"/>
                <w:bCs/>
                <w:color w:val="000000" w:themeColor="text1"/>
                <w:szCs w:val="21"/>
                <w:highlight w:val="none"/>
              </w:rPr>
              <w:t>3.振动检测：掌握机器异常情况；</w:t>
            </w:r>
          </w:p>
          <w:p>
            <w:pPr>
              <w:rPr>
                <w:bCs/>
                <w:color w:val="000000" w:themeColor="text1"/>
                <w:szCs w:val="21"/>
                <w:highlight w:val="none"/>
              </w:rPr>
            </w:pPr>
            <w:r>
              <w:rPr>
                <w:rFonts w:hint="eastAsia"/>
                <w:bCs/>
                <w:color w:val="000000" w:themeColor="text1"/>
                <w:szCs w:val="21"/>
                <w:highlight w:val="none"/>
              </w:rPr>
              <w:tab/>
            </w:r>
            <w:r>
              <w:rPr>
                <w:rFonts w:hint="eastAsia"/>
                <w:bCs/>
                <w:color w:val="000000" w:themeColor="text1"/>
                <w:szCs w:val="21"/>
                <w:highlight w:val="none"/>
              </w:rPr>
              <w:t>4.开关门检测：掌控票证添加和设备维护时间；</w:t>
            </w:r>
          </w:p>
          <w:p>
            <w:pPr>
              <w:rPr>
                <w:bCs/>
                <w:color w:val="000000" w:themeColor="text1"/>
                <w:szCs w:val="21"/>
                <w:highlight w:val="none"/>
              </w:rPr>
            </w:pPr>
            <w:r>
              <w:rPr>
                <w:rFonts w:hint="eastAsia"/>
                <w:bCs/>
                <w:color w:val="000000" w:themeColor="text1"/>
                <w:szCs w:val="21"/>
                <w:highlight w:val="none"/>
              </w:rPr>
              <w:tab/>
            </w:r>
            <w:r>
              <w:rPr>
                <w:rFonts w:hint="eastAsia"/>
                <w:bCs/>
                <w:color w:val="000000" w:themeColor="text1"/>
                <w:szCs w:val="21"/>
                <w:highlight w:val="none"/>
              </w:rPr>
              <w:t>5.风扇控制：根据机柜内温度自动控制风扇开关；</w:t>
            </w:r>
          </w:p>
          <w:p>
            <w:pPr>
              <w:rPr>
                <w:bCs/>
                <w:color w:val="000000" w:themeColor="text1"/>
                <w:szCs w:val="21"/>
                <w:highlight w:val="none"/>
              </w:rPr>
            </w:pPr>
            <w:r>
              <w:rPr>
                <w:rFonts w:hint="eastAsia"/>
                <w:bCs/>
                <w:color w:val="000000" w:themeColor="text1"/>
                <w:szCs w:val="21"/>
                <w:highlight w:val="none"/>
              </w:rPr>
              <w:tab/>
            </w:r>
            <w:r>
              <w:rPr>
                <w:rFonts w:hint="eastAsia"/>
                <w:bCs/>
                <w:color w:val="000000" w:themeColor="text1"/>
                <w:szCs w:val="21"/>
                <w:highlight w:val="none"/>
              </w:rPr>
              <w:t>6.智能监控终端各项指标，全面记录机器各方面状态，并可记录日志和与后台交互。</w:t>
            </w:r>
          </w:p>
          <w:p>
            <w:pPr>
              <w:rPr>
                <w:bCs/>
                <w:color w:val="000000" w:themeColor="text1"/>
                <w:szCs w:val="21"/>
                <w:highlight w:val="none"/>
              </w:rPr>
            </w:pPr>
            <w:r>
              <w:rPr>
                <w:rFonts w:hint="eastAsia"/>
                <w:bCs/>
                <w:color w:val="000000" w:themeColor="text1"/>
                <w:szCs w:val="21"/>
                <w:highlight w:val="none"/>
              </w:rPr>
              <w:t>功能说明：</w:t>
            </w:r>
          </w:p>
          <w:p>
            <w:pPr>
              <w:rPr>
                <w:bCs/>
                <w:color w:val="000000" w:themeColor="text1"/>
                <w:szCs w:val="21"/>
                <w:highlight w:val="none"/>
              </w:rPr>
            </w:pPr>
            <w:r>
              <w:rPr>
                <w:rFonts w:hint="eastAsia"/>
                <w:bCs/>
                <w:color w:val="000000" w:themeColor="text1"/>
                <w:szCs w:val="21"/>
                <w:highlight w:val="none"/>
              </w:rPr>
              <w:tab/>
            </w:r>
            <w:r>
              <w:rPr>
                <w:rFonts w:hint="eastAsia"/>
                <w:bCs/>
                <w:color w:val="000000" w:themeColor="text1"/>
                <w:szCs w:val="21"/>
                <w:highlight w:val="none"/>
              </w:rPr>
              <w:t>1.采用物联网等智能控制技术，具备人接近传感器，当人接近时，可自动跳转业务办理界面或语音提示，提高产品的易用性；</w:t>
            </w:r>
          </w:p>
          <w:p>
            <w:pPr>
              <w:rPr>
                <w:bCs/>
                <w:color w:val="000000" w:themeColor="text1"/>
                <w:szCs w:val="21"/>
                <w:highlight w:val="none"/>
              </w:rPr>
            </w:pPr>
            <w:r>
              <w:rPr>
                <w:rFonts w:hint="eastAsia"/>
                <w:bCs/>
                <w:color w:val="000000" w:themeColor="text1"/>
                <w:szCs w:val="21"/>
                <w:highlight w:val="none"/>
              </w:rPr>
              <w:tab/>
            </w:r>
            <w:r>
              <w:rPr>
                <w:rFonts w:hint="eastAsia"/>
                <w:bCs/>
                <w:color w:val="000000" w:themeColor="text1"/>
                <w:szCs w:val="21"/>
                <w:highlight w:val="none"/>
              </w:rPr>
              <w:t>2.具备温湿度、震动、门开关等检测传感器，可实时监控机器各方面状态，记录日志并与自助终端管理系统交互，保证设备安全可靠运行。</w:t>
            </w:r>
          </w:p>
          <w:p>
            <w:pPr>
              <w:rPr>
                <w:bCs/>
                <w:color w:val="000000" w:themeColor="text1"/>
                <w:szCs w:val="21"/>
                <w:highlight w:val="none"/>
              </w:rPr>
            </w:pPr>
          </w:p>
          <w:p>
            <w:pPr>
              <w:rPr>
                <w:b/>
                <w:bCs/>
                <w:color w:val="000000" w:themeColor="text1"/>
                <w:szCs w:val="21"/>
                <w:highlight w:val="none"/>
              </w:rPr>
            </w:pPr>
            <w:r>
              <w:rPr>
                <w:rFonts w:hint="eastAsia"/>
                <w:b/>
                <w:bCs/>
                <w:color w:val="000000" w:themeColor="text1"/>
                <w:szCs w:val="21"/>
                <w:highlight w:val="none"/>
              </w:rPr>
              <w:t>1.2.19</w:t>
            </w:r>
            <w:r>
              <w:rPr>
                <w:rFonts w:hint="eastAsia"/>
                <w:b/>
                <w:bCs/>
                <w:color w:val="000000" w:themeColor="text1"/>
                <w:szCs w:val="21"/>
                <w:highlight w:val="none"/>
              </w:rPr>
              <w:tab/>
            </w:r>
            <w:r>
              <w:rPr>
                <w:rFonts w:hint="eastAsia"/>
                <w:b/>
                <w:bCs/>
                <w:color w:val="000000" w:themeColor="text1"/>
                <w:szCs w:val="21"/>
                <w:highlight w:val="none"/>
              </w:rPr>
              <w:t>机柜</w:t>
            </w:r>
          </w:p>
          <w:p>
            <w:pPr>
              <w:rPr>
                <w:bCs/>
                <w:color w:val="000000" w:themeColor="text1"/>
                <w:szCs w:val="21"/>
                <w:highlight w:val="none"/>
              </w:rPr>
            </w:pPr>
            <w:r>
              <w:rPr>
                <w:rFonts w:hint="eastAsia"/>
                <w:bCs/>
                <w:color w:val="000000" w:themeColor="text1"/>
                <w:szCs w:val="21"/>
                <w:highlight w:val="none"/>
              </w:rPr>
              <w:t>配置要求：</w:t>
            </w:r>
          </w:p>
          <w:p>
            <w:pPr>
              <w:rPr>
                <w:bCs/>
                <w:color w:val="000000" w:themeColor="text1"/>
                <w:szCs w:val="21"/>
                <w:highlight w:val="none"/>
              </w:rPr>
            </w:pPr>
            <w:r>
              <w:rPr>
                <w:rFonts w:hint="eastAsia"/>
                <w:bCs/>
                <w:color w:val="000000" w:themeColor="text1"/>
                <w:szCs w:val="21"/>
                <w:highlight w:val="none"/>
              </w:rPr>
              <w:tab/>
            </w:r>
            <w:r>
              <w:rPr>
                <w:rFonts w:hint="eastAsia"/>
                <w:bCs/>
                <w:color w:val="000000" w:themeColor="text1"/>
                <w:szCs w:val="21"/>
                <w:highlight w:val="none"/>
              </w:rPr>
              <w:t>1.机柜材质采用加厚冷轧钢板厚度不小于1.5mm，关键部位采用双层钢板，厚度不小于2mm；</w:t>
            </w:r>
          </w:p>
          <w:p>
            <w:pPr>
              <w:rPr>
                <w:bCs/>
                <w:color w:val="000000" w:themeColor="text1"/>
                <w:szCs w:val="21"/>
                <w:highlight w:val="none"/>
              </w:rPr>
            </w:pPr>
            <w:r>
              <w:rPr>
                <w:rFonts w:hint="eastAsia"/>
                <w:bCs/>
                <w:color w:val="000000" w:themeColor="text1"/>
                <w:szCs w:val="21"/>
                <w:highlight w:val="none"/>
              </w:rPr>
              <w:tab/>
            </w:r>
            <w:r>
              <w:rPr>
                <w:rFonts w:hint="eastAsia"/>
                <w:bCs/>
                <w:color w:val="000000" w:themeColor="text1"/>
                <w:szCs w:val="21"/>
                <w:highlight w:val="none"/>
              </w:rPr>
              <w:t>2.整体机身坚固耐用、耐腐蚀、易清洁、不褪色、不变形；</w:t>
            </w:r>
          </w:p>
          <w:p>
            <w:pPr>
              <w:rPr>
                <w:bCs/>
                <w:color w:val="000000" w:themeColor="text1"/>
                <w:szCs w:val="21"/>
                <w:highlight w:val="none"/>
              </w:rPr>
            </w:pPr>
            <w:r>
              <w:rPr>
                <w:rFonts w:hint="eastAsia"/>
                <w:bCs/>
                <w:color w:val="000000" w:themeColor="text1"/>
                <w:szCs w:val="21"/>
                <w:highlight w:val="none"/>
              </w:rPr>
              <w:tab/>
            </w:r>
            <w:r>
              <w:rPr>
                <w:rFonts w:hint="eastAsia"/>
                <w:bCs/>
                <w:color w:val="000000" w:themeColor="text1"/>
                <w:szCs w:val="21"/>
                <w:highlight w:val="none"/>
              </w:rPr>
              <w:t>3.机柜采用安全锁加强防护，有效保护内部票据的安全；</w:t>
            </w:r>
          </w:p>
          <w:p>
            <w:pPr>
              <w:rPr>
                <w:bCs/>
                <w:color w:val="000000" w:themeColor="text1"/>
                <w:szCs w:val="21"/>
                <w:highlight w:val="none"/>
              </w:rPr>
            </w:pPr>
            <w:r>
              <w:rPr>
                <w:rFonts w:hint="eastAsia"/>
                <w:bCs/>
                <w:color w:val="000000" w:themeColor="text1"/>
                <w:szCs w:val="21"/>
                <w:highlight w:val="none"/>
              </w:rPr>
              <w:tab/>
            </w:r>
            <w:r>
              <w:rPr>
                <w:rFonts w:hint="eastAsia"/>
                <w:bCs/>
                <w:color w:val="000000" w:themeColor="text1"/>
                <w:szCs w:val="21"/>
                <w:highlight w:val="none"/>
              </w:rPr>
              <w:t>4.机柜网络接口隐藏在机柜内部，不提供暴露网口；</w:t>
            </w:r>
          </w:p>
          <w:p>
            <w:pPr>
              <w:rPr>
                <w:bCs/>
                <w:color w:val="000000" w:themeColor="text1"/>
                <w:szCs w:val="21"/>
                <w:highlight w:val="none"/>
              </w:rPr>
            </w:pPr>
            <w:r>
              <w:rPr>
                <w:rFonts w:hint="eastAsia"/>
                <w:bCs/>
                <w:color w:val="000000" w:themeColor="text1"/>
                <w:szCs w:val="21"/>
                <w:highlight w:val="none"/>
              </w:rPr>
              <w:t>功能说明：</w:t>
            </w:r>
          </w:p>
          <w:p>
            <w:pPr>
              <w:rPr>
                <w:bCs/>
                <w:color w:val="000000" w:themeColor="text1"/>
                <w:szCs w:val="21"/>
                <w:highlight w:val="none"/>
              </w:rPr>
            </w:pPr>
            <w:r>
              <w:rPr>
                <w:rFonts w:hint="eastAsia"/>
                <w:bCs/>
                <w:color w:val="000000" w:themeColor="text1"/>
                <w:szCs w:val="21"/>
                <w:highlight w:val="none"/>
              </w:rPr>
              <w:tab/>
            </w:r>
            <w:r>
              <w:rPr>
                <w:rFonts w:hint="eastAsia"/>
                <w:bCs/>
                <w:color w:val="000000" w:themeColor="text1"/>
                <w:szCs w:val="21"/>
                <w:highlight w:val="none"/>
              </w:rPr>
              <w:t>1.基于人体工程学设计理念，双屏展示，一体成形，易用性高，科技感强，提升深圳政务服务整体形象；</w:t>
            </w:r>
          </w:p>
          <w:p>
            <w:pPr>
              <w:rPr>
                <w:bCs/>
                <w:color w:val="000000" w:themeColor="text1"/>
                <w:szCs w:val="21"/>
                <w:highlight w:val="none"/>
              </w:rPr>
            </w:pPr>
            <w:r>
              <w:rPr>
                <w:rFonts w:hint="eastAsia"/>
                <w:bCs/>
                <w:color w:val="000000" w:themeColor="text1"/>
                <w:szCs w:val="21"/>
                <w:highlight w:val="none"/>
              </w:rPr>
              <w:tab/>
            </w:r>
            <w:r>
              <w:rPr>
                <w:rFonts w:hint="eastAsia"/>
                <w:bCs/>
                <w:color w:val="000000" w:themeColor="text1"/>
                <w:szCs w:val="21"/>
                <w:highlight w:val="none"/>
              </w:rPr>
              <w:t>2.采用安全锁防护，有效保护内部票据的安全；</w:t>
            </w:r>
          </w:p>
          <w:p>
            <w:pPr>
              <w:rPr>
                <w:bCs/>
                <w:color w:val="000000" w:themeColor="text1"/>
                <w:szCs w:val="21"/>
                <w:highlight w:val="none"/>
              </w:rPr>
            </w:pPr>
            <w:r>
              <w:rPr>
                <w:rFonts w:hint="eastAsia"/>
                <w:bCs/>
                <w:color w:val="000000" w:themeColor="text1"/>
                <w:szCs w:val="21"/>
                <w:highlight w:val="none"/>
              </w:rPr>
              <w:tab/>
            </w:r>
            <w:r>
              <w:rPr>
                <w:rFonts w:hint="eastAsia"/>
                <w:bCs/>
                <w:color w:val="000000" w:themeColor="text1"/>
                <w:szCs w:val="21"/>
                <w:highlight w:val="none"/>
              </w:rPr>
              <w:t>3.整体框架采用一体化激光焊接工艺，机身坚固耐用、耐腐蚀、易清洁、不褪色、不变形。</w:t>
            </w:r>
          </w:p>
          <w:p>
            <w:pPr>
              <w:rPr>
                <w:bCs/>
                <w:color w:val="000000" w:themeColor="text1"/>
                <w:szCs w:val="21"/>
                <w:highlight w:val="none"/>
              </w:rPr>
            </w:pPr>
            <w:r>
              <w:rPr>
                <w:rFonts w:hint="eastAsia"/>
                <w:bCs/>
                <w:color w:val="000000" w:themeColor="text1"/>
                <w:szCs w:val="21"/>
                <w:highlight w:val="none"/>
              </w:rPr>
              <w:tab/>
            </w:r>
            <w:r>
              <w:rPr>
                <w:rFonts w:hint="eastAsia"/>
                <w:bCs/>
                <w:color w:val="000000" w:themeColor="text1"/>
                <w:szCs w:val="21"/>
                <w:highlight w:val="none"/>
              </w:rPr>
              <w:t>4.预留社保卡读卡器安装位置，扩展性高。</w:t>
            </w:r>
          </w:p>
          <w:p>
            <w:pPr>
              <w:rPr>
                <w:b/>
                <w:bCs/>
                <w:color w:val="000000" w:themeColor="text1"/>
                <w:szCs w:val="21"/>
                <w:highlight w:val="none"/>
              </w:rPr>
            </w:pPr>
            <w:r>
              <w:rPr>
                <w:rFonts w:hint="eastAsia"/>
                <w:b/>
                <w:bCs/>
                <w:color w:val="000000" w:themeColor="text1"/>
                <w:szCs w:val="21"/>
                <w:highlight w:val="none"/>
              </w:rPr>
              <w:t>▲设备通过</w:t>
            </w:r>
            <w:r>
              <w:rPr>
                <w:b/>
                <w:bCs/>
                <w:color w:val="000000" w:themeColor="text1"/>
                <w:szCs w:val="21"/>
                <w:highlight w:val="none"/>
              </w:rPr>
              <w:t>CCC认证，且委托人、制造商、生产企业相同；</w:t>
            </w:r>
            <w:r>
              <w:rPr>
                <w:rFonts w:hint="eastAsia"/>
                <w:b/>
                <w:bCs/>
                <w:color w:val="000000" w:themeColor="text1"/>
                <w:szCs w:val="21"/>
                <w:highlight w:val="none"/>
              </w:rPr>
              <w:t>（提供</w:t>
            </w:r>
            <w:r>
              <w:rPr>
                <w:b/>
                <w:bCs/>
                <w:color w:val="000000" w:themeColor="text1"/>
                <w:szCs w:val="21"/>
                <w:highlight w:val="none"/>
              </w:rPr>
              <w:t>CCC认证</w:t>
            </w:r>
            <w:r>
              <w:rPr>
                <w:rFonts w:hint="eastAsia"/>
                <w:b/>
                <w:bCs/>
                <w:color w:val="000000" w:themeColor="text1"/>
                <w:szCs w:val="21"/>
                <w:highlight w:val="none"/>
              </w:rPr>
              <w:t>证书复印件）</w:t>
            </w:r>
          </w:p>
          <w:p>
            <w:pPr>
              <w:rPr>
                <w:b/>
                <w:bCs/>
                <w:color w:val="000000" w:themeColor="text1"/>
                <w:szCs w:val="21"/>
                <w:highlight w:val="none"/>
              </w:rPr>
            </w:pPr>
            <w:r>
              <w:rPr>
                <w:rFonts w:hint="eastAsia"/>
                <w:b/>
                <w:bCs/>
                <w:color w:val="000000" w:themeColor="text1"/>
                <w:szCs w:val="21"/>
                <w:highlight w:val="none"/>
              </w:rPr>
              <w:t>▲所投设备厂商具备</w:t>
            </w:r>
            <w:r>
              <w:rPr>
                <w:b/>
                <w:bCs/>
                <w:color w:val="000000" w:themeColor="text1"/>
                <w:szCs w:val="21"/>
                <w:highlight w:val="none"/>
              </w:rPr>
              <w:t>ITSS一级证书</w:t>
            </w:r>
            <w:r>
              <w:rPr>
                <w:rFonts w:hint="eastAsia"/>
                <w:b/>
                <w:bCs/>
                <w:color w:val="000000" w:themeColor="text1"/>
                <w:szCs w:val="21"/>
                <w:highlight w:val="none"/>
              </w:rPr>
              <w:t>；（提供</w:t>
            </w:r>
            <w:r>
              <w:rPr>
                <w:b/>
                <w:bCs/>
                <w:color w:val="000000" w:themeColor="text1"/>
                <w:szCs w:val="21"/>
                <w:highlight w:val="none"/>
              </w:rPr>
              <w:t>ITSS一级证书</w:t>
            </w:r>
            <w:r>
              <w:rPr>
                <w:rFonts w:hint="eastAsia"/>
                <w:b/>
                <w:bCs/>
                <w:color w:val="000000" w:themeColor="text1"/>
                <w:szCs w:val="21"/>
                <w:highlight w:val="none"/>
              </w:rPr>
              <w:t>复印件）</w:t>
            </w:r>
          </w:p>
          <w:p>
            <w:pPr>
              <w:rPr>
                <w:b/>
                <w:bCs/>
                <w:color w:val="000000" w:themeColor="text1"/>
                <w:szCs w:val="21"/>
                <w:highlight w:val="none"/>
              </w:rPr>
            </w:pPr>
            <w:r>
              <w:rPr>
                <w:rFonts w:hint="eastAsia"/>
                <w:b/>
                <w:bCs/>
                <w:color w:val="000000" w:themeColor="text1"/>
                <w:szCs w:val="21"/>
                <w:highlight w:val="none"/>
              </w:rPr>
              <w:t>▲所投设备厂商具备自助服务终端管理系统软件著作权证书（提供自助服务终端管理系统软件著作权证书复印件）</w:t>
            </w:r>
          </w:p>
          <w:p>
            <w:pPr>
              <w:rPr>
                <w:b/>
                <w:bCs/>
                <w:color w:val="000000" w:themeColor="text1"/>
                <w:szCs w:val="21"/>
                <w:highlight w:val="none"/>
              </w:rPr>
            </w:pPr>
            <w:r>
              <w:rPr>
                <w:rFonts w:hint="eastAsia"/>
                <w:b/>
                <w:bCs/>
                <w:color w:val="000000" w:themeColor="text1"/>
                <w:szCs w:val="21"/>
                <w:highlight w:val="none"/>
              </w:rPr>
              <w:t>▲所投设备厂商具备自助服务终端应用软件著作权证书。（提供自助服务终端应用软件著作权证书复印件）</w:t>
            </w:r>
          </w:p>
          <w:p>
            <w:pPr>
              <w:rPr>
                <w:bCs/>
                <w:color w:val="000000" w:themeColor="text1"/>
                <w:szCs w:val="21"/>
                <w:highlight w:val="none"/>
              </w:rPr>
            </w:pPr>
          </w:p>
          <w:p>
            <w:pPr>
              <w:rPr>
                <w:b/>
                <w:bCs/>
                <w:color w:val="000000" w:themeColor="text1"/>
                <w:szCs w:val="21"/>
                <w:highlight w:val="none"/>
              </w:rPr>
            </w:pPr>
            <w:r>
              <w:rPr>
                <w:rFonts w:hint="eastAsia"/>
                <w:b/>
                <w:bCs/>
                <w:color w:val="000000" w:themeColor="text1"/>
                <w:szCs w:val="21"/>
                <w:highlight w:val="none"/>
              </w:rPr>
              <w:t>1.2.20</w:t>
            </w:r>
            <w:r>
              <w:rPr>
                <w:rFonts w:hint="eastAsia"/>
                <w:b/>
                <w:bCs/>
                <w:color w:val="000000" w:themeColor="text1"/>
                <w:szCs w:val="21"/>
                <w:highlight w:val="none"/>
              </w:rPr>
              <w:tab/>
            </w:r>
            <w:r>
              <w:rPr>
                <w:rFonts w:hint="eastAsia"/>
                <w:b/>
                <w:bCs/>
                <w:color w:val="000000" w:themeColor="text1"/>
                <w:szCs w:val="21"/>
                <w:highlight w:val="none"/>
              </w:rPr>
              <w:t>电源系统</w:t>
            </w:r>
          </w:p>
          <w:p>
            <w:pPr>
              <w:rPr>
                <w:bCs/>
                <w:color w:val="000000" w:themeColor="text1"/>
                <w:szCs w:val="21"/>
                <w:highlight w:val="none"/>
              </w:rPr>
            </w:pPr>
            <w:r>
              <w:rPr>
                <w:rFonts w:hint="eastAsia"/>
                <w:bCs/>
                <w:color w:val="000000" w:themeColor="text1"/>
                <w:szCs w:val="21"/>
                <w:highlight w:val="none"/>
              </w:rPr>
              <w:t>配置要求：</w:t>
            </w:r>
          </w:p>
          <w:p>
            <w:pPr>
              <w:rPr>
                <w:bCs/>
                <w:color w:val="000000" w:themeColor="text1"/>
                <w:szCs w:val="21"/>
                <w:highlight w:val="none"/>
              </w:rPr>
            </w:pPr>
            <w:r>
              <w:rPr>
                <w:rFonts w:hint="eastAsia"/>
                <w:bCs/>
                <w:color w:val="000000" w:themeColor="text1"/>
                <w:szCs w:val="21"/>
                <w:highlight w:val="none"/>
              </w:rPr>
              <w:tab/>
            </w:r>
            <w:r>
              <w:rPr>
                <w:rFonts w:hint="eastAsia"/>
                <w:bCs/>
                <w:color w:val="000000" w:themeColor="text1"/>
                <w:szCs w:val="21"/>
                <w:highlight w:val="none"/>
              </w:rPr>
              <w:t>1.电源适应范围：180V～256V，50Hz/60Hz；</w:t>
            </w:r>
          </w:p>
          <w:p>
            <w:pPr>
              <w:rPr>
                <w:bCs/>
                <w:color w:val="000000" w:themeColor="text1"/>
                <w:szCs w:val="21"/>
                <w:highlight w:val="none"/>
              </w:rPr>
            </w:pPr>
            <w:r>
              <w:rPr>
                <w:rFonts w:hint="eastAsia"/>
                <w:bCs/>
                <w:color w:val="000000" w:themeColor="text1"/>
                <w:szCs w:val="21"/>
                <w:highlight w:val="none"/>
              </w:rPr>
              <w:tab/>
            </w:r>
            <w:r>
              <w:rPr>
                <w:rFonts w:hint="eastAsia"/>
                <w:bCs/>
                <w:color w:val="000000" w:themeColor="text1"/>
                <w:szCs w:val="21"/>
                <w:highlight w:val="none"/>
              </w:rPr>
              <w:t>2.待机功耗：&lt;0.5KVA；</w:t>
            </w:r>
          </w:p>
          <w:p>
            <w:pPr>
              <w:rPr>
                <w:bCs/>
                <w:color w:val="000000" w:themeColor="text1"/>
                <w:szCs w:val="21"/>
                <w:highlight w:val="none"/>
              </w:rPr>
            </w:pPr>
            <w:r>
              <w:rPr>
                <w:rFonts w:hint="eastAsia"/>
                <w:bCs/>
                <w:color w:val="000000" w:themeColor="text1"/>
                <w:szCs w:val="21"/>
                <w:highlight w:val="none"/>
              </w:rPr>
              <w:tab/>
            </w:r>
            <w:r>
              <w:rPr>
                <w:rFonts w:hint="eastAsia"/>
                <w:bCs/>
                <w:color w:val="000000" w:themeColor="text1"/>
                <w:szCs w:val="21"/>
                <w:highlight w:val="none"/>
              </w:rPr>
              <w:t>3.支持定时开关机。</w:t>
            </w:r>
          </w:p>
          <w:p>
            <w:pPr>
              <w:rPr>
                <w:bCs/>
                <w:color w:val="000000" w:themeColor="text1"/>
                <w:szCs w:val="21"/>
                <w:highlight w:val="none"/>
              </w:rPr>
            </w:pPr>
            <w:r>
              <w:rPr>
                <w:rFonts w:hint="eastAsia"/>
                <w:bCs/>
                <w:color w:val="000000" w:themeColor="text1"/>
                <w:szCs w:val="21"/>
                <w:highlight w:val="none"/>
              </w:rPr>
              <w:t>功能说明：</w:t>
            </w:r>
          </w:p>
          <w:p>
            <w:pPr>
              <w:ind w:firstLine="420" w:firstLineChars="200"/>
              <w:rPr>
                <w:bCs/>
                <w:color w:val="000000" w:themeColor="text1"/>
                <w:szCs w:val="21"/>
                <w:highlight w:val="none"/>
              </w:rPr>
            </w:pPr>
            <w:r>
              <w:rPr>
                <w:rFonts w:hint="eastAsia"/>
                <w:bCs/>
                <w:color w:val="000000" w:themeColor="text1"/>
                <w:szCs w:val="21"/>
                <w:highlight w:val="none"/>
              </w:rPr>
              <w:t>产品需通过3C认证，电气安全、电磁辐射、环境适应性等符合国家标准要求。</w:t>
            </w:r>
          </w:p>
          <w:p>
            <w:pPr>
              <w:rPr>
                <w:bCs/>
                <w:color w:val="000000" w:themeColor="text1"/>
                <w:szCs w:val="21"/>
                <w:highlight w:val="none"/>
              </w:rPr>
            </w:pPr>
          </w:p>
          <w:p>
            <w:pPr>
              <w:rPr>
                <w:b/>
                <w:bCs/>
                <w:color w:val="000000" w:themeColor="text1"/>
                <w:szCs w:val="21"/>
                <w:highlight w:val="none"/>
              </w:rPr>
            </w:pPr>
            <w:r>
              <w:rPr>
                <w:rFonts w:hint="eastAsia"/>
                <w:b/>
                <w:bCs/>
                <w:color w:val="000000" w:themeColor="text1"/>
                <w:szCs w:val="21"/>
                <w:highlight w:val="none"/>
              </w:rPr>
              <w:t>1.2.21</w:t>
            </w:r>
            <w:r>
              <w:rPr>
                <w:rFonts w:hint="eastAsia"/>
                <w:b/>
                <w:bCs/>
                <w:color w:val="000000" w:themeColor="text1"/>
                <w:szCs w:val="21"/>
                <w:highlight w:val="none"/>
              </w:rPr>
              <w:tab/>
            </w:r>
            <w:r>
              <w:rPr>
                <w:rFonts w:hint="eastAsia"/>
                <w:b/>
                <w:bCs/>
                <w:color w:val="000000" w:themeColor="text1"/>
                <w:szCs w:val="21"/>
                <w:highlight w:val="none"/>
              </w:rPr>
              <w:t>工作环境</w:t>
            </w:r>
          </w:p>
          <w:p>
            <w:pPr>
              <w:rPr>
                <w:bCs/>
                <w:color w:val="000000" w:themeColor="text1"/>
                <w:szCs w:val="21"/>
                <w:highlight w:val="none"/>
              </w:rPr>
            </w:pPr>
            <w:r>
              <w:rPr>
                <w:rFonts w:hint="eastAsia"/>
                <w:bCs/>
                <w:color w:val="000000" w:themeColor="text1"/>
                <w:szCs w:val="21"/>
                <w:highlight w:val="none"/>
              </w:rPr>
              <w:t>配置要求：</w:t>
            </w:r>
          </w:p>
          <w:p>
            <w:pPr>
              <w:ind w:firstLine="420" w:firstLineChars="200"/>
              <w:rPr>
                <w:bCs/>
                <w:color w:val="000000" w:themeColor="text1"/>
                <w:szCs w:val="21"/>
                <w:highlight w:val="none"/>
              </w:rPr>
            </w:pPr>
            <w:r>
              <w:rPr>
                <w:rFonts w:hint="eastAsia"/>
                <w:bCs/>
                <w:color w:val="000000" w:themeColor="text1"/>
                <w:szCs w:val="21"/>
                <w:highlight w:val="none"/>
              </w:rPr>
              <w:t>1. 工作环境温度：0℃～45℃；</w:t>
            </w:r>
          </w:p>
          <w:p>
            <w:pPr>
              <w:ind w:firstLine="420" w:firstLineChars="200"/>
              <w:rPr>
                <w:bCs/>
                <w:color w:val="000000" w:themeColor="text1"/>
                <w:szCs w:val="21"/>
                <w:highlight w:val="none"/>
              </w:rPr>
            </w:pPr>
            <w:r>
              <w:rPr>
                <w:rFonts w:hint="eastAsia"/>
                <w:bCs/>
                <w:color w:val="000000" w:themeColor="text1"/>
                <w:szCs w:val="21"/>
                <w:highlight w:val="none"/>
              </w:rPr>
              <w:t>2. 工作环境相对湿度：10%～95%。</w:t>
            </w:r>
          </w:p>
          <w:p>
            <w:pPr>
              <w:ind w:firstLine="420" w:firstLineChars="200"/>
              <w:rPr>
                <w:bCs/>
                <w:color w:val="000000" w:themeColor="text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42" w:type="dxa"/>
            <w:bottom w:w="113" w:type="dxa"/>
            <w:right w:w="142" w:type="dxa"/>
          </w:tblCellMar>
        </w:tblPrEx>
        <w:trPr>
          <w:trHeight w:val="444" w:hRule="atLeast"/>
        </w:trPr>
        <w:tc>
          <w:tcPr>
            <w:tcW w:w="709" w:type="dxa"/>
            <w:vMerge w:val="continue"/>
            <w:shd w:val="clear" w:color="auto" w:fill="auto"/>
            <w:vAlign w:val="center"/>
          </w:tcPr>
          <w:p>
            <w:pPr>
              <w:jc w:val="center"/>
              <w:rPr>
                <w:color w:val="000000" w:themeColor="text1"/>
                <w:szCs w:val="21"/>
                <w:highlight w:val="none"/>
              </w:rPr>
            </w:pPr>
          </w:p>
        </w:tc>
        <w:tc>
          <w:tcPr>
            <w:tcW w:w="993" w:type="dxa"/>
            <w:vMerge w:val="continue"/>
            <w:shd w:val="clear" w:color="auto" w:fill="auto"/>
            <w:vAlign w:val="center"/>
          </w:tcPr>
          <w:p>
            <w:pPr>
              <w:jc w:val="center"/>
              <w:rPr>
                <w:color w:val="000000" w:themeColor="text1"/>
                <w:szCs w:val="21"/>
                <w:highlight w:val="none"/>
              </w:rPr>
            </w:pPr>
          </w:p>
        </w:tc>
        <w:tc>
          <w:tcPr>
            <w:tcW w:w="8221" w:type="dxa"/>
            <w:shd w:val="clear" w:color="auto" w:fill="auto"/>
            <w:vAlign w:val="center"/>
          </w:tcPr>
          <w:p>
            <w:pPr>
              <w:rPr>
                <w:b/>
                <w:bCs/>
                <w:color w:val="000000" w:themeColor="text1"/>
                <w:szCs w:val="21"/>
                <w:highlight w:val="none"/>
              </w:rPr>
            </w:pPr>
            <w:r>
              <w:rPr>
                <w:b/>
                <w:color w:val="000000" w:themeColor="text1"/>
                <w:szCs w:val="21"/>
                <w:highlight w:val="none"/>
              </w:rPr>
              <w:t>1.</w:t>
            </w:r>
            <w:r>
              <w:rPr>
                <w:rFonts w:hint="eastAsia"/>
                <w:b/>
                <w:color w:val="000000" w:themeColor="text1"/>
                <w:szCs w:val="21"/>
                <w:highlight w:val="none"/>
              </w:rPr>
              <w:t>3 终端各部件对接标准:</w:t>
            </w:r>
          </w:p>
          <w:p>
            <w:pPr>
              <w:rPr>
                <w:b/>
                <w:color w:val="000000" w:themeColor="text1"/>
                <w:szCs w:val="21"/>
                <w:highlight w:val="none"/>
              </w:rPr>
            </w:pPr>
            <w:r>
              <w:rPr>
                <w:rFonts w:hint="eastAsia"/>
                <w:b/>
                <w:color w:val="000000" w:themeColor="text1"/>
                <w:szCs w:val="21"/>
                <w:highlight w:val="none"/>
              </w:rPr>
              <w:t>1</w:t>
            </w:r>
            <w:r>
              <w:rPr>
                <w:b/>
                <w:color w:val="000000" w:themeColor="text1"/>
                <w:szCs w:val="21"/>
                <w:highlight w:val="none"/>
              </w:rPr>
              <w:t>.3.1</w:t>
            </w:r>
            <w:r>
              <w:rPr>
                <w:rFonts w:hint="eastAsia"/>
                <w:b/>
                <w:color w:val="000000" w:themeColor="text1"/>
                <w:szCs w:val="21"/>
                <w:highlight w:val="none"/>
              </w:rPr>
              <w:t>身份证、社保卡读卡器</w:t>
            </w:r>
          </w:p>
          <w:tbl>
            <w:tblPr>
              <w:tblStyle w:val="44"/>
              <w:tblpPr w:leftFromText="180" w:rightFromText="180" w:vertAnchor="text" w:horzAnchor="margin" w:tblpX="132" w:tblpY="337"/>
              <w:tblW w:w="75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709"/>
              <w:gridCol w:w="1134"/>
              <w:gridCol w:w="1701"/>
              <w:gridCol w:w="31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846" w:type="dxa"/>
                  <w:vMerge w:val="restart"/>
                  <w:vAlign w:val="center"/>
                </w:tcPr>
                <w:p>
                  <w:pPr>
                    <w:jc w:val="center"/>
                    <w:rPr>
                      <w:b/>
                      <w:color w:val="000000" w:themeColor="text1"/>
                      <w:szCs w:val="21"/>
                      <w:highlight w:val="none"/>
                    </w:rPr>
                  </w:pPr>
                  <w:r>
                    <w:rPr>
                      <w:rFonts w:hint="eastAsia"/>
                      <w:b/>
                      <w:color w:val="000000" w:themeColor="text1"/>
                      <w:szCs w:val="21"/>
                      <w:highlight w:val="none"/>
                    </w:rPr>
                    <w:t>方法</w:t>
                  </w:r>
                </w:p>
              </w:tc>
              <w:tc>
                <w:tcPr>
                  <w:tcW w:w="709" w:type="dxa"/>
                  <w:vMerge w:val="restart"/>
                  <w:vAlign w:val="center"/>
                </w:tcPr>
                <w:p>
                  <w:pPr>
                    <w:jc w:val="center"/>
                    <w:rPr>
                      <w:b/>
                      <w:color w:val="000000" w:themeColor="text1"/>
                      <w:szCs w:val="21"/>
                      <w:highlight w:val="none"/>
                    </w:rPr>
                  </w:pPr>
                  <w:r>
                    <w:rPr>
                      <w:rFonts w:hint="eastAsia"/>
                      <w:b/>
                      <w:color w:val="000000" w:themeColor="text1"/>
                      <w:szCs w:val="21"/>
                      <w:highlight w:val="none"/>
                    </w:rPr>
                    <w:t>说明</w:t>
                  </w:r>
                </w:p>
              </w:tc>
              <w:tc>
                <w:tcPr>
                  <w:tcW w:w="2835" w:type="dxa"/>
                  <w:gridSpan w:val="2"/>
                  <w:vAlign w:val="center"/>
                </w:tcPr>
                <w:p>
                  <w:pPr>
                    <w:jc w:val="center"/>
                    <w:rPr>
                      <w:b/>
                      <w:color w:val="000000" w:themeColor="text1"/>
                      <w:szCs w:val="21"/>
                      <w:highlight w:val="none"/>
                    </w:rPr>
                  </w:pPr>
                  <w:r>
                    <w:rPr>
                      <w:rFonts w:hint="eastAsia"/>
                      <w:b/>
                      <w:color w:val="000000" w:themeColor="text1"/>
                      <w:szCs w:val="21"/>
                      <w:highlight w:val="none"/>
                    </w:rPr>
                    <w:t>参数</w:t>
                  </w:r>
                </w:p>
              </w:tc>
              <w:tc>
                <w:tcPr>
                  <w:tcW w:w="3118" w:type="dxa"/>
                  <w:vMerge w:val="restart"/>
                  <w:vAlign w:val="center"/>
                </w:tcPr>
                <w:p>
                  <w:pPr>
                    <w:jc w:val="center"/>
                    <w:rPr>
                      <w:b/>
                      <w:color w:val="000000" w:themeColor="text1"/>
                      <w:szCs w:val="21"/>
                      <w:highlight w:val="none"/>
                    </w:rPr>
                  </w:pPr>
                  <w:r>
                    <w:rPr>
                      <w:rFonts w:hint="eastAsia"/>
                      <w:b/>
                      <w:color w:val="000000" w:themeColor="text1"/>
                      <w:szCs w:val="21"/>
                      <w:highlight w:val="none"/>
                    </w:rPr>
                    <w:t>返回结果要求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846" w:type="dxa"/>
                  <w:vMerge w:val="continue"/>
                  <w:vAlign w:val="center"/>
                </w:tcPr>
                <w:p>
                  <w:pPr>
                    <w:jc w:val="center"/>
                    <w:rPr>
                      <w:b/>
                      <w:color w:val="000000" w:themeColor="text1"/>
                      <w:szCs w:val="21"/>
                      <w:highlight w:val="none"/>
                    </w:rPr>
                  </w:pPr>
                </w:p>
              </w:tc>
              <w:tc>
                <w:tcPr>
                  <w:tcW w:w="709" w:type="dxa"/>
                  <w:vMerge w:val="continue"/>
                  <w:vAlign w:val="center"/>
                </w:tcPr>
                <w:p>
                  <w:pPr>
                    <w:jc w:val="center"/>
                    <w:rPr>
                      <w:b/>
                      <w:color w:val="000000" w:themeColor="text1"/>
                      <w:szCs w:val="21"/>
                      <w:highlight w:val="none"/>
                    </w:rPr>
                  </w:pPr>
                </w:p>
              </w:tc>
              <w:tc>
                <w:tcPr>
                  <w:tcW w:w="1134" w:type="dxa"/>
                  <w:vAlign w:val="center"/>
                </w:tcPr>
                <w:p>
                  <w:pPr>
                    <w:jc w:val="center"/>
                    <w:rPr>
                      <w:b/>
                      <w:color w:val="000000" w:themeColor="text1"/>
                      <w:szCs w:val="21"/>
                      <w:highlight w:val="none"/>
                    </w:rPr>
                  </w:pPr>
                  <w:r>
                    <w:rPr>
                      <w:rFonts w:hint="eastAsia"/>
                      <w:b/>
                      <w:color w:val="000000" w:themeColor="text1"/>
                      <w:szCs w:val="21"/>
                      <w:highlight w:val="none"/>
                    </w:rPr>
                    <w:t>参数名</w:t>
                  </w:r>
                </w:p>
              </w:tc>
              <w:tc>
                <w:tcPr>
                  <w:tcW w:w="1701" w:type="dxa"/>
                  <w:vAlign w:val="center"/>
                </w:tcPr>
                <w:p>
                  <w:pPr>
                    <w:jc w:val="center"/>
                    <w:rPr>
                      <w:b/>
                      <w:color w:val="000000" w:themeColor="text1"/>
                      <w:szCs w:val="21"/>
                      <w:highlight w:val="none"/>
                    </w:rPr>
                  </w:pPr>
                  <w:r>
                    <w:rPr>
                      <w:rFonts w:hint="eastAsia"/>
                      <w:b/>
                      <w:color w:val="000000" w:themeColor="text1"/>
                      <w:szCs w:val="21"/>
                      <w:highlight w:val="none"/>
                    </w:rPr>
                    <w:t>参数说明</w:t>
                  </w:r>
                </w:p>
              </w:tc>
              <w:tc>
                <w:tcPr>
                  <w:tcW w:w="3118" w:type="dxa"/>
                  <w:vMerge w:val="continue"/>
                </w:tcPr>
                <w:p>
                  <w:pPr>
                    <w:rPr>
                      <w:color w:val="000000" w:themeColor="text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8" w:hRule="atLeast"/>
              </w:trPr>
              <w:tc>
                <w:tcPr>
                  <w:tcW w:w="846" w:type="dxa"/>
                  <w:vAlign w:val="center"/>
                </w:tcPr>
                <w:p>
                  <w:pPr>
                    <w:rPr>
                      <w:color w:val="000000" w:themeColor="text1"/>
                      <w:szCs w:val="21"/>
                      <w:highlight w:val="none"/>
                    </w:rPr>
                  </w:pPr>
                  <w:r>
                    <w:rPr>
                      <w:rFonts w:cs="新宋体"/>
                      <w:color w:val="000000" w:themeColor="text1"/>
                      <w:szCs w:val="21"/>
                      <w:highlight w:val="none"/>
                    </w:rPr>
                    <w:t>Start</w:t>
                  </w:r>
                </w:p>
              </w:tc>
              <w:tc>
                <w:tcPr>
                  <w:tcW w:w="709" w:type="dxa"/>
                  <w:vAlign w:val="center"/>
                </w:tcPr>
                <w:p>
                  <w:pPr>
                    <w:rPr>
                      <w:color w:val="000000" w:themeColor="text1"/>
                      <w:szCs w:val="21"/>
                      <w:highlight w:val="none"/>
                    </w:rPr>
                  </w:pPr>
                  <w:r>
                    <w:rPr>
                      <w:rFonts w:hint="eastAsia"/>
                      <w:color w:val="000000" w:themeColor="text1"/>
                      <w:szCs w:val="21"/>
                      <w:highlight w:val="none"/>
                    </w:rPr>
                    <w:t>开始读卡</w:t>
                  </w:r>
                </w:p>
              </w:tc>
              <w:tc>
                <w:tcPr>
                  <w:tcW w:w="1134" w:type="dxa"/>
                  <w:vAlign w:val="center"/>
                </w:tcPr>
                <w:p>
                  <w:pPr>
                    <w:rPr>
                      <w:color w:val="000000" w:themeColor="text1"/>
                      <w:szCs w:val="21"/>
                      <w:highlight w:val="none"/>
                    </w:rPr>
                  </w:pPr>
                  <w:r>
                    <w:rPr>
                      <w:rFonts w:cs="新宋体"/>
                      <w:color w:val="000000" w:themeColor="text1"/>
                      <w:szCs w:val="21"/>
                      <w:highlight w:val="none"/>
                    </w:rPr>
                    <w:t>callback</w:t>
                  </w:r>
                </w:p>
              </w:tc>
              <w:tc>
                <w:tcPr>
                  <w:tcW w:w="1701" w:type="dxa"/>
                  <w:vAlign w:val="center"/>
                </w:tcPr>
                <w:p>
                  <w:pPr>
                    <w:rPr>
                      <w:color w:val="000000" w:themeColor="text1"/>
                      <w:szCs w:val="21"/>
                      <w:highlight w:val="none"/>
                    </w:rPr>
                  </w:pPr>
                  <w:r>
                    <w:rPr>
                      <w:rFonts w:hint="eastAsia"/>
                      <w:color w:val="000000" w:themeColor="text1"/>
                      <w:szCs w:val="21"/>
                      <w:highlight w:val="none"/>
                    </w:rPr>
                    <w:t>身份证读卡需要等待办事人操作，读卡要异步回调的方式进行，本参数是接收读卡返回内容的方法名</w:t>
                  </w:r>
                </w:p>
              </w:tc>
              <w:tc>
                <w:tcPr>
                  <w:tcW w:w="3118" w:type="dxa"/>
                </w:tcPr>
                <w:p>
                  <w:pPr>
                    <w:rPr>
                      <w:color w:val="000000" w:themeColor="text1"/>
                      <w:szCs w:val="21"/>
                      <w:highlight w:val="none"/>
                    </w:rPr>
                  </w:pPr>
                  <w:r>
                    <w:rPr>
                      <w:rFonts w:hint="eastAsia"/>
                      <w:color w:val="000000" w:themeColor="text1"/>
                      <w:szCs w:val="21"/>
                      <w:highlight w:val="none"/>
                    </w:rPr>
                    <w:t>回调返回的内容：</w:t>
                  </w:r>
                </w:p>
                <w:p>
                  <w:pPr>
                    <w:rPr>
                      <w:color w:val="000000" w:themeColor="text1"/>
                      <w:szCs w:val="21"/>
                      <w:highlight w:val="none"/>
                    </w:rPr>
                  </w:pPr>
                  <w:r>
                    <w:rPr>
                      <w:rFonts w:cs="新宋体"/>
                      <w:color w:val="000000" w:themeColor="text1"/>
                      <w:szCs w:val="21"/>
                      <w:highlight w:val="none"/>
                    </w:rPr>
                    <w:t xml:space="preserve">张三         </w:t>
                  </w:r>
                </w:p>
                <w:p>
                  <w:pPr>
                    <w:autoSpaceDE w:val="0"/>
                    <w:autoSpaceDN w:val="0"/>
                    <w:rPr>
                      <w:rFonts w:cs="新宋体"/>
                      <w:color w:val="000000" w:themeColor="text1"/>
                      <w:szCs w:val="21"/>
                      <w:highlight w:val="none"/>
                    </w:rPr>
                  </w:pPr>
                  <w:r>
                    <w:rPr>
                      <w:rFonts w:cs="新宋体"/>
                      <w:color w:val="000000" w:themeColor="text1"/>
                      <w:szCs w:val="21"/>
                      <w:highlight w:val="none"/>
                    </w:rPr>
                    <w:t>男</w:t>
                  </w:r>
                </w:p>
                <w:p>
                  <w:pPr>
                    <w:autoSpaceDE w:val="0"/>
                    <w:autoSpaceDN w:val="0"/>
                    <w:rPr>
                      <w:rFonts w:cs="新宋体"/>
                      <w:color w:val="000000" w:themeColor="text1"/>
                      <w:szCs w:val="21"/>
                      <w:highlight w:val="none"/>
                    </w:rPr>
                  </w:pPr>
                  <w:r>
                    <w:rPr>
                      <w:rFonts w:cs="新宋体"/>
                      <w:color w:val="000000" w:themeColor="text1"/>
                      <w:szCs w:val="21"/>
                      <w:highlight w:val="none"/>
                    </w:rPr>
                    <w:t>汉族</w:t>
                  </w:r>
                </w:p>
                <w:p>
                  <w:pPr>
                    <w:autoSpaceDE w:val="0"/>
                    <w:autoSpaceDN w:val="0"/>
                    <w:rPr>
                      <w:rFonts w:cs="新宋体"/>
                      <w:color w:val="000000" w:themeColor="text1"/>
                      <w:szCs w:val="21"/>
                      <w:highlight w:val="none"/>
                    </w:rPr>
                  </w:pPr>
                  <w:r>
                    <w:rPr>
                      <w:rFonts w:cs="新宋体"/>
                      <w:color w:val="000000" w:themeColor="text1"/>
                      <w:szCs w:val="21"/>
                      <w:highlight w:val="none"/>
                    </w:rPr>
                    <w:t>1992年10月06日</w:t>
                  </w:r>
                </w:p>
                <w:p>
                  <w:pPr>
                    <w:autoSpaceDE w:val="0"/>
                    <w:autoSpaceDN w:val="0"/>
                    <w:rPr>
                      <w:rFonts w:cs="新宋体"/>
                      <w:color w:val="000000" w:themeColor="text1"/>
                      <w:szCs w:val="21"/>
                      <w:highlight w:val="none"/>
                    </w:rPr>
                  </w:pPr>
                  <w:r>
                    <w:rPr>
                      <w:rFonts w:cs="新宋体"/>
                      <w:color w:val="000000" w:themeColor="text1"/>
                      <w:szCs w:val="21"/>
                      <w:highlight w:val="none"/>
                    </w:rPr>
                    <w:t>广东省</w:t>
                  </w:r>
                  <w:r>
                    <w:rPr>
                      <w:rFonts w:hint="eastAsia" w:cs="新宋体"/>
                      <w:color w:val="000000" w:themeColor="text1"/>
                      <w:szCs w:val="21"/>
                      <w:highlight w:val="none"/>
                    </w:rPr>
                    <w:t>深圳</w:t>
                  </w:r>
                  <w:r>
                    <w:rPr>
                      <w:rFonts w:cs="新宋体"/>
                      <w:color w:val="000000" w:themeColor="text1"/>
                      <w:szCs w:val="21"/>
                      <w:highlight w:val="none"/>
                    </w:rPr>
                    <w:t>市</w:t>
                  </w:r>
                  <w:r>
                    <w:rPr>
                      <w:rFonts w:hint="eastAsia" w:cs="新宋体"/>
                      <w:color w:val="000000" w:themeColor="text1"/>
                      <w:szCs w:val="21"/>
                      <w:highlight w:val="none"/>
                    </w:rPr>
                    <w:t>福田区福中</w:t>
                  </w:r>
                  <w:r>
                    <w:rPr>
                      <w:rFonts w:cs="新宋体"/>
                      <w:color w:val="000000" w:themeColor="text1"/>
                      <w:szCs w:val="21"/>
                      <w:highlight w:val="none"/>
                    </w:rPr>
                    <w:t xml:space="preserve">三路88号                  </w:t>
                  </w:r>
                </w:p>
                <w:p>
                  <w:pPr>
                    <w:autoSpaceDE w:val="0"/>
                    <w:autoSpaceDN w:val="0"/>
                    <w:rPr>
                      <w:rFonts w:cs="新宋体"/>
                      <w:color w:val="000000" w:themeColor="text1"/>
                      <w:szCs w:val="21"/>
                      <w:highlight w:val="none"/>
                    </w:rPr>
                  </w:pPr>
                  <w:r>
                    <w:rPr>
                      <w:rFonts w:cs="新宋体"/>
                      <w:color w:val="000000" w:themeColor="text1"/>
                      <w:szCs w:val="21"/>
                      <w:highlight w:val="none"/>
                    </w:rPr>
                    <w:t>4451211xxxxxxxxx</w:t>
                  </w:r>
                </w:p>
                <w:p>
                  <w:pPr>
                    <w:autoSpaceDE w:val="0"/>
                    <w:autoSpaceDN w:val="0"/>
                    <w:rPr>
                      <w:rFonts w:cs="新宋体"/>
                      <w:color w:val="000000" w:themeColor="text1"/>
                      <w:szCs w:val="21"/>
                      <w:highlight w:val="none"/>
                    </w:rPr>
                  </w:pPr>
                  <w:r>
                    <w:rPr>
                      <w:rFonts w:cs="新宋体"/>
                      <w:color w:val="000000" w:themeColor="text1"/>
                      <w:szCs w:val="21"/>
                      <w:highlight w:val="none"/>
                    </w:rPr>
                    <w:t xml:space="preserve">深圳市公安局         </w:t>
                  </w:r>
                </w:p>
                <w:p>
                  <w:pPr>
                    <w:rPr>
                      <w:color w:val="000000" w:themeColor="text1"/>
                      <w:szCs w:val="21"/>
                      <w:highlight w:val="none"/>
                    </w:rPr>
                  </w:pPr>
                  <w:r>
                    <w:rPr>
                      <w:rFonts w:cs="新宋体"/>
                      <w:color w:val="000000" w:themeColor="text1"/>
                      <w:szCs w:val="21"/>
                      <w:highlight w:val="none"/>
                    </w:rPr>
                    <w:t>2013.08.26-2023.08.26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8" w:hRule="atLeast"/>
              </w:trPr>
              <w:tc>
                <w:tcPr>
                  <w:tcW w:w="846" w:type="dxa"/>
                  <w:vAlign w:val="center"/>
                </w:tcPr>
                <w:p>
                  <w:pPr>
                    <w:jc w:val="center"/>
                    <w:rPr>
                      <w:color w:val="000000" w:themeColor="text1"/>
                      <w:highlight w:val="none"/>
                    </w:rPr>
                  </w:pPr>
                  <w:r>
                    <w:rPr>
                      <w:rFonts w:ascii="新宋体" w:hAnsi="新宋体" w:cs="新宋体"/>
                      <w:color w:val="000000" w:themeColor="text1"/>
                      <w:sz w:val="19"/>
                      <w:szCs w:val="19"/>
                      <w:highlight w:val="none"/>
                    </w:rPr>
                    <w:t>Stop</w:t>
                  </w:r>
                </w:p>
              </w:tc>
              <w:tc>
                <w:tcPr>
                  <w:tcW w:w="709" w:type="dxa"/>
                  <w:vAlign w:val="center"/>
                </w:tcPr>
                <w:p>
                  <w:pPr>
                    <w:jc w:val="center"/>
                    <w:rPr>
                      <w:color w:val="000000" w:themeColor="text1"/>
                      <w:szCs w:val="21"/>
                      <w:highlight w:val="none"/>
                    </w:rPr>
                  </w:pPr>
                  <w:r>
                    <w:rPr>
                      <w:rFonts w:hint="eastAsia"/>
                      <w:color w:val="000000" w:themeColor="text1"/>
                      <w:szCs w:val="21"/>
                      <w:highlight w:val="none"/>
                    </w:rPr>
                    <w:t>停止读卡</w:t>
                  </w:r>
                </w:p>
              </w:tc>
              <w:tc>
                <w:tcPr>
                  <w:tcW w:w="1134" w:type="dxa"/>
                </w:tcPr>
                <w:p>
                  <w:pPr>
                    <w:jc w:val="center"/>
                    <w:rPr>
                      <w:rFonts w:ascii="新宋体" w:hAnsi="新宋体" w:cs="新宋体"/>
                      <w:color w:val="000000" w:themeColor="text1"/>
                      <w:sz w:val="19"/>
                      <w:szCs w:val="19"/>
                      <w:highlight w:val="none"/>
                    </w:rPr>
                  </w:pPr>
                </w:p>
              </w:tc>
              <w:tc>
                <w:tcPr>
                  <w:tcW w:w="1701" w:type="dxa"/>
                  <w:vAlign w:val="center"/>
                </w:tcPr>
                <w:p>
                  <w:pPr>
                    <w:jc w:val="center"/>
                    <w:rPr>
                      <w:rFonts w:ascii="新宋体" w:hAnsi="新宋体" w:cs="新宋体"/>
                      <w:color w:val="000000" w:themeColor="text1"/>
                      <w:sz w:val="19"/>
                      <w:szCs w:val="19"/>
                      <w:highlight w:val="none"/>
                    </w:rPr>
                  </w:pPr>
                </w:p>
              </w:tc>
              <w:tc>
                <w:tcPr>
                  <w:tcW w:w="3118" w:type="dxa"/>
                  <w:vAlign w:val="center"/>
                </w:tcPr>
                <w:p>
                  <w:pPr>
                    <w:jc w:val="center"/>
                    <w:rPr>
                      <w:rFonts w:ascii="新宋体" w:hAnsi="新宋体" w:cs="新宋体"/>
                      <w:color w:val="000000" w:themeColor="text1"/>
                      <w:sz w:val="19"/>
                      <w:szCs w:val="19"/>
                      <w:highlight w:val="none"/>
                    </w:rPr>
                  </w:pPr>
                </w:p>
              </w:tc>
            </w:tr>
          </w:tbl>
          <w:p>
            <w:pPr>
              <w:rPr>
                <w:bCs/>
                <w:color w:val="000000" w:themeColor="text1"/>
                <w:szCs w:val="21"/>
                <w:highlight w:val="none"/>
              </w:rPr>
            </w:pPr>
          </w:p>
          <w:p>
            <w:pPr>
              <w:spacing w:line="360" w:lineRule="exact"/>
              <w:rPr>
                <w:color w:val="000000" w:themeColor="text1"/>
                <w:szCs w:val="21"/>
                <w:highlight w:val="none"/>
              </w:rPr>
            </w:pPr>
            <w:r>
              <w:rPr>
                <w:rFonts w:hint="eastAsia"/>
                <w:b/>
                <w:color w:val="000000" w:themeColor="text1"/>
                <w:szCs w:val="21"/>
                <w:highlight w:val="none"/>
              </w:rPr>
              <w:t>1</w:t>
            </w:r>
            <w:r>
              <w:rPr>
                <w:b/>
                <w:color w:val="000000" w:themeColor="text1"/>
                <w:szCs w:val="21"/>
                <w:highlight w:val="none"/>
              </w:rPr>
              <w:t>.3.</w:t>
            </w:r>
            <w:r>
              <w:rPr>
                <w:rFonts w:hint="eastAsia"/>
                <w:b/>
                <w:color w:val="000000" w:themeColor="text1"/>
                <w:szCs w:val="21"/>
                <w:highlight w:val="none"/>
              </w:rPr>
              <w:t>2 U盘隔离器</w:t>
            </w:r>
          </w:p>
          <w:tbl>
            <w:tblPr>
              <w:tblStyle w:val="44"/>
              <w:tblpPr w:leftFromText="180" w:rightFromText="180" w:vertAnchor="text" w:horzAnchor="margin" w:tblpX="69" w:tblpY="110"/>
              <w:tblW w:w="75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6"/>
              <w:gridCol w:w="1560"/>
              <w:gridCol w:w="2078"/>
              <w:gridCol w:w="21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696" w:type="dxa"/>
                  <w:vAlign w:val="center"/>
                </w:tcPr>
                <w:p>
                  <w:pPr>
                    <w:jc w:val="center"/>
                    <w:rPr>
                      <w:b/>
                      <w:color w:val="000000" w:themeColor="text1"/>
                      <w:szCs w:val="21"/>
                      <w:highlight w:val="none"/>
                    </w:rPr>
                  </w:pPr>
                  <w:r>
                    <w:rPr>
                      <w:rFonts w:hint="eastAsia"/>
                      <w:b/>
                      <w:color w:val="000000" w:themeColor="text1"/>
                      <w:szCs w:val="21"/>
                      <w:highlight w:val="none"/>
                    </w:rPr>
                    <w:t>方法</w:t>
                  </w:r>
                </w:p>
              </w:tc>
              <w:tc>
                <w:tcPr>
                  <w:tcW w:w="1560" w:type="dxa"/>
                  <w:vAlign w:val="center"/>
                </w:tcPr>
                <w:p>
                  <w:pPr>
                    <w:jc w:val="center"/>
                    <w:rPr>
                      <w:b/>
                      <w:color w:val="000000" w:themeColor="text1"/>
                      <w:szCs w:val="21"/>
                      <w:highlight w:val="none"/>
                    </w:rPr>
                  </w:pPr>
                  <w:r>
                    <w:rPr>
                      <w:rFonts w:hint="eastAsia"/>
                      <w:b/>
                      <w:color w:val="000000" w:themeColor="text1"/>
                      <w:szCs w:val="21"/>
                      <w:highlight w:val="none"/>
                    </w:rPr>
                    <w:t>说明</w:t>
                  </w:r>
                </w:p>
              </w:tc>
              <w:tc>
                <w:tcPr>
                  <w:tcW w:w="2078" w:type="dxa"/>
                  <w:vAlign w:val="center"/>
                </w:tcPr>
                <w:p>
                  <w:pPr>
                    <w:jc w:val="center"/>
                    <w:rPr>
                      <w:b/>
                      <w:color w:val="000000" w:themeColor="text1"/>
                      <w:szCs w:val="21"/>
                      <w:highlight w:val="none"/>
                    </w:rPr>
                  </w:pPr>
                  <w:r>
                    <w:rPr>
                      <w:rFonts w:hint="eastAsia"/>
                      <w:b/>
                      <w:color w:val="000000" w:themeColor="text1"/>
                      <w:szCs w:val="21"/>
                      <w:highlight w:val="none"/>
                    </w:rPr>
                    <w:t>参数</w:t>
                  </w:r>
                </w:p>
              </w:tc>
              <w:tc>
                <w:tcPr>
                  <w:tcW w:w="2174" w:type="dxa"/>
                  <w:vAlign w:val="center"/>
                </w:tcPr>
                <w:p>
                  <w:pPr>
                    <w:jc w:val="center"/>
                    <w:rPr>
                      <w:b/>
                      <w:color w:val="000000" w:themeColor="text1"/>
                      <w:szCs w:val="21"/>
                      <w:highlight w:val="none"/>
                    </w:rPr>
                  </w:pPr>
                  <w:r>
                    <w:rPr>
                      <w:rFonts w:hint="eastAsia"/>
                      <w:b/>
                      <w:color w:val="000000" w:themeColor="text1"/>
                      <w:szCs w:val="21"/>
                      <w:highlight w:val="none"/>
                    </w:rPr>
                    <w:t>返回结果要求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2" w:hRule="atLeast"/>
              </w:trPr>
              <w:tc>
                <w:tcPr>
                  <w:tcW w:w="1696" w:type="dxa"/>
                  <w:vAlign w:val="center"/>
                </w:tcPr>
                <w:p>
                  <w:pPr>
                    <w:rPr>
                      <w:color w:val="000000" w:themeColor="text1"/>
                      <w:szCs w:val="21"/>
                      <w:highlight w:val="none"/>
                    </w:rPr>
                  </w:pPr>
                  <w:r>
                    <w:rPr>
                      <w:rFonts w:cs="新宋体"/>
                      <w:color w:val="000000" w:themeColor="text1"/>
                      <w:szCs w:val="21"/>
                      <w:highlight w:val="none"/>
                    </w:rPr>
                    <w:t>GetUSBIsExit</w:t>
                  </w:r>
                </w:p>
              </w:tc>
              <w:tc>
                <w:tcPr>
                  <w:tcW w:w="1560" w:type="dxa"/>
                  <w:vAlign w:val="center"/>
                </w:tcPr>
                <w:p>
                  <w:pPr>
                    <w:rPr>
                      <w:color w:val="000000" w:themeColor="text1"/>
                      <w:szCs w:val="21"/>
                      <w:highlight w:val="none"/>
                    </w:rPr>
                  </w:pPr>
                  <w:r>
                    <w:rPr>
                      <w:rFonts w:hint="eastAsia"/>
                      <w:color w:val="000000" w:themeColor="text1"/>
                      <w:szCs w:val="21"/>
                      <w:highlight w:val="none"/>
                    </w:rPr>
                    <w:t>检查读卡器是否连接了U盘</w:t>
                  </w:r>
                </w:p>
              </w:tc>
              <w:tc>
                <w:tcPr>
                  <w:tcW w:w="2078" w:type="dxa"/>
                  <w:vAlign w:val="center"/>
                </w:tcPr>
                <w:p>
                  <w:pPr>
                    <w:rPr>
                      <w:color w:val="000000" w:themeColor="text1"/>
                      <w:szCs w:val="21"/>
                      <w:highlight w:val="none"/>
                    </w:rPr>
                  </w:pPr>
                </w:p>
              </w:tc>
              <w:tc>
                <w:tcPr>
                  <w:tcW w:w="2174" w:type="dxa"/>
                </w:tcPr>
                <w:p>
                  <w:pPr>
                    <w:rPr>
                      <w:color w:val="000000" w:themeColor="text1"/>
                      <w:szCs w:val="21"/>
                      <w:highlight w:val="none"/>
                    </w:rPr>
                  </w:pPr>
                  <w:r>
                    <w:rPr>
                      <w:rFonts w:hint="eastAsia"/>
                      <w:color w:val="000000" w:themeColor="text1"/>
                      <w:szCs w:val="21"/>
                      <w:highlight w:val="none"/>
                    </w:rPr>
                    <w:t>bool</w:t>
                  </w:r>
                </w:p>
                <w:p>
                  <w:pPr>
                    <w:rPr>
                      <w:color w:val="000000" w:themeColor="text1"/>
                      <w:szCs w:val="21"/>
                      <w:highlight w:val="none"/>
                    </w:rPr>
                  </w:pPr>
                  <w:r>
                    <w:rPr>
                      <w:rFonts w:hint="eastAsia"/>
                      <w:color w:val="000000" w:themeColor="text1"/>
                      <w:szCs w:val="21"/>
                      <w:highlight w:val="none"/>
                    </w:rPr>
                    <w:t>true/false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3" w:hRule="atLeast"/>
              </w:trPr>
              <w:tc>
                <w:tcPr>
                  <w:tcW w:w="1696" w:type="dxa"/>
                </w:tcPr>
                <w:p>
                  <w:pPr>
                    <w:rPr>
                      <w:color w:val="000000" w:themeColor="text1"/>
                      <w:szCs w:val="21"/>
                      <w:highlight w:val="none"/>
                    </w:rPr>
                  </w:pPr>
                  <w:r>
                    <w:rPr>
                      <w:rFonts w:cs="新宋体"/>
                      <w:color w:val="000000" w:themeColor="text1"/>
                      <w:szCs w:val="21"/>
                      <w:highlight w:val="none"/>
                    </w:rPr>
                    <w:t>GetSubDir</w:t>
                  </w:r>
                </w:p>
              </w:tc>
              <w:tc>
                <w:tcPr>
                  <w:tcW w:w="1560" w:type="dxa"/>
                </w:tcPr>
                <w:p>
                  <w:pPr>
                    <w:rPr>
                      <w:color w:val="000000" w:themeColor="text1"/>
                      <w:szCs w:val="21"/>
                      <w:highlight w:val="none"/>
                    </w:rPr>
                  </w:pPr>
                  <w:r>
                    <w:rPr>
                      <w:rFonts w:hint="eastAsia"/>
                      <w:color w:val="000000" w:themeColor="text1"/>
                      <w:szCs w:val="21"/>
                      <w:highlight w:val="none"/>
                    </w:rPr>
                    <w:t>读取U盘指定目录下的文件/目录列表</w:t>
                  </w:r>
                </w:p>
              </w:tc>
              <w:tc>
                <w:tcPr>
                  <w:tcW w:w="2078" w:type="dxa"/>
                </w:tcPr>
                <w:p>
                  <w:pPr>
                    <w:rPr>
                      <w:rFonts w:cs="新宋体"/>
                      <w:color w:val="000000" w:themeColor="text1"/>
                      <w:szCs w:val="21"/>
                      <w:highlight w:val="none"/>
                    </w:rPr>
                  </w:pPr>
                  <w:r>
                    <w:rPr>
                      <w:rFonts w:cs="新宋体"/>
                      <w:color w:val="000000" w:themeColor="text1"/>
                      <w:szCs w:val="21"/>
                      <w:highlight w:val="none"/>
                    </w:rPr>
                    <w:t>dir：</w:t>
                  </w:r>
                  <w:r>
                    <w:rPr>
                      <w:rFonts w:hint="eastAsia" w:cs="新宋体"/>
                      <w:color w:val="000000" w:themeColor="text1"/>
                      <w:szCs w:val="21"/>
                      <w:highlight w:val="none"/>
                    </w:rPr>
                    <w:t xml:space="preserve"> 读取的U盘目录名</w:t>
                  </w:r>
                </w:p>
                <w:p>
                  <w:pPr>
                    <w:rPr>
                      <w:color w:val="000000" w:themeColor="text1"/>
                      <w:szCs w:val="21"/>
                      <w:highlight w:val="none"/>
                    </w:rPr>
                  </w:pPr>
                  <w:r>
                    <w:rPr>
                      <w:rFonts w:cs="新宋体"/>
                      <w:color w:val="000000" w:themeColor="text1"/>
                      <w:szCs w:val="21"/>
                      <w:highlight w:val="none"/>
                    </w:rPr>
                    <w:t>extName：</w:t>
                  </w:r>
                  <w:r>
                    <w:rPr>
                      <w:rFonts w:hint="eastAsia" w:cs="新宋体"/>
                      <w:color w:val="000000" w:themeColor="text1"/>
                      <w:szCs w:val="21"/>
                      <w:highlight w:val="none"/>
                    </w:rPr>
                    <w:t xml:space="preserve"> 过滤的扩展名（可空）</w:t>
                  </w:r>
                </w:p>
              </w:tc>
              <w:tc>
                <w:tcPr>
                  <w:tcW w:w="2174" w:type="dxa"/>
                </w:tcPr>
                <w:p>
                  <w:pPr>
                    <w:rPr>
                      <w:rFonts w:cs="新宋体"/>
                      <w:color w:val="000000" w:themeColor="text1"/>
                      <w:szCs w:val="21"/>
                      <w:highlight w:val="none"/>
                    </w:rPr>
                  </w:pPr>
                  <w:r>
                    <w:rPr>
                      <w:rFonts w:cs="新宋体"/>
                      <w:color w:val="000000" w:themeColor="text1"/>
                      <w:szCs w:val="21"/>
                      <w:highlight w:val="none"/>
                    </w:rPr>
                    <w:t>System Volume Information/*&gt;身份证国徽面.jpg&gt;</w:t>
                  </w:r>
                </w:p>
                <w:p>
                  <w:pPr>
                    <w:rPr>
                      <w:color w:val="000000" w:themeColor="text1"/>
                      <w:szCs w:val="21"/>
                      <w:highlight w:val="none"/>
                    </w:rPr>
                  </w:pPr>
                  <w:r>
                    <w:rPr>
                      <w:rFonts w:hint="eastAsia" w:cs="新宋体"/>
                      <w:color w:val="000000" w:themeColor="text1"/>
                      <w:szCs w:val="21"/>
                      <w:highlight w:val="none"/>
                    </w:rPr>
                    <w:t>目录以“</w:t>
                  </w:r>
                  <w:r>
                    <w:rPr>
                      <w:rFonts w:cs="新宋体"/>
                      <w:color w:val="000000" w:themeColor="text1"/>
                      <w:szCs w:val="21"/>
                      <w:highlight w:val="none"/>
                    </w:rPr>
                    <w:t>/*&gt;”</w:t>
                  </w:r>
                  <w:r>
                    <w:rPr>
                      <w:rFonts w:hint="eastAsia" w:cs="新宋体"/>
                      <w:color w:val="000000" w:themeColor="text1"/>
                      <w:szCs w:val="21"/>
                      <w:highlight w:val="none"/>
                    </w:rPr>
                    <w:t>分隔；文件以</w:t>
                  </w:r>
                  <w:r>
                    <w:rPr>
                      <w:rFonts w:cs="新宋体"/>
                      <w:color w:val="000000" w:themeColor="text1"/>
                      <w:szCs w:val="21"/>
                      <w:highlight w:val="none"/>
                    </w:rPr>
                    <w:t>“&gt;”</w:t>
                  </w:r>
                  <w:r>
                    <w:rPr>
                      <w:rFonts w:hint="eastAsia" w:cs="新宋体"/>
                      <w:color w:val="000000" w:themeColor="text1"/>
                      <w:szCs w:val="21"/>
                      <w:highlight w:val="none"/>
                    </w:rPr>
                    <w:t>分隔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6" w:hRule="atLeast"/>
              </w:trPr>
              <w:tc>
                <w:tcPr>
                  <w:tcW w:w="1696" w:type="dxa"/>
                </w:tcPr>
                <w:p>
                  <w:pPr>
                    <w:rPr>
                      <w:rFonts w:cs="新宋体"/>
                      <w:color w:val="000000" w:themeColor="text1"/>
                      <w:szCs w:val="21"/>
                      <w:highlight w:val="none"/>
                    </w:rPr>
                  </w:pPr>
                  <w:r>
                    <w:rPr>
                      <w:rFonts w:cs="新宋体"/>
                      <w:color w:val="000000" w:themeColor="text1"/>
                      <w:szCs w:val="21"/>
                      <w:highlight w:val="none"/>
                    </w:rPr>
                    <w:t>ReadUsbFile</w:t>
                  </w:r>
                </w:p>
              </w:tc>
              <w:tc>
                <w:tcPr>
                  <w:tcW w:w="1560" w:type="dxa"/>
                </w:tcPr>
                <w:p>
                  <w:pPr>
                    <w:rPr>
                      <w:color w:val="000000" w:themeColor="text1"/>
                      <w:szCs w:val="21"/>
                      <w:highlight w:val="none"/>
                    </w:rPr>
                  </w:pPr>
                  <w:r>
                    <w:rPr>
                      <w:rFonts w:hint="eastAsia"/>
                      <w:color w:val="000000" w:themeColor="text1"/>
                      <w:szCs w:val="21"/>
                      <w:highlight w:val="none"/>
                    </w:rPr>
                    <w:t>从U盘读文件到主机上</w:t>
                  </w:r>
                </w:p>
              </w:tc>
              <w:tc>
                <w:tcPr>
                  <w:tcW w:w="2078" w:type="dxa"/>
                </w:tcPr>
                <w:p>
                  <w:pPr>
                    <w:rPr>
                      <w:rFonts w:cs="新宋体"/>
                      <w:color w:val="000000" w:themeColor="text1"/>
                      <w:szCs w:val="21"/>
                      <w:highlight w:val="none"/>
                    </w:rPr>
                  </w:pPr>
                  <w:r>
                    <w:rPr>
                      <w:rFonts w:cs="新宋体"/>
                      <w:color w:val="000000" w:themeColor="text1"/>
                      <w:szCs w:val="21"/>
                      <w:highlight w:val="none"/>
                    </w:rPr>
                    <w:t>sDir：</w:t>
                  </w:r>
                  <w:r>
                    <w:rPr>
                      <w:rFonts w:hint="eastAsia" w:cs="新宋体"/>
                      <w:color w:val="000000" w:themeColor="text1"/>
                      <w:szCs w:val="21"/>
                      <w:highlight w:val="none"/>
                    </w:rPr>
                    <w:t>U盘上的文件夹名，如：\\tmp</w:t>
                  </w:r>
                </w:p>
                <w:p>
                  <w:pPr>
                    <w:rPr>
                      <w:rFonts w:cs="新宋体"/>
                      <w:color w:val="000000" w:themeColor="text1"/>
                      <w:szCs w:val="21"/>
                      <w:highlight w:val="none"/>
                    </w:rPr>
                  </w:pPr>
                  <w:r>
                    <w:rPr>
                      <w:rFonts w:cs="新宋体"/>
                      <w:color w:val="000000" w:themeColor="text1"/>
                      <w:szCs w:val="21"/>
                      <w:highlight w:val="none"/>
                    </w:rPr>
                    <w:t>dDir</w:t>
                  </w:r>
                  <w:r>
                    <w:rPr>
                      <w:rFonts w:hint="eastAsia" w:cs="新宋体"/>
                      <w:color w:val="000000" w:themeColor="text1"/>
                      <w:szCs w:val="21"/>
                      <w:highlight w:val="none"/>
                    </w:rPr>
                    <w:t>：</w:t>
                  </w:r>
                  <w:r>
                    <w:rPr>
                      <w:rFonts w:cs="新宋体"/>
                      <w:color w:val="000000" w:themeColor="text1"/>
                      <w:szCs w:val="21"/>
                      <w:highlight w:val="none"/>
                    </w:rPr>
                    <w:t>PC上的文件夹名，如：C:\\app</w:t>
                  </w:r>
                </w:p>
                <w:p>
                  <w:pPr>
                    <w:rPr>
                      <w:rFonts w:cs="新宋体"/>
                      <w:color w:val="000000" w:themeColor="text1"/>
                      <w:szCs w:val="21"/>
                      <w:highlight w:val="none"/>
                    </w:rPr>
                  </w:pPr>
                  <w:r>
                    <w:rPr>
                      <w:rFonts w:cs="新宋体"/>
                      <w:color w:val="000000" w:themeColor="text1"/>
                      <w:szCs w:val="21"/>
                      <w:highlight w:val="none"/>
                    </w:rPr>
                    <w:t>fileName：</w:t>
                  </w:r>
                  <w:r>
                    <w:rPr>
                      <w:rFonts w:hint="eastAsia" w:cs="新宋体"/>
                      <w:color w:val="000000" w:themeColor="text1"/>
                      <w:szCs w:val="21"/>
                      <w:highlight w:val="none"/>
                    </w:rPr>
                    <w:t>需要读取的文件名</w:t>
                  </w:r>
                </w:p>
              </w:tc>
              <w:tc>
                <w:tcPr>
                  <w:tcW w:w="2174" w:type="dxa"/>
                </w:tcPr>
                <w:p>
                  <w:pPr>
                    <w:rPr>
                      <w:rFonts w:cs="新宋体"/>
                      <w:color w:val="000000" w:themeColor="text1"/>
                      <w:szCs w:val="21"/>
                      <w:highlight w:val="none"/>
                    </w:rPr>
                  </w:pPr>
                  <w:r>
                    <w:rPr>
                      <w:rFonts w:hint="eastAsia" w:cs="新宋体"/>
                      <w:color w:val="000000" w:themeColor="text1"/>
                      <w:szCs w:val="21"/>
                      <w:highlight w:val="none"/>
                    </w:rPr>
                    <w:t>返回string</w:t>
                  </w:r>
                </w:p>
                <w:p>
                  <w:pPr>
                    <w:rPr>
                      <w:rFonts w:cs="新宋体"/>
                      <w:color w:val="000000" w:themeColor="text1"/>
                      <w:szCs w:val="21"/>
                      <w:highlight w:val="none"/>
                    </w:rPr>
                  </w:pPr>
                  <w:r>
                    <w:rPr>
                      <w:rFonts w:hint="eastAsia" w:cs="新宋体"/>
                      <w:color w:val="000000" w:themeColor="text1"/>
                      <w:szCs w:val="21"/>
                      <w:highlight w:val="none"/>
                    </w:rPr>
                    <w:t>成功：0</w:t>
                  </w:r>
                </w:p>
                <w:p>
                  <w:pPr>
                    <w:rPr>
                      <w:rFonts w:cs="新宋体"/>
                      <w:color w:val="000000" w:themeColor="text1"/>
                      <w:szCs w:val="21"/>
                      <w:highlight w:val="none"/>
                    </w:rPr>
                  </w:pPr>
                  <w:r>
                    <w:rPr>
                      <w:rFonts w:hint="eastAsia" w:cs="新宋体"/>
                      <w:color w:val="000000" w:themeColor="text1"/>
                      <w:szCs w:val="21"/>
                      <w:highlight w:val="none"/>
                    </w:rPr>
                    <w:t>错误：</w:t>
                  </w:r>
                </w:p>
                <w:p>
                  <w:pPr>
                    <w:ind w:firstLine="105" w:firstLineChars="50"/>
                    <w:rPr>
                      <w:rFonts w:cs="新宋体"/>
                      <w:color w:val="000000" w:themeColor="text1"/>
                      <w:szCs w:val="21"/>
                      <w:highlight w:val="none"/>
                    </w:rPr>
                  </w:pPr>
                  <w:r>
                    <w:rPr>
                      <w:rFonts w:hint="eastAsia" w:cs="新宋体"/>
                      <w:color w:val="000000" w:themeColor="text1"/>
                      <w:szCs w:val="21"/>
                      <w:highlight w:val="none"/>
                    </w:rPr>
                    <w:t>Err: file is not exist.</w:t>
                  </w:r>
                </w:p>
                <w:p>
                  <w:pPr>
                    <w:rPr>
                      <w:rFonts w:cs="新宋体"/>
                      <w:color w:val="000000" w:themeColor="text1"/>
                      <w:szCs w:val="21"/>
                      <w:highlight w:val="none"/>
                    </w:rPr>
                  </w:pPr>
                  <w:r>
                    <w:rPr>
                      <w:rFonts w:hint="eastAsia" w:cs="新宋体"/>
                      <w:color w:val="000000" w:themeColor="text1"/>
                      <w:szCs w:val="21"/>
                      <w:highlight w:val="none"/>
                    </w:rPr>
                    <w:t xml:space="preserve"> Err: Create Directory Failed! </w:t>
                  </w:r>
                </w:p>
                <w:p>
                  <w:pPr>
                    <w:ind w:firstLine="105" w:firstLineChars="50"/>
                    <w:rPr>
                      <w:rFonts w:cs="新宋体"/>
                      <w:color w:val="000000" w:themeColor="text1"/>
                      <w:szCs w:val="21"/>
                      <w:highlight w:val="none"/>
                    </w:rPr>
                  </w:pPr>
                  <w:r>
                    <w:rPr>
                      <w:rFonts w:hint="eastAsia" w:cs="新宋体"/>
                      <w:color w:val="000000" w:themeColor="text1"/>
                      <w:szCs w:val="21"/>
                      <w:highlight w:val="none"/>
                    </w:rPr>
                    <w:t>Err: Memory Allocation Fail</w:t>
                  </w:r>
                </w:p>
                <w:p>
                  <w:pPr>
                    <w:ind w:firstLine="105" w:firstLineChars="50"/>
                    <w:rPr>
                      <w:rFonts w:cs="新宋体"/>
                      <w:color w:val="000000" w:themeColor="text1"/>
                      <w:szCs w:val="21"/>
                      <w:highlight w:val="none"/>
                    </w:rPr>
                  </w:pPr>
                  <w:r>
                    <w:rPr>
                      <w:rFonts w:hint="eastAsia" w:cs="新宋体"/>
                      <w:color w:val="000000" w:themeColor="text1"/>
                      <w:szCs w:val="21"/>
                      <w:highlight w:val="none"/>
                    </w:rPr>
                    <w:t>Err: xx 隔离器报错；</w:t>
                  </w:r>
                </w:p>
                <w:p>
                  <w:pPr>
                    <w:ind w:firstLine="105" w:firstLineChars="50"/>
                    <w:rPr>
                      <w:rFonts w:cs="新宋体"/>
                      <w:color w:val="000000" w:themeColor="text1"/>
                      <w:szCs w:val="21"/>
                      <w:highlight w:val="none"/>
                    </w:rPr>
                  </w:pPr>
                  <w:r>
                    <w:rPr>
                      <w:rFonts w:hint="eastAsia" w:cs="新宋体"/>
                      <w:color w:val="000000" w:themeColor="text1"/>
                      <w:szCs w:val="21"/>
                      <w:highlight w:val="none"/>
                    </w:rPr>
                    <w:t>Err: Read is canceled by user</w:t>
                  </w:r>
                </w:p>
                <w:p>
                  <w:pPr>
                    <w:ind w:firstLine="105" w:firstLineChars="50"/>
                    <w:rPr>
                      <w:rFonts w:cs="新宋体"/>
                      <w:color w:val="000000" w:themeColor="text1"/>
                      <w:szCs w:val="21"/>
                      <w:highlight w:val="none"/>
                    </w:rPr>
                  </w:pPr>
                  <w:r>
                    <w:rPr>
                      <w:rFonts w:hint="eastAsia" w:cs="新宋体"/>
                      <w:color w:val="000000" w:themeColor="text1"/>
                      <w:szCs w:val="21"/>
                      <w:highlight w:val="none"/>
                    </w:rPr>
                    <w:t>Err: Create file &lt;xx&gt; Fail.</w:t>
                  </w:r>
                </w:p>
              </w:tc>
            </w:tr>
          </w:tbl>
          <w:p>
            <w:pPr>
              <w:jc w:val="center"/>
              <w:rPr>
                <w:bCs/>
                <w:color w:val="000000" w:themeColor="text1"/>
                <w:szCs w:val="21"/>
                <w:highlight w:val="none"/>
              </w:rPr>
            </w:pPr>
          </w:p>
          <w:p>
            <w:pPr>
              <w:spacing w:line="360" w:lineRule="exact"/>
              <w:rPr>
                <w:b/>
                <w:color w:val="000000" w:themeColor="text1"/>
                <w:szCs w:val="21"/>
                <w:highlight w:val="none"/>
              </w:rPr>
            </w:pPr>
            <w:r>
              <w:rPr>
                <w:rFonts w:hint="eastAsia"/>
                <w:b/>
                <w:color w:val="000000" w:themeColor="text1"/>
                <w:szCs w:val="21"/>
                <w:highlight w:val="none"/>
              </w:rPr>
              <w:t>1</w:t>
            </w:r>
            <w:r>
              <w:rPr>
                <w:b/>
                <w:color w:val="000000" w:themeColor="text1"/>
                <w:szCs w:val="21"/>
                <w:highlight w:val="none"/>
              </w:rPr>
              <w:t>.3.</w:t>
            </w:r>
            <w:r>
              <w:rPr>
                <w:rFonts w:hint="eastAsia"/>
                <w:b/>
                <w:color w:val="000000" w:themeColor="text1"/>
                <w:szCs w:val="21"/>
                <w:highlight w:val="none"/>
              </w:rPr>
              <w:t>3 打印机</w:t>
            </w:r>
          </w:p>
          <w:tbl>
            <w:tblPr>
              <w:tblStyle w:val="44"/>
              <w:tblW w:w="759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04"/>
              <w:gridCol w:w="1134"/>
              <w:gridCol w:w="1134"/>
              <w:gridCol w:w="382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2" w:hRule="atLeast"/>
              </w:trPr>
              <w:tc>
                <w:tcPr>
                  <w:tcW w:w="1504" w:type="dxa"/>
                  <w:vAlign w:val="center"/>
                </w:tcPr>
                <w:p>
                  <w:pPr>
                    <w:jc w:val="center"/>
                    <w:rPr>
                      <w:b/>
                      <w:color w:val="000000" w:themeColor="text1"/>
                      <w:szCs w:val="21"/>
                      <w:highlight w:val="none"/>
                    </w:rPr>
                  </w:pPr>
                  <w:r>
                    <w:rPr>
                      <w:rFonts w:hint="eastAsia"/>
                      <w:b/>
                      <w:color w:val="000000" w:themeColor="text1"/>
                      <w:szCs w:val="21"/>
                      <w:highlight w:val="none"/>
                    </w:rPr>
                    <w:t>方法</w:t>
                  </w:r>
                </w:p>
              </w:tc>
              <w:tc>
                <w:tcPr>
                  <w:tcW w:w="1134" w:type="dxa"/>
                  <w:vAlign w:val="center"/>
                </w:tcPr>
                <w:p>
                  <w:pPr>
                    <w:jc w:val="center"/>
                    <w:rPr>
                      <w:b/>
                      <w:color w:val="000000" w:themeColor="text1"/>
                      <w:szCs w:val="21"/>
                      <w:highlight w:val="none"/>
                    </w:rPr>
                  </w:pPr>
                  <w:r>
                    <w:rPr>
                      <w:rFonts w:hint="eastAsia"/>
                      <w:b/>
                      <w:color w:val="000000" w:themeColor="text1"/>
                      <w:szCs w:val="21"/>
                      <w:highlight w:val="none"/>
                    </w:rPr>
                    <w:t>说明</w:t>
                  </w:r>
                </w:p>
              </w:tc>
              <w:tc>
                <w:tcPr>
                  <w:tcW w:w="1134" w:type="dxa"/>
                  <w:vAlign w:val="center"/>
                </w:tcPr>
                <w:p>
                  <w:pPr>
                    <w:jc w:val="center"/>
                    <w:rPr>
                      <w:b/>
                      <w:color w:val="000000" w:themeColor="text1"/>
                      <w:szCs w:val="21"/>
                      <w:highlight w:val="none"/>
                    </w:rPr>
                  </w:pPr>
                  <w:r>
                    <w:rPr>
                      <w:rFonts w:hint="eastAsia"/>
                      <w:b/>
                      <w:color w:val="000000" w:themeColor="text1"/>
                      <w:szCs w:val="21"/>
                      <w:highlight w:val="none"/>
                    </w:rPr>
                    <w:t>参数</w:t>
                  </w:r>
                </w:p>
              </w:tc>
              <w:tc>
                <w:tcPr>
                  <w:tcW w:w="3827" w:type="dxa"/>
                  <w:vAlign w:val="center"/>
                </w:tcPr>
                <w:p>
                  <w:pPr>
                    <w:jc w:val="center"/>
                    <w:rPr>
                      <w:b/>
                      <w:color w:val="000000" w:themeColor="text1"/>
                      <w:szCs w:val="21"/>
                      <w:highlight w:val="none"/>
                    </w:rPr>
                  </w:pPr>
                  <w:r>
                    <w:rPr>
                      <w:rFonts w:hint="eastAsia"/>
                      <w:b/>
                      <w:color w:val="000000" w:themeColor="text1"/>
                      <w:szCs w:val="21"/>
                      <w:highlight w:val="none"/>
                    </w:rPr>
                    <w:t>返回结果要求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04" w:type="dxa"/>
                  <w:vAlign w:val="center"/>
                </w:tcPr>
                <w:p>
                  <w:pPr>
                    <w:rPr>
                      <w:color w:val="000000" w:themeColor="text1"/>
                      <w:szCs w:val="21"/>
                      <w:highlight w:val="none"/>
                    </w:rPr>
                  </w:pPr>
                  <w:r>
                    <w:rPr>
                      <w:rFonts w:cs="新宋体"/>
                      <w:color w:val="000000" w:themeColor="text1"/>
                      <w:szCs w:val="21"/>
                      <w:highlight w:val="none"/>
                    </w:rPr>
                    <w:t>GetStatus</w:t>
                  </w:r>
                </w:p>
              </w:tc>
              <w:tc>
                <w:tcPr>
                  <w:tcW w:w="1134" w:type="dxa"/>
                  <w:vAlign w:val="center"/>
                </w:tcPr>
                <w:p>
                  <w:pPr>
                    <w:rPr>
                      <w:color w:val="000000" w:themeColor="text1"/>
                      <w:szCs w:val="21"/>
                      <w:highlight w:val="none"/>
                    </w:rPr>
                  </w:pPr>
                  <w:r>
                    <w:rPr>
                      <w:rFonts w:hint="eastAsia"/>
                      <w:color w:val="000000" w:themeColor="text1"/>
                      <w:szCs w:val="21"/>
                      <w:highlight w:val="none"/>
                    </w:rPr>
                    <w:t>返回打印机状态</w:t>
                  </w:r>
                </w:p>
              </w:tc>
              <w:tc>
                <w:tcPr>
                  <w:tcW w:w="1134" w:type="dxa"/>
                  <w:vAlign w:val="center"/>
                </w:tcPr>
                <w:p>
                  <w:pPr>
                    <w:rPr>
                      <w:color w:val="000000" w:themeColor="text1"/>
                      <w:szCs w:val="21"/>
                      <w:highlight w:val="none"/>
                    </w:rPr>
                  </w:pPr>
                </w:p>
              </w:tc>
              <w:tc>
                <w:tcPr>
                  <w:tcW w:w="3827" w:type="dxa"/>
                  <w:vAlign w:val="center"/>
                </w:tcPr>
                <w:p>
                  <w:pPr>
                    <w:autoSpaceDE w:val="0"/>
                    <w:autoSpaceDN w:val="0"/>
                    <w:rPr>
                      <w:rFonts w:cs="新宋体"/>
                      <w:color w:val="000000" w:themeColor="text1"/>
                      <w:szCs w:val="21"/>
                      <w:highlight w:val="none"/>
                    </w:rPr>
                  </w:pPr>
                  <w:r>
                    <w:rPr>
                      <w:rFonts w:cs="新宋体"/>
                      <w:color w:val="000000" w:themeColor="text1"/>
                      <w:szCs w:val="21"/>
                      <w:highlight w:val="none"/>
                    </w:rPr>
                    <w:t>0,正常；</w:t>
                  </w:r>
                </w:p>
                <w:p>
                  <w:pPr>
                    <w:autoSpaceDE w:val="0"/>
                    <w:autoSpaceDN w:val="0"/>
                    <w:rPr>
                      <w:rFonts w:cs="新宋体"/>
                      <w:color w:val="000000" w:themeColor="text1"/>
                      <w:szCs w:val="21"/>
                      <w:highlight w:val="none"/>
                    </w:rPr>
                  </w:pPr>
                  <w:r>
                    <w:rPr>
                      <w:rFonts w:cs="新宋体"/>
                      <w:color w:val="000000" w:themeColor="text1"/>
                      <w:szCs w:val="21"/>
                      <w:highlight w:val="none"/>
                    </w:rPr>
                    <w:t>1,打印机未连接或未上电；</w:t>
                  </w:r>
                </w:p>
                <w:p>
                  <w:pPr>
                    <w:autoSpaceDE w:val="0"/>
                    <w:autoSpaceDN w:val="0"/>
                    <w:rPr>
                      <w:rFonts w:cs="新宋体"/>
                      <w:color w:val="000000" w:themeColor="text1"/>
                      <w:szCs w:val="21"/>
                      <w:highlight w:val="none"/>
                    </w:rPr>
                  </w:pPr>
                  <w:r>
                    <w:rPr>
                      <w:rFonts w:cs="新宋体"/>
                      <w:color w:val="000000" w:themeColor="text1"/>
                      <w:szCs w:val="21"/>
                      <w:highlight w:val="none"/>
                    </w:rPr>
                    <w:t>2,打印机和查状态控件不匹配；</w:t>
                  </w:r>
                </w:p>
                <w:p>
                  <w:pPr>
                    <w:autoSpaceDE w:val="0"/>
                    <w:autoSpaceDN w:val="0"/>
                    <w:rPr>
                      <w:rFonts w:cs="新宋体"/>
                      <w:color w:val="000000" w:themeColor="text1"/>
                      <w:szCs w:val="21"/>
                      <w:highlight w:val="none"/>
                    </w:rPr>
                  </w:pPr>
                  <w:r>
                    <w:rPr>
                      <w:rFonts w:cs="新宋体"/>
                      <w:color w:val="000000" w:themeColor="text1"/>
                      <w:szCs w:val="21"/>
                      <w:highlight w:val="none"/>
                    </w:rPr>
                    <w:t>3,主板系统错误；</w:t>
                  </w:r>
                </w:p>
                <w:p>
                  <w:pPr>
                    <w:autoSpaceDE w:val="0"/>
                    <w:autoSpaceDN w:val="0"/>
                    <w:rPr>
                      <w:rFonts w:cs="新宋体"/>
                      <w:color w:val="000000" w:themeColor="text1"/>
                      <w:szCs w:val="21"/>
                      <w:highlight w:val="none"/>
                    </w:rPr>
                  </w:pPr>
                  <w:r>
                    <w:rPr>
                      <w:rFonts w:cs="新宋体"/>
                      <w:color w:val="000000" w:themeColor="text1"/>
                      <w:szCs w:val="21"/>
                      <w:highlight w:val="none"/>
                    </w:rPr>
                    <w:t>4,打印头打开</w:t>
                  </w:r>
                </w:p>
                <w:p>
                  <w:pPr>
                    <w:autoSpaceDE w:val="0"/>
                    <w:autoSpaceDN w:val="0"/>
                    <w:rPr>
                      <w:rFonts w:cs="新宋体"/>
                      <w:color w:val="000000" w:themeColor="text1"/>
                      <w:szCs w:val="21"/>
                      <w:highlight w:val="none"/>
                    </w:rPr>
                  </w:pPr>
                  <w:r>
                    <w:rPr>
                      <w:rFonts w:cs="新宋体"/>
                      <w:color w:val="000000" w:themeColor="text1"/>
                      <w:szCs w:val="21"/>
                      <w:highlight w:val="none"/>
                    </w:rPr>
                    <w:t>5,黑标错误或热敏片过热；</w:t>
                  </w:r>
                </w:p>
                <w:p>
                  <w:pPr>
                    <w:autoSpaceDE w:val="0"/>
                    <w:autoSpaceDN w:val="0"/>
                    <w:rPr>
                      <w:rFonts w:cs="新宋体"/>
                      <w:color w:val="000000" w:themeColor="text1"/>
                      <w:szCs w:val="21"/>
                      <w:highlight w:val="none"/>
                    </w:rPr>
                  </w:pPr>
                  <w:r>
                    <w:rPr>
                      <w:rFonts w:cs="新宋体"/>
                      <w:color w:val="000000" w:themeColor="text1"/>
                      <w:szCs w:val="21"/>
                      <w:highlight w:val="none"/>
                    </w:rPr>
                    <w:t>6,切刀错误；</w:t>
                  </w:r>
                </w:p>
                <w:p>
                  <w:pPr>
                    <w:autoSpaceDE w:val="0"/>
                    <w:autoSpaceDN w:val="0"/>
                    <w:rPr>
                      <w:rFonts w:cs="新宋体"/>
                      <w:color w:val="000000" w:themeColor="text1"/>
                      <w:szCs w:val="21"/>
                      <w:highlight w:val="none"/>
                    </w:rPr>
                  </w:pPr>
                  <w:r>
                    <w:rPr>
                      <w:rFonts w:cs="新宋体"/>
                      <w:color w:val="000000" w:themeColor="text1"/>
                      <w:szCs w:val="21"/>
                      <w:highlight w:val="none"/>
                    </w:rPr>
                    <w:t>7,纸尽；</w:t>
                  </w:r>
                </w:p>
                <w:p>
                  <w:pPr>
                    <w:autoSpaceDE w:val="0"/>
                    <w:autoSpaceDN w:val="0"/>
                    <w:rPr>
                      <w:rFonts w:cs="新宋体"/>
                      <w:color w:val="000000" w:themeColor="text1"/>
                      <w:szCs w:val="21"/>
                      <w:highlight w:val="none"/>
                    </w:rPr>
                  </w:pPr>
                  <w:r>
                    <w:rPr>
                      <w:rFonts w:cs="新宋体"/>
                      <w:color w:val="000000" w:themeColor="text1"/>
                      <w:szCs w:val="21"/>
                      <w:highlight w:val="none"/>
                    </w:rPr>
                    <w:t>8,堵纸；</w:t>
                  </w:r>
                </w:p>
                <w:p>
                  <w:pPr>
                    <w:autoSpaceDE w:val="0"/>
                    <w:autoSpaceDN w:val="0"/>
                    <w:rPr>
                      <w:rFonts w:cs="新宋体"/>
                      <w:color w:val="000000" w:themeColor="text1"/>
                      <w:szCs w:val="21"/>
                      <w:highlight w:val="none"/>
                    </w:rPr>
                  </w:pPr>
                  <w:r>
                    <w:rPr>
                      <w:rFonts w:cs="新宋体"/>
                      <w:color w:val="000000" w:themeColor="text1"/>
                      <w:szCs w:val="21"/>
                      <w:highlight w:val="none"/>
                    </w:rPr>
                    <w:t>9,打印机忙；</w:t>
                  </w:r>
                </w:p>
                <w:p>
                  <w:pPr>
                    <w:autoSpaceDE w:val="0"/>
                    <w:autoSpaceDN w:val="0"/>
                    <w:rPr>
                      <w:rFonts w:cs="新宋体"/>
                      <w:color w:val="000000" w:themeColor="text1"/>
                      <w:szCs w:val="21"/>
                      <w:highlight w:val="none"/>
                    </w:rPr>
                  </w:pPr>
                  <w:r>
                    <w:rPr>
                      <w:rFonts w:cs="新宋体"/>
                      <w:color w:val="000000" w:themeColor="text1"/>
                      <w:szCs w:val="21"/>
                      <w:highlight w:val="none"/>
                    </w:rPr>
                    <w:t>10,纸将尽；</w:t>
                  </w:r>
                </w:p>
                <w:p>
                  <w:pPr>
                    <w:autoSpaceDE w:val="0"/>
                    <w:autoSpaceDN w:val="0"/>
                    <w:rPr>
                      <w:rFonts w:cs="新宋体"/>
                      <w:color w:val="000000" w:themeColor="text1"/>
                      <w:szCs w:val="21"/>
                      <w:highlight w:val="none"/>
                    </w:rPr>
                  </w:pPr>
                  <w:r>
                    <w:rPr>
                      <w:rFonts w:cs="新宋体"/>
                      <w:color w:val="000000" w:themeColor="text1"/>
                      <w:szCs w:val="21"/>
                      <w:highlight w:val="none"/>
                    </w:rPr>
                    <w:t>11,出口纸检测</w:t>
                  </w:r>
                </w:p>
                <w:p>
                  <w:pPr>
                    <w:autoSpaceDE w:val="0"/>
                    <w:autoSpaceDN w:val="0"/>
                    <w:rPr>
                      <w:rFonts w:cs="新宋体"/>
                      <w:color w:val="000000" w:themeColor="text1"/>
                      <w:szCs w:val="21"/>
                      <w:highlight w:val="none"/>
                    </w:rPr>
                  </w:pPr>
                  <w:r>
                    <w:rPr>
                      <w:rFonts w:cs="新宋体"/>
                      <w:color w:val="000000" w:themeColor="text1"/>
                      <w:szCs w:val="21"/>
                      <w:highlight w:val="none"/>
                    </w:rPr>
                    <w:t>12,容纸器错误；</w:t>
                  </w:r>
                </w:p>
                <w:p>
                  <w:pPr>
                    <w:autoSpaceDE w:val="0"/>
                    <w:autoSpaceDN w:val="0"/>
                    <w:rPr>
                      <w:color w:val="000000" w:themeColor="text1"/>
                      <w:szCs w:val="21"/>
                      <w:highlight w:val="none"/>
                    </w:rPr>
                  </w:pPr>
                  <w:r>
                    <w:rPr>
                      <w:rFonts w:cs="新宋体"/>
                      <w:color w:val="000000" w:themeColor="text1"/>
                      <w:szCs w:val="21"/>
                      <w:highlight w:val="none"/>
                    </w:rPr>
                    <w:t>100,未连接或未上电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04" w:type="dxa"/>
                  <w:vAlign w:val="center"/>
                </w:tcPr>
                <w:p>
                  <w:pPr>
                    <w:rPr>
                      <w:color w:val="000000" w:themeColor="text1"/>
                      <w:szCs w:val="21"/>
                      <w:highlight w:val="none"/>
                    </w:rPr>
                  </w:pPr>
                  <w:r>
                    <w:rPr>
                      <w:rFonts w:cs="新宋体"/>
                      <w:color w:val="000000" w:themeColor="text1"/>
                      <w:szCs w:val="21"/>
                      <w:highlight w:val="none"/>
                    </w:rPr>
                    <w:t>GetDrumStatus</w:t>
                  </w:r>
                </w:p>
              </w:tc>
              <w:tc>
                <w:tcPr>
                  <w:tcW w:w="1134" w:type="dxa"/>
                  <w:vAlign w:val="center"/>
                </w:tcPr>
                <w:p>
                  <w:pPr>
                    <w:rPr>
                      <w:color w:val="000000" w:themeColor="text1"/>
                      <w:szCs w:val="21"/>
                      <w:highlight w:val="none"/>
                    </w:rPr>
                  </w:pPr>
                  <w:r>
                    <w:rPr>
                      <w:rFonts w:hint="eastAsia"/>
                      <w:color w:val="000000" w:themeColor="text1"/>
                      <w:szCs w:val="21"/>
                      <w:highlight w:val="none"/>
                    </w:rPr>
                    <w:t>返回晒鼓剩余百分比</w:t>
                  </w:r>
                </w:p>
              </w:tc>
              <w:tc>
                <w:tcPr>
                  <w:tcW w:w="1134" w:type="dxa"/>
                  <w:vAlign w:val="center"/>
                </w:tcPr>
                <w:p>
                  <w:pPr>
                    <w:rPr>
                      <w:color w:val="000000" w:themeColor="text1"/>
                      <w:szCs w:val="21"/>
                      <w:highlight w:val="none"/>
                    </w:rPr>
                  </w:pPr>
                </w:p>
              </w:tc>
              <w:tc>
                <w:tcPr>
                  <w:tcW w:w="3827" w:type="dxa"/>
                  <w:vAlign w:val="center"/>
                </w:tcPr>
                <w:p>
                  <w:pPr>
                    <w:rPr>
                      <w:color w:val="000000" w:themeColor="text1"/>
                      <w:szCs w:val="21"/>
                      <w:highlight w:val="none"/>
                    </w:rPr>
                  </w:pPr>
                  <w:r>
                    <w:rPr>
                      <w:rFonts w:cs="新宋体"/>
                      <w:color w:val="000000" w:themeColor="text1"/>
                      <w:szCs w:val="21"/>
                      <w:highlight w:val="none"/>
                    </w:rPr>
                    <w:t>硒鼓剩余百分比：K=50;C=70,M=30,Y=50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04" w:type="dxa"/>
                  <w:vAlign w:val="center"/>
                </w:tcPr>
                <w:p>
                  <w:pPr>
                    <w:rPr>
                      <w:rFonts w:cs="新宋体"/>
                      <w:color w:val="000000" w:themeColor="text1"/>
                      <w:szCs w:val="21"/>
                      <w:highlight w:val="none"/>
                    </w:rPr>
                  </w:pPr>
                  <w:r>
                    <w:rPr>
                      <w:rFonts w:cs="新宋体"/>
                      <w:color w:val="000000" w:themeColor="text1"/>
                      <w:szCs w:val="21"/>
                      <w:highlight w:val="none"/>
                    </w:rPr>
                    <w:t>CleanBuffer</w:t>
                  </w:r>
                </w:p>
              </w:tc>
              <w:tc>
                <w:tcPr>
                  <w:tcW w:w="1134" w:type="dxa"/>
                  <w:vAlign w:val="center"/>
                </w:tcPr>
                <w:p>
                  <w:pPr>
                    <w:rPr>
                      <w:color w:val="000000" w:themeColor="text1"/>
                      <w:szCs w:val="21"/>
                      <w:highlight w:val="none"/>
                    </w:rPr>
                  </w:pPr>
                  <w:r>
                    <w:rPr>
                      <w:rFonts w:hint="eastAsia"/>
                      <w:color w:val="000000" w:themeColor="text1"/>
                      <w:szCs w:val="21"/>
                      <w:highlight w:val="none"/>
                    </w:rPr>
                    <w:t>清除打印队列</w:t>
                  </w:r>
                </w:p>
              </w:tc>
              <w:tc>
                <w:tcPr>
                  <w:tcW w:w="1134" w:type="dxa"/>
                  <w:vAlign w:val="center"/>
                </w:tcPr>
                <w:p>
                  <w:pPr>
                    <w:rPr>
                      <w:rFonts w:cs="新宋体"/>
                      <w:color w:val="000000" w:themeColor="text1"/>
                      <w:szCs w:val="21"/>
                      <w:highlight w:val="none"/>
                    </w:rPr>
                  </w:pPr>
                </w:p>
              </w:tc>
              <w:tc>
                <w:tcPr>
                  <w:tcW w:w="3827" w:type="dxa"/>
                  <w:vAlign w:val="center"/>
                </w:tcPr>
                <w:p>
                  <w:pPr>
                    <w:ind w:firstLine="105" w:firstLineChars="50"/>
                    <w:rPr>
                      <w:rFonts w:cs="新宋体"/>
                      <w:color w:val="000000" w:themeColor="text1"/>
                      <w:szCs w:val="21"/>
                      <w:highlight w:val="none"/>
                    </w:rPr>
                  </w:pPr>
                  <w:r>
                    <w:rPr>
                      <w:rFonts w:hint="eastAsia" w:cs="新宋体"/>
                      <w:color w:val="000000" w:themeColor="text1"/>
                      <w:szCs w:val="21"/>
                      <w:highlight w:val="none"/>
                    </w:rPr>
                    <w:t>返回成功/否：true/false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04" w:type="dxa"/>
                  <w:vAlign w:val="center"/>
                </w:tcPr>
                <w:p>
                  <w:pPr>
                    <w:rPr>
                      <w:rFonts w:cs="新宋体"/>
                      <w:color w:val="000000" w:themeColor="text1"/>
                      <w:szCs w:val="21"/>
                      <w:highlight w:val="none"/>
                    </w:rPr>
                  </w:pPr>
                  <w:r>
                    <w:rPr>
                      <w:rFonts w:cs="新宋体"/>
                      <w:color w:val="000000" w:themeColor="text1"/>
                      <w:szCs w:val="21"/>
                      <w:highlight w:val="none"/>
                    </w:rPr>
                    <w:t>StartSeal</w:t>
                  </w:r>
                </w:p>
              </w:tc>
              <w:tc>
                <w:tcPr>
                  <w:tcW w:w="1134" w:type="dxa"/>
                  <w:vAlign w:val="center"/>
                </w:tcPr>
                <w:p>
                  <w:pPr>
                    <w:rPr>
                      <w:color w:val="000000" w:themeColor="text1"/>
                      <w:szCs w:val="21"/>
                      <w:highlight w:val="none"/>
                    </w:rPr>
                  </w:pPr>
                  <w:r>
                    <w:rPr>
                      <w:rFonts w:hint="eastAsia"/>
                      <w:color w:val="000000" w:themeColor="text1"/>
                      <w:szCs w:val="21"/>
                      <w:highlight w:val="none"/>
                    </w:rPr>
                    <w:t>开始盖章</w:t>
                  </w:r>
                </w:p>
              </w:tc>
              <w:tc>
                <w:tcPr>
                  <w:tcW w:w="1134" w:type="dxa"/>
                  <w:vAlign w:val="center"/>
                </w:tcPr>
                <w:p>
                  <w:pPr>
                    <w:rPr>
                      <w:rFonts w:cs="新宋体"/>
                      <w:color w:val="000000" w:themeColor="text1"/>
                      <w:szCs w:val="21"/>
                      <w:highlight w:val="none"/>
                    </w:rPr>
                  </w:pPr>
                </w:p>
              </w:tc>
              <w:tc>
                <w:tcPr>
                  <w:tcW w:w="3827" w:type="dxa"/>
                  <w:vAlign w:val="center"/>
                </w:tcPr>
                <w:p>
                  <w:pPr>
                    <w:ind w:firstLine="105" w:firstLineChars="50"/>
                    <w:rPr>
                      <w:rFonts w:cs="新宋体"/>
                      <w:color w:val="000000" w:themeColor="text1"/>
                      <w:szCs w:val="21"/>
                      <w:highlight w:val="none"/>
                    </w:rPr>
                  </w:pPr>
                  <w:r>
                    <w:rPr>
                      <w:rFonts w:hint="eastAsia" w:cs="新宋体"/>
                      <w:color w:val="000000" w:themeColor="text1"/>
                      <w:szCs w:val="21"/>
                      <w:highlight w:val="none"/>
                    </w:rPr>
                    <w:t>返回成功/否：true/false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04" w:type="dxa"/>
                  <w:vAlign w:val="center"/>
                </w:tcPr>
                <w:p>
                  <w:pPr>
                    <w:rPr>
                      <w:rFonts w:cs="新宋体"/>
                      <w:color w:val="000000" w:themeColor="text1"/>
                      <w:szCs w:val="21"/>
                      <w:highlight w:val="none"/>
                    </w:rPr>
                  </w:pPr>
                  <w:r>
                    <w:rPr>
                      <w:rFonts w:cs="新宋体"/>
                      <w:color w:val="000000" w:themeColor="text1"/>
                      <w:szCs w:val="21"/>
                      <w:highlight w:val="none"/>
                    </w:rPr>
                    <w:t>SetSeal</w:t>
                  </w:r>
                </w:p>
              </w:tc>
              <w:tc>
                <w:tcPr>
                  <w:tcW w:w="1134" w:type="dxa"/>
                  <w:vAlign w:val="center"/>
                </w:tcPr>
                <w:p>
                  <w:pPr>
                    <w:rPr>
                      <w:color w:val="000000" w:themeColor="text1"/>
                      <w:szCs w:val="21"/>
                      <w:highlight w:val="none"/>
                    </w:rPr>
                  </w:pPr>
                  <w:r>
                    <w:rPr>
                      <w:rFonts w:hint="eastAsia"/>
                      <w:color w:val="000000" w:themeColor="text1"/>
                      <w:szCs w:val="21"/>
                      <w:highlight w:val="none"/>
                    </w:rPr>
                    <w:t>更新印章</w:t>
                  </w:r>
                </w:p>
              </w:tc>
              <w:tc>
                <w:tcPr>
                  <w:tcW w:w="1134" w:type="dxa"/>
                  <w:vAlign w:val="center"/>
                </w:tcPr>
                <w:p>
                  <w:pPr>
                    <w:rPr>
                      <w:rFonts w:cs="新宋体"/>
                      <w:color w:val="000000" w:themeColor="text1"/>
                      <w:szCs w:val="21"/>
                      <w:highlight w:val="none"/>
                    </w:rPr>
                  </w:pPr>
                  <w:r>
                    <w:rPr>
                      <w:rFonts w:hint="eastAsia" w:cs="新宋体"/>
                      <w:color w:val="000000" w:themeColor="text1"/>
                      <w:szCs w:val="21"/>
                      <w:highlight w:val="none"/>
                    </w:rPr>
                    <w:t>i：印章的编号</w:t>
                  </w:r>
                </w:p>
              </w:tc>
              <w:tc>
                <w:tcPr>
                  <w:tcW w:w="3827" w:type="dxa"/>
                  <w:vAlign w:val="center"/>
                </w:tcPr>
                <w:p>
                  <w:pPr>
                    <w:ind w:firstLine="105" w:firstLineChars="50"/>
                    <w:rPr>
                      <w:rFonts w:cs="新宋体"/>
                      <w:color w:val="000000" w:themeColor="text1"/>
                      <w:szCs w:val="21"/>
                      <w:highlight w:val="none"/>
                    </w:rPr>
                  </w:pPr>
                  <w:r>
                    <w:rPr>
                      <w:rFonts w:hint="eastAsia" w:cs="新宋体"/>
                      <w:color w:val="000000" w:themeColor="text1"/>
                      <w:szCs w:val="21"/>
                      <w:highlight w:val="none"/>
                    </w:rPr>
                    <w:t>返回成功/否：true/false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04" w:type="dxa"/>
                  <w:vAlign w:val="center"/>
                </w:tcPr>
                <w:p>
                  <w:pPr>
                    <w:rPr>
                      <w:rFonts w:cs="新宋体"/>
                      <w:color w:val="000000" w:themeColor="text1"/>
                      <w:szCs w:val="21"/>
                      <w:highlight w:val="none"/>
                    </w:rPr>
                  </w:pPr>
                  <w:r>
                    <w:rPr>
                      <w:rFonts w:cs="新宋体"/>
                      <w:color w:val="000000" w:themeColor="text1"/>
                      <w:szCs w:val="21"/>
                      <w:highlight w:val="none"/>
                    </w:rPr>
                    <w:t>GetName</w:t>
                  </w:r>
                </w:p>
              </w:tc>
              <w:tc>
                <w:tcPr>
                  <w:tcW w:w="1134" w:type="dxa"/>
                  <w:vAlign w:val="center"/>
                </w:tcPr>
                <w:p>
                  <w:pPr>
                    <w:rPr>
                      <w:color w:val="000000" w:themeColor="text1"/>
                      <w:szCs w:val="21"/>
                      <w:highlight w:val="none"/>
                    </w:rPr>
                  </w:pPr>
                  <w:r>
                    <w:rPr>
                      <w:rFonts w:hint="eastAsia"/>
                      <w:color w:val="000000" w:themeColor="text1"/>
                      <w:szCs w:val="21"/>
                      <w:highlight w:val="none"/>
                    </w:rPr>
                    <w:t>返回打印机名字</w:t>
                  </w:r>
                </w:p>
              </w:tc>
              <w:tc>
                <w:tcPr>
                  <w:tcW w:w="1134" w:type="dxa"/>
                  <w:vAlign w:val="center"/>
                </w:tcPr>
                <w:p>
                  <w:pPr>
                    <w:rPr>
                      <w:rFonts w:cs="新宋体"/>
                      <w:color w:val="000000" w:themeColor="text1"/>
                      <w:szCs w:val="21"/>
                      <w:highlight w:val="none"/>
                    </w:rPr>
                  </w:pPr>
                </w:p>
              </w:tc>
              <w:tc>
                <w:tcPr>
                  <w:tcW w:w="3827" w:type="dxa"/>
                  <w:vAlign w:val="center"/>
                </w:tcPr>
                <w:p>
                  <w:pPr>
                    <w:ind w:firstLine="105" w:firstLineChars="50"/>
                    <w:rPr>
                      <w:rFonts w:cs="新宋体"/>
                      <w:color w:val="000000" w:themeColor="text1"/>
                      <w:szCs w:val="21"/>
                      <w:highlight w:val="none"/>
                    </w:rPr>
                  </w:pPr>
                  <w:r>
                    <w:rPr>
                      <w:rFonts w:hint="eastAsia" w:cs="新宋体"/>
                      <w:color w:val="000000" w:themeColor="text1"/>
                      <w:szCs w:val="21"/>
                      <w:highlight w:val="none"/>
                    </w:rPr>
                    <w:t>打印机名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04" w:type="dxa"/>
                  <w:vAlign w:val="center"/>
                </w:tcPr>
                <w:p>
                  <w:pPr>
                    <w:rPr>
                      <w:rFonts w:cs="新宋体"/>
                      <w:color w:val="000000" w:themeColor="text1"/>
                      <w:szCs w:val="21"/>
                      <w:highlight w:val="none"/>
                    </w:rPr>
                  </w:pPr>
                  <w:r>
                    <w:rPr>
                      <w:rFonts w:cs="新宋体"/>
                      <w:color w:val="000000" w:themeColor="text1"/>
                      <w:szCs w:val="21"/>
                      <w:highlight w:val="none"/>
                    </w:rPr>
                    <w:t>SetDefaultPrinter</w:t>
                  </w:r>
                </w:p>
              </w:tc>
              <w:tc>
                <w:tcPr>
                  <w:tcW w:w="1134" w:type="dxa"/>
                  <w:vAlign w:val="center"/>
                </w:tcPr>
                <w:p>
                  <w:pPr>
                    <w:rPr>
                      <w:color w:val="000000" w:themeColor="text1"/>
                      <w:szCs w:val="21"/>
                      <w:highlight w:val="none"/>
                    </w:rPr>
                  </w:pPr>
                  <w:r>
                    <w:rPr>
                      <w:rFonts w:hint="eastAsia"/>
                      <w:color w:val="000000" w:themeColor="text1"/>
                      <w:szCs w:val="21"/>
                      <w:highlight w:val="none"/>
                    </w:rPr>
                    <w:t>设置为系统默认打印机</w:t>
                  </w:r>
                </w:p>
              </w:tc>
              <w:tc>
                <w:tcPr>
                  <w:tcW w:w="1134" w:type="dxa"/>
                  <w:vAlign w:val="center"/>
                </w:tcPr>
                <w:p>
                  <w:pPr>
                    <w:rPr>
                      <w:rFonts w:cs="新宋体"/>
                      <w:color w:val="000000" w:themeColor="text1"/>
                      <w:szCs w:val="21"/>
                      <w:highlight w:val="none"/>
                    </w:rPr>
                  </w:pPr>
                </w:p>
              </w:tc>
              <w:tc>
                <w:tcPr>
                  <w:tcW w:w="3827" w:type="dxa"/>
                  <w:vAlign w:val="center"/>
                </w:tcPr>
                <w:p>
                  <w:pPr>
                    <w:ind w:firstLine="105" w:firstLineChars="50"/>
                    <w:rPr>
                      <w:rFonts w:cs="新宋体"/>
                      <w:color w:val="000000" w:themeColor="text1"/>
                      <w:szCs w:val="21"/>
                      <w:highlight w:val="none"/>
                    </w:rPr>
                  </w:pPr>
                  <w:r>
                    <w:rPr>
                      <w:rFonts w:hint="eastAsia" w:cs="新宋体"/>
                      <w:color w:val="000000" w:themeColor="text1"/>
                      <w:szCs w:val="21"/>
                      <w:highlight w:val="none"/>
                    </w:rPr>
                    <w:t>返回成功/否：true/false</w:t>
                  </w:r>
                </w:p>
              </w:tc>
            </w:tr>
          </w:tbl>
          <w:p>
            <w:pPr>
              <w:jc w:val="center"/>
              <w:rPr>
                <w:bCs/>
                <w:color w:val="000000" w:themeColor="text1"/>
                <w:szCs w:val="21"/>
                <w:highlight w:val="none"/>
              </w:rPr>
            </w:pPr>
          </w:p>
          <w:p>
            <w:pPr>
              <w:spacing w:line="360" w:lineRule="exact"/>
              <w:rPr>
                <w:b/>
                <w:color w:val="000000" w:themeColor="text1"/>
                <w:szCs w:val="21"/>
                <w:highlight w:val="none"/>
              </w:rPr>
            </w:pPr>
            <w:r>
              <w:rPr>
                <w:rFonts w:hint="eastAsia"/>
                <w:b/>
                <w:color w:val="000000" w:themeColor="text1"/>
                <w:szCs w:val="21"/>
                <w:highlight w:val="none"/>
              </w:rPr>
              <w:t>1</w:t>
            </w:r>
            <w:r>
              <w:rPr>
                <w:b/>
                <w:color w:val="000000" w:themeColor="text1"/>
                <w:szCs w:val="21"/>
                <w:highlight w:val="none"/>
              </w:rPr>
              <w:t>.3.</w:t>
            </w:r>
            <w:r>
              <w:rPr>
                <w:rFonts w:hint="eastAsia"/>
                <w:b/>
                <w:color w:val="000000" w:themeColor="text1"/>
                <w:szCs w:val="21"/>
                <w:highlight w:val="none"/>
              </w:rPr>
              <w:t>4 活体双目摄像头</w:t>
            </w:r>
          </w:p>
          <w:tbl>
            <w:tblPr>
              <w:tblStyle w:val="44"/>
              <w:tblpPr w:leftFromText="180" w:rightFromText="180" w:vertAnchor="text" w:horzAnchor="margin" w:tblpY="110"/>
              <w:tblW w:w="76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0"/>
              <w:gridCol w:w="1847"/>
              <w:gridCol w:w="1730"/>
              <w:gridCol w:w="2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380" w:type="dxa"/>
                  <w:vAlign w:val="center"/>
                </w:tcPr>
                <w:p>
                  <w:pPr>
                    <w:jc w:val="center"/>
                    <w:rPr>
                      <w:b/>
                      <w:color w:val="000000" w:themeColor="text1"/>
                      <w:szCs w:val="21"/>
                      <w:highlight w:val="none"/>
                    </w:rPr>
                  </w:pPr>
                  <w:r>
                    <w:rPr>
                      <w:rFonts w:hint="eastAsia"/>
                      <w:b/>
                      <w:color w:val="000000" w:themeColor="text1"/>
                      <w:szCs w:val="21"/>
                      <w:highlight w:val="none"/>
                    </w:rPr>
                    <w:t>方法</w:t>
                  </w:r>
                </w:p>
              </w:tc>
              <w:tc>
                <w:tcPr>
                  <w:tcW w:w="1847" w:type="dxa"/>
                  <w:vAlign w:val="center"/>
                </w:tcPr>
                <w:p>
                  <w:pPr>
                    <w:jc w:val="center"/>
                    <w:rPr>
                      <w:b/>
                      <w:color w:val="000000" w:themeColor="text1"/>
                      <w:szCs w:val="21"/>
                      <w:highlight w:val="none"/>
                    </w:rPr>
                  </w:pPr>
                  <w:r>
                    <w:rPr>
                      <w:rFonts w:hint="eastAsia"/>
                      <w:b/>
                      <w:color w:val="000000" w:themeColor="text1"/>
                      <w:szCs w:val="21"/>
                      <w:highlight w:val="none"/>
                    </w:rPr>
                    <w:t>说明</w:t>
                  </w:r>
                </w:p>
              </w:tc>
              <w:tc>
                <w:tcPr>
                  <w:tcW w:w="1730" w:type="dxa"/>
                  <w:vAlign w:val="center"/>
                </w:tcPr>
                <w:p>
                  <w:pPr>
                    <w:jc w:val="center"/>
                    <w:rPr>
                      <w:b/>
                      <w:color w:val="000000" w:themeColor="text1"/>
                      <w:szCs w:val="21"/>
                      <w:highlight w:val="none"/>
                    </w:rPr>
                  </w:pPr>
                  <w:r>
                    <w:rPr>
                      <w:rFonts w:hint="eastAsia"/>
                      <w:b/>
                      <w:color w:val="000000" w:themeColor="text1"/>
                      <w:szCs w:val="21"/>
                      <w:highlight w:val="none"/>
                    </w:rPr>
                    <w:t>参数</w:t>
                  </w:r>
                </w:p>
              </w:tc>
              <w:tc>
                <w:tcPr>
                  <w:tcW w:w="2693" w:type="dxa"/>
                  <w:vAlign w:val="center"/>
                </w:tcPr>
                <w:p>
                  <w:pPr>
                    <w:jc w:val="center"/>
                    <w:rPr>
                      <w:b/>
                      <w:color w:val="000000" w:themeColor="text1"/>
                      <w:szCs w:val="21"/>
                      <w:highlight w:val="none"/>
                    </w:rPr>
                  </w:pPr>
                  <w:r>
                    <w:rPr>
                      <w:rFonts w:hint="eastAsia"/>
                      <w:b/>
                      <w:color w:val="000000" w:themeColor="text1"/>
                      <w:szCs w:val="21"/>
                      <w:highlight w:val="none"/>
                    </w:rPr>
                    <w:t>返回结果要求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 w:hRule="atLeast"/>
              </w:trPr>
              <w:tc>
                <w:tcPr>
                  <w:tcW w:w="1380" w:type="dxa"/>
                  <w:vAlign w:val="center"/>
                </w:tcPr>
                <w:p>
                  <w:pPr>
                    <w:rPr>
                      <w:color w:val="000000" w:themeColor="text1"/>
                      <w:szCs w:val="21"/>
                      <w:highlight w:val="none"/>
                    </w:rPr>
                  </w:pPr>
                  <w:r>
                    <w:rPr>
                      <w:rFonts w:cs="新宋体"/>
                      <w:color w:val="000000" w:themeColor="text1"/>
                      <w:szCs w:val="21"/>
                      <w:highlight w:val="none"/>
                    </w:rPr>
                    <w:t>Start</w:t>
                  </w:r>
                </w:p>
              </w:tc>
              <w:tc>
                <w:tcPr>
                  <w:tcW w:w="1847" w:type="dxa"/>
                  <w:vAlign w:val="center"/>
                </w:tcPr>
                <w:p>
                  <w:pPr>
                    <w:rPr>
                      <w:color w:val="000000" w:themeColor="text1"/>
                      <w:szCs w:val="21"/>
                      <w:highlight w:val="none"/>
                    </w:rPr>
                  </w:pPr>
                  <w:r>
                    <w:rPr>
                      <w:color w:val="000000" w:themeColor="text1"/>
                      <w:szCs w:val="21"/>
                      <w:highlight w:val="none"/>
                    </w:rPr>
                    <w:t>开始拍摄</w:t>
                  </w:r>
                </w:p>
              </w:tc>
              <w:tc>
                <w:tcPr>
                  <w:tcW w:w="1730" w:type="dxa"/>
                  <w:vAlign w:val="center"/>
                </w:tcPr>
                <w:p>
                  <w:pPr>
                    <w:rPr>
                      <w:color w:val="000000" w:themeColor="text1"/>
                      <w:szCs w:val="21"/>
                      <w:highlight w:val="none"/>
                    </w:rPr>
                  </w:pPr>
                  <w:r>
                    <w:rPr>
                      <w:rFonts w:cs="新宋体"/>
                      <w:color w:val="000000" w:themeColor="text1"/>
                      <w:szCs w:val="21"/>
                      <w:highlight w:val="none"/>
                    </w:rPr>
                    <w:t>isActived：是否只返回活体帧</w:t>
                  </w:r>
                </w:p>
              </w:tc>
              <w:tc>
                <w:tcPr>
                  <w:tcW w:w="2693" w:type="dxa"/>
                  <w:vAlign w:val="center"/>
                </w:tcPr>
                <w:p>
                  <w:pPr>
                    <w:rPr>
                      <w:color w:val="000000" w:themeColor="text1"/>
                      <w:szCs w:val="21"/>
                      <w:highlight w:val="none"/>
                    </w:rPr>
                  </w:pPr>
                  <w:r>
                    <w:rPr>
                      <w:rFonts w:hint="eastAsia" w:cs="新宋体"/>
                      <w:color w:val="000000" w:themeColor="text1"/>
                      <w:szCs w:val="21"/>
                      <w:highlight w:val="none"/>
                    </w:rPr>
                    <w:t>返回成功/否：true/false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trPr>
              <w:tc>
                <w:tcPr>
                  <w:tcW w:w="1380" w:type="dxa"/>
                  <w:vAlign w:val="center"/>
                </w:tcPr>
                <w:p>
                  <w:pPr>
                    <w:rPr>
                      <w:rFonts w:cs="新宋体"/>
                      <w:color w:val="000000" w:themeColor="text1"/>
                      <w:szCs w:val="21"/>
                      <w:highlight w:val="none"/>
                    </w:rPr>
                  </w:pPr>
                  <w:r>
                    <w:rPr>
                      <w:rFonts w:cs="新宋体"/>
                      <w:color w:val="000000" w:themeColor="text1"/>
                      <w:szCs w:val="21"/>
                      <w:highlight w:val="none"/>
                    </w:rPr>
                    <w:t>Stop</w:t>
                  </w:r>
                </w:p>
              </w:tc>
              <w:tc>
                <w:tcPr>
                  <w:tcW w:w="1847" w:type="dxa"/>
                  <w:vAlign w:val="center"/>
                </w:tcPr>
                <w:p>
                  <w:pPr>
                    <w:rPr>
                      <w:color w:val="000000" w:themeColor="text1"/>
                      <w:szCs w:val="21"/>
                      <w:highlight w:val="none"/>
                    </w:rPr>
                  </w:pPr>
                  <w:r>
                    <w:rPr>
                      <w:color w:val="000000" w:themeColor="text1"/>
                      <w:szCs w:val="21"/>
                      <w:highlight w:val="none"/>
                    </w:rPr>
                    <w:t>停止拍摄</w:t>
                  </w:r>
                </w:p>
              </w:tc>
              <w:tc>
                <w:tcPr>
                  <w:tcW w:w="1730" w:type="dxa"/>
                  <w:vAlign w:val="center"/>
                </w:tcPr>
                <w:p>
                  <w:pPr>
                    <w:rPr>
                      <w:rFonts w:cs="新宋体"/>
                      <w:color w:val="000000" w:themeColor="text1"/>
                      <w:szCs w:val="21"/>
                      <w:highlight w:val="none"/>
                    </w:rPr>
                  </w:pPr>
                </w:p>
              </w:tc>
              <w:tc>
                <w:tcPr>
                  <w:tcW w:w="2693" w:type="dxa"/>
                  <w:vAlign w:val="center"/>
                </w:tcPr>
                <w:p>
                  <w:pPr>
                    <w:rPr>
                      <w:rFonts w:cs="新宋体"/>
                      <w:color w:val="000000" w:themeColor="text1"/>
                      <w:szCs w:val="21"/>
                      <w:highlight w:val="none"/>
                    </w:rPr>
                  </w:pPr>
                  <w:r>
                    <w:rPr>
                      <w:rFonts w:hint="eastAsia" w:cs="新宋体"/>
                      <w:color w:val="000000" w:themeColor="text1"/>
                      <w:szCs w:val="21"/>
                      <w:highlight w:val="none"/>
                    </w:rPr>
                    <w:t>返回成功/否：true/false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 w:hRule="atLeast"/>
              </w:trPr>
              <w:tc>
                <w:tcPr>
                  <w:tcW w:w="1380" w:type="dxa"/>
                  <w:vAlign w:val="center"/>
                </w:tcPr>
                <w:p>
                  <w:pPr>
                    <w:rPr>
                      <w:rFonts w:cs="新宋体"/>
                      <w:color w:val="000000" w:themeColor="text1"/>
                      <w:szCs w:val="21"/>
                      <w:highlight w:val="none"/>
                    </w:rPr>
                  </w:pPr>
                  <w:r>
                    <w:rPr>
                      <w:rFonts w:cs="新宋体"/>
                      <w:color w:val="000000" w:themeColor="text1"/>
                      <w:szCs w:val="21"/>
                      <w:highlight w:val="none"/>
                    </w:rPr>
                    <w:t>NewFrame</w:t>
                  </w:r>
                </w:p>
              </w:tc>
              <w:tc>
                <w:tcPr>
                  <w:tcW w:w="1847" w:type="dxa"/>
                  <w:vAlign w:val="center"/>
                </w:tcPr>
                <w:p>
                  <w:pPr>
                    <w:rPr>
                      <w:color w:val="000000" w:themeColor="text1"/>
                      <w:szCs w:val="21"/>
                      <w:highlight w:val="none"/>
                    </w:rPr>
                  </w:pPr>
                  <w:r>
                    <w:rPr>
                      <w:color w:val="000000" w:themeColor="text1"/>
                      <w:szCs w:val="21"/>
                      <w:highlight w:val="none"/>
                    </w:rPr>
                    <w:t>接受返回帧数据的回调方法</w:t>
                  </w:r>
                </w:p>
              </w:tc>
              <w:tc>
                <w:tcPr>
                  <w:tcW w:w="1730" w:type="dxa"/>
                  <w:vAlign w:val="center"/>
                </w:tcPr>
                <w:p>
                  <w:pPr>
                    <w:rPr>
                      <w:rFonts w:cs="新宋体"/>
                      <w:color w:val="000000" w:themeColor="text1"/>
                      <w:szCs w:val="21"/>
                      <w:highlight w:val="none"/>
                    </w:rPr>
                  </w:pPr>
                </w:p>
              </w:tc>
              <w:tc>
                <w:tcPr>
                  <w:tcW w:w="2693" w:type="dxa"/>
                  <w:vAlign w:val="center"/>
                </w:tcPr>
                <w:p>
                  <w:pPr>
                    <w:rPr>
                      <w:rFonts w:cs="新宋体"/>
                      <w:color w:val="000000" w:themeColor="text1"/>
                      <w:szCs w:val="21"/>
                      <w:highlight w:val="none"/>
                    </w:rPr>
                  </w:pPr>
                  <w:r>
                    <w:rPr>
                      <w:rFonts w:cs="新宋体"/>
                      <w:color w:val="000000" w:themeColor="text1"/>
                      <w:szCs w:val="21"/>
                      <w:highlight w:val="none"/>
                    </w:rPr>
                    <w:t>Bitmap</w:t>
                  </w:r>
                  <w:r>
                    <w:rPr>
                      <w:rFonts w:hint="eastAsia" w:cs="新宋体"/>
                      <w:color w:val="000000" w:themeColor="text1"/>
                      <w:szCs w:val="21"/>
                      <w:highlight w:val="none"/>
                    </w:rPr>
                    <w:t>拍摄到的画面</w:t>
                  </w:r>
                </w:p>
              </w:tc>
            </w:tr>
          </w:tbl>
          <w:p>
            <w:pPr>
              <w:jc w:val="center"/>
              <w:rPr>
                <w:bCs/>
                <w:color w:val="000000" w:themeColor="text1"/>
                <w:szCs w:val="21"/>
                <w:highlight w:val="none"/>
              </w:rPr>
            </w:pPr>
          </w:p>
          <w:p>
            <w:pPr>
              <w:spacing w:line="360" w:lineRule="exact"/>
              <w:rPr>
                <w:b/>
                <w:color w:val="000000" w:themeColor="text1"/>
                <w:szCs w:val="21"/>
                <w:highlight w:val="none"/>
              </w:rPr>
            </w:pPr>
            <w:r>
              <w:rPr>
                <w:rFonts w:hint="eastAsia"/>
                <w:b/>
                <w:color w:val="000000" w:themeColor="text1"/>
                <w:szCs w:val="21"/>
                <w:highlight w:val="none"/>
              </w:rPr>
              <w:t>1</w:t>
            </w:r>
            <w:r>
              <w:rPr>
                <w:b/>
                <w:color w:val="000000" w:themeColor="text1"/>
                <w:szCs w:val="21"/>
                <w:highlight w:val="none"/>
              </w:rPr>
              <w:t>.3.</w:t>
            </w:r>
            <w:r>
              <w:rPr>
                <w:rFonts w:hint="eastAsia"/>
                <w:b/>
                <w:color w:val="000000" w:themeColor="text1"/>
                <w:szCs w:val="21"/>
                <w:highlight w:val="none"/>
              </w:rPr>
              <w:t>5 指纹录入</w:t>
            </w:r>
          </w:p>
          <w:tbl>
            <w:tblPr>
              <w:tblStyle w:val="44"/>
              <w:tblpPr w:leftFromText="180" w:rightFromText="180" w:vertAnchor="text" w:horzAnchor="margin" w:tblpY="110"/>
              <w:tblW w:w="76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0"/>
              <w:gridCol w:w="1847"/>
              <w:gridCol w:w="1730"/>
              <w:gridCol w:w="2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380" w:type="dxa"/>
                  <w:vAlign w:val="center"/>
                </w:tcPr>
                <w:p>
                  <w:pPr>
                    <w:jc w:val="center"/>
                    <w:rPr>
                      <w:b/>
                      <w:color w:val="000000" w:themeColor="text1"/>
                      <w:szCs w:val="21"/>
                      <w:highlight w:val="none"/>
                    </w:rPr>
                  </w:pPr>
                  <w:r>
                    <w:rPr>
                      <w:rFonts w:hint="eastAsia"/>
                      <w:b/>
                      <w:color w:val="000000" w:themeColor="text1"/>
                      <w:szCs w:val="21"/>
                      <w:highlight w:val="none"/>
                    </w:rPr>
                    <w:t>方法</w:t>
                  </w:r>
                </w:p>
              </w:tc>
              <w:tc>
                <w:tcPr>
                  <w:tcW w:w="1847" w:type="dxa"/>
                  <w:vAlign w:val="center"/>
                </w:tcPr>
                <w:p>
                  <w:pPr>
                    <w:jc w:val="center"/>
                    <w:rPr>
                      <w:b/>
                      <w:color w:val="000000" w:themeColor="text1"/>
                      <w:szCs w:val="21"/>
                      <w:highlight w:val="none"/>
                    </w:rPr>
                  </w:pPr>
                  <w:r>
                    <w:rPr>
                      <w:rFonts w:hint="eastAsia"/>
                      <w:b/>
                      <w:color w:val="000000" w:themeColor="text1"/>
                      <w:szCs w:val="21"/>
                      <w:highlight w:val="none"/>
                    </w:rPr>
                    <w:t>说明</w:t>
                  </w:r>
                </w:p>
              </w:tc>
              <w:tc>
                <w:tcPr>
                  <w:tcW w:w="1730" w:type="dxa"/>
                  <w:vAlign w:val="center"/>
                </w:tcPr>
                <w:p>
                  <w:pPr>
                    <w:jc w:val="center"/>
                    <w:rPr>
                      <w:b/>
                      <w:color w:val="000000" w:themeColor="text1"/>
                      <w:szCs w:val="21"/>
                      <w:highlight w:val="none"/>
                    </w:rPr>
                  </w:pPr>
                  <w:r>
                    <w:rPr>
                      <w:rFonts w:hint="eastAsia"/>
                      <w:b/>
                      <w:color w:val="000000" w:themeColor="text1"/>
                      <w:szCs w:val="21"/>
                      <w:highlight w:val="none"/>
                    </w:rPr>
                    <w:t>参数</w:t>
                  </w:r>
                </w:p>
              </w:tc>
              <w:tc>
                <w:tcPr>
                  <w:tcW w:w="2693" w:type="dxa"/>
                  <w:vAlign w:val="center"/>
                </w:tcPr>
                <w:p>
                  <w:pPr>
                    <w:jc w:val="center"/>
                    <w:rPr>
                      <w:b/>
                      <w:color w:val="000000" w:themeColor="text1"/>
                      <w:szCs w:val="21"/>
                      <w:highlight w:val="none"/>
                    </w:rPr>
                  </w:pPr>
                  <w:r>
                    <w:rPr>
                      <w:rFonts w:hint="eastAsia"/>
                      <w:b/>
                      <w:color w:val="000000" w:themeColor="text1"/>
                      <w:szCs w:val="21"/>
                      <w:highlight w:val="none"/>
                    </w:rPr>
                    <w:t>返回结果要求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 w:hRule="atLeast"/>
              </w:trPr>
              <w:tc>
                <w:tcPr>
                  <w:tcW w:w="1380" w:type="dxa"/>
                  <w:vAlign w:val="center"/>
                </w:tcPr>
                <w:p>
                  <w:pPr>
                    <w:rPr>
                      <w:color w:val="000000" w:themeColor="text1"/>
                      <w:szCs w:val="21"/>
                      <w:highlight w:val="none"/>
                    </w:rPr>
                  </w:pPr>
                  <w:r>
                    <w:rPr>
                      <w:rFonts w:cs="新宋体"/>
                      <w:color w:val="000000" w:themeColor="text1"/>
                      <w:szCs w:val="21"/>
                      <w:highlight w:val="none"/>
                    </w:rPr>
                    <w:t>Start</w:t>
                  </w:r>
                </w:p>
              </w:tc>
              <w:tc>
                <w:tcPr>
                  <w:tcW w:w="1847" w:type="dxa"/>
                  <w:vAlign w:val="center"/>
                </w:tcPr>
                <w:p>
                  <w:pPr>
                    <w:rPr>
                      <w:color w:val="000000" w:themeColor="text1"/>
                      <w:szCs w:val="21"/>
                      <w:highlight w:val="none"/>
                    </w:rPr>
                  </w:pPr>
                  <w:r>
                    <w:rPr>
                      <w:color w:val="000000" w:themeColor="text1"/>
                      <w:szCs w:val="21"/>
                      <w:highlight w:val="none"/>
                    </w:rPr>
                    <w:t>开始读指纹</w:t>
                  </w:r>
                </w:p>
              </w:tc>
              <w:tc>
                <w:tcPr>
                  <w:tcW w:w="1730" w:type="dxa"/>
                  <w:vAlign w:val="center"/>
                </w:tcPr>
                <w:p>
                  <w:pPr>
                    <w:rPr>
                      <w:color w:val="000000" w:themeColor="text1"/>
                      <w:szCs w:val="21"/>
                      <w:highlight w:val="none"/>
                    </w:rPr>
                  </w:pPr>
                  <w:r>
                    <w:rPr>
                      <w:rFonts w:cs="新宋体"/>
                      <w:color w:val="000000" w:themeColor="text1"/>
                      <w:szCs w:val="21"/>
                      <w:highlight w:val="none"/>
                    </w:rPr>
                    <w:t>timeout：读指纹超时时间（</w:t>
                  </w:r>
                  <w:r>
                    <w:rPr>
                      <w:rFonts w:hint="eastAsia" w:cs="新宋体"/>
                      <w:color w:val="000000" w:themeColor="text1"/>
                      <w:szCs w:val="21"/>
                      <w:highlight w:val="none"/>
                    </w:rPr>
                    <w:t>秒</w:t>
                  </w:r>
                  <w:r>
                    <w:rPr>
                      <w:rFonts w:cs="新宋体"/>
                      <w:color w:val="000000" w:themeColor="text1"/>
                      <w:szCs w:val="21"/>
                      <w:highlight w:val="none"/>
                    </w:rPr>
                    <w:t>）</w:t>
                  </w:r>
                </w:p>
              </w:tc>
              <w:tc>
                <w:tcPr>
                  <w:tcW w:w="2693" w:type="dxa"/>
                  <w:vAlign w:val="center"/>
                </w:tcPr>
                <w:p>
                  <w:pPr>
                    <w:rPr>
                      <w:color w:val="000000" w:themeColor="text1"/>
                      <w:szCs w:val="21"/>
                      <w:highlight w:val="none"/>
                    </w:rPr>
                  </w:pPr>
                  <w:r>
                    <w:rPr>
                      <w:rFonts w:hint="eastAsia" w:cs="新宋体"/>
                      <w:color w:val="000000" w:themeColor="text1"/>
                      <w:szCs w:val="21"/>
                      <w:highlight w:val="none"/>
                    </w:rPr>
                    <w:t>返回成功/否：true/false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1380" w:type="dxa"/>
                  <w:vAlign w:val="center"/>
                </w:tcPr>
                <w:p>
                  <w:pPr>
                    <w:rPr>
                      <w:rFonts w:cs="新宋体"/>
                      <w:color w:val="000000" w:themeColor="text1"/>
                      <w:szCs w:val="21"/>
                      <w:highlight w:val="none"/>
                    </w:rPr>
                  </w:pPr>
                  <w:r>
                    <w:rPr>
                      <w:rFonts w:cs="新宋体"/>
                      <w:color w:val="000000" w:themeColor="text1"/>
                      <w:szCs w:val="21"/>
                      <w:highlight w:val="none"/>
                    </w:rPr>
                    <w:t>Stop</w:t>
                  </w:r>
                </w:p>
              </w:tc>
              <w:tc>
                <w:tcPr>
                  <w:tcW w:w="1847" w:type="dxa"/>
                  <w:vAlign w:val="center"/>
                </w:tcPr>
                <w:p>
                  <w:pPr>
                    <w:rPr>
                      <w:color w:val="000000" w:themeColor="text1"/>
                      <w:szCs w:val="21"/>
                      <w:highlight w:val="none"/>
                    </w:rPr>
                  </w:pPr>
                  <w:r>
                    <w:rPr>
                      <w:color w:val="000000" w:themeColor="text1"/>
                      <w:szCs w:val="21"/>
                      <w:highlight w:val="none"/>
                    </w:rPr>
                    <w:t>停止读指纹</w:t>
                  </w:r>
                </w:p>
              </w:tc>
              <w:tc>
                <w:tcPr>
                  <w:tcW w:w="1730" w:type="dxa"/>
                  <w:vAlign w:val="center"/>
                </w:tcPr>
                <w:p>
                  <w:pPr>
                    <w:rPr>
                      <w:rFonts w:cs="新宋体"/>
                      <w:color w:val="000000" w:themeColor="text1"/>
                      <w:szCs w:val="21"/>
                      <w:highlight w:val="none"/>
                    </w:rPr>
                  </w:pPr>
                </w:p>
              </w:tc>
              <w:tc>
                <w:tcPr>
                  <w:tcW w:w="2693" w:type="dxa"/>
                  <w:vAlign w:val="center"/>
                </w:tcPr>
                <w:p>
                  <w:pPr>
                    <w:rPr>
                      <w:rFonts w:cs="新宋体"/>
                      <w:color w:val="000000" w:themeColor="text1"/>
                      <w:szCs w:val="21"/>
                      <w:highlight w:val="none"/>
                    </w:rPr>
                  </w:pPr>
                  <w:r>
                    <w:rPr>
                      <w:rFonts w:hint="eastAsia" w:cs="新宋体"/>
                      <w:color w:val="000000" w:themeColor="text1"/>
                      <w:szCs w:val="21"/>
                      <w:highlight w:val="none"/>
                    </w:rPr>
                    <w:t>返回成功/否：true/false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1380" w:type="dxa"/>
                  <w:vAlign w:val="center"/>
                </w:tcPr>
                <w:p>
                  <w:pPr>
                    <w:rPr>
                      <w:rFonts w:cs="新宋体"/>
                      <w:color w:val="000000" w:themeColor="text1"/>
                      <w:szCs w:val="21"/>
                      <w:highlight w:val="none"/>
                    </w:rPr>
                  </w:pPr>
                  <w:r>
                    <w:rPr>
                      <w:rFonts w:cs="新宋体"/>
                      <w:color w:val="000000" w:themeColor="text1"/>
                      <w:szCs w:val="21"/>
                      <w:highlight w:val="none"/>
                    </w:rPr>
                    <w:t>Complete</w:t>
                  </w:r>
                </w:p>
              </w:tc>
              <w:tc>
                <w:tcPr>
                  <w:tcW w:w="1847" w:type="dxa"/>
                  <w:vAlign w:val="center"/>
                </w:tcPr>
                <w:p>
                  <w:pPr>
                    <w:rPr>
                      <w:color w:val="000000" w:themeColor="text1"/>
                      <w:szCs w:val="21"/>
                      <w:highlight w:val="none"/>
                    </w:rPr>
                  </w:pPr>
                  <w:r>
                    <w:rPr>
                      <w:color w:val="000000" w:themeColor="text1"/>
                      <w:szCs w:val="21"/>
                      <w:highlight w:val="none"/>
                    </w:rPr>
                    <w:t>接受返回</w:t>
                  </w:r>
                  <w:r>
                    <w:rPr>
                      <w:rFonts w:hint="eastAsia"/>
                      <w:color w:val="000000" w:themeColor="text1"/>
                      <w:szCs w:val="21"/>
                      <w:highlight w:val="none"/>
                    </w:rPr>
                    <w:t>指纹</w:t>
                  </w:r>
                  <w:r>
                    <w:rPr>
                      <w:color w:val="000000" w:themeColor="text1"/>
                      <w:szCs w:val="21"/>
                      <w:highlight w:val="none"/>
                    </w:rPr>
                    <w:t>数据的回调方法</w:t>
                  </w:r>
                </w:p>
              </w:tc>
              <w:tc>
                <w:tcPr>
                  <w:tcW w:w="1730" w:type="dxa"/>
                  <w:vAlign w:val="center"/>
                </w:tcPr>
                <w:p>
                  <w:pPr>
                    <w:rPr>
                      <w:rFonts w:cs="新宋体"/>
                      <w:color w:val="000000" w:themeColor="text1"/>
                      <w:szCs w:val="21"/>
                      <w:highlight w:val="none"/>
                    </w:rPr>
                  </w:pPr>
                </w:p>
              </w:tc>
              <w:tc>
                <w:tcPr>
                  <w:tcW w:w="2693" w:type="dxa"/>
                  <w:vAlign w:val="center"/>
                </w:tcPr>
                <w:p>
                  <w:pPr>
                    <w:rPr>
                      <w:rFonts w:cs="新宋体"/>
                      <w:color w:val="000000" w:themeColor="text1"/>
                      <w:szCs w:val="21"/>
                      <w:highlight w:val="none"/>
                    </w:rPr>
                  </w:pPr>
                  <w:r>
                    <w:rPr>
                      <w:rFonts w:cs="新宋体"/>
                      <w:color w:val="000000" w:themeColor="text1"/>
                      <w:szCs w:val="21"/>
                      <w:highlight w:val="none"/>
                    </w:rPr>
                    <w:t>FingerPrintData</w:t>
                  </w:r>
                  <w:r>
                    <w:rPr>
                      <w:rFonts w:hint="eastAsia" w:cs="新宋体"/>
                      <w:color w:val="000000" w:themeColor="text1"/>
                      <w:szCs w:val="21"/>
                      <w:highlight w:val="none"/>
                    </w:rPr>
                    <w:t>读指纹的返回结果，结构见.cs文件</w:t>
                  </w:r>
                </w:p>
              </w:tc>
            </w:tr>
          </w:tbl>
          <w:p>
            <w:pPr>
              <w:jc w:val="center"/>
              <w:rPr>
                <w:bCs/>
                <w:color w:val="000000" w:themeColor="text1"/>
                <w:szCs w:val="21"/>
                <w:highlight w:val="none"/>
              </w:rPr>
            </w:pPr>
          </w:p>
          <w:p>
            <w:pPr>
              <w:spacing w:line="360" w:lineRule="exact"/>
              <w:rPr>
                <w:b/>
                <w:color w:val="000000" w:themeColor="text1"/>
                <w:szCs w:val="21"/>
                <w:highlight w:val="none"/>
              </w:rPr>
            </w:pPr>
            <w:r>
              <w:rPr>
                <w:rFonts w:hint="eastAsia"/>
                <w:b/>
                <w:color w:val="000000" w:themeColor="text1"/>
                <w:szCs w:val="21"/>
                <w:highlight w:val="none"/>
              </w:rPr>
              <w:t>1</w:t>
            </w:r>
            <w:r>
              <w:rPr>
                <w:b/>
                <w:color w:val="000000" w:themeColor="text1"/>
                <w:szCs w:val="21"/>
                <w:highlight w:val="none"/>
              </w:rPr>
              <w:t>.3.</w:t>
            </w:r>
            <w:r>
              <w:rPr>
                <w:rFonts w:hint="eastAsia"/>
                <w:b/>
                <w:color w:val="000000" w:themeColor="text1"/>
                <w:szCs w:val="21"/>
                <w:highlight w:val="none"/>
              </w:rPr>
              <w:t>6终端智能识别</w:t>
            </w:r>
          </w:p>
          <w:tbl>
            <w:tblPr>
              <w:tblStyle w:val="44"/>
              <w:tblpPr w:leftFromText="180" w:rightFromText="180" w:vertAnchor="text" w:horzAnchor="margin" w:tblpY="110"/>
              <w:tblW w:w="76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0"/>
              <w:gridCol w:w="1847"/>
              <w:gridCol w:w="1730"/>
              <w:gridCol w:w="2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380" w:type="dxa"/>
                </w:tcPr>
                <w:p>
                  <w:pPr>
                    <w:jc w:val="center"/>
                    <w:rPr>
                      <w:b/>
                      <w:color w:val="000000" w:themeColor="text1"/>
                      <w:szCs w:val="21"/>
                      <w:highlight w:val="none"/>
                    </w:rPr>
                  </w:pPr>
                  <w:r>
                    <w:rPr>
                      <w:rFonts w:hint="eastAsia"/>
                      <w:b/>
                      <w:color w:val="000000" w:themeColor="text1"/>
                      <w:szCs w:val="21"/>
                      <w:highlight w:val="none"/>
                    </w:rPr>
                    <w:t>方法</w:t>
                  </w:r>
                </w:p>
              </w:tc>
              <w:tc>
                <w:tcPr>
                  <w:tcW w:w="1847" w:type="dxa"/>
                </w:tcPr>
                <w:p>
                  <w:pPr>
                    <w:jc w:val="center"/>
                    <w:rPr>
                      <w:b/>
                      <w:color w:val="000000" w:themeColor="text1"/>
                      <w:szCs w:val="21"/>
                      <w:highlight w:val="none"/>
                    </w:rPr>
                  </w:pPr>
                  <w:r>
                    <w:rPr>
                      <w:rFonts w:hint="eastAsia"/>
                      <w:b/>
                      <w:color w:val="000000" w:themeColor="text1"/>
                      <w:szCs w:val="21"/>
                      <w:highlight w:val="none"/>
                    </w:rPr>
                    <w:t>说明</w:t>
                  </w:r>
                </w:p>
              </w:tc>
              <w:tc>
                <w:tcPr>
                  <w:tcW w:w="1730" w:type="dxa"/>
                </w:tcPr>
                <w:p>
                  <w:pPr>
                    <w:jc w:val="center"/>
                    <w:rPr>
                      <w:b/>
                      <w:color w:val="000000" w:themeColor="text1"/>
                      <w:szCs w:val="21"/>
                      <w:highlight w:val="none"/>
                    </w:rPr>
                  </w:pPr>
                  <w:r>
                    <w:rPr>
                      <w:rFonts w:hint="eastAsia"/>
                      <w:b/>
                      <w:color w:val="000000" w:themeColor="text1"/>
                      <w:szCs w:val="21"/>
                      <w:highlight w:val="none"/>
                    </w:rPr>
                    <w:t>参数</w:t>
                  </w:r>
                </w:p>
              </w:tc>
              <w:tc>
                <w:tcPr>
                  <w:tcW w:w="2693" w:type="dxa"/>
                </w:tcPr>
                <w:p>
                  <w:pPr>
                    <w:jc w:val="center"/>
                    <w:rPr>
                      <w:b/>
                      <w:color w:val="000000" w:themeColor="text1"/>
                      <w:szCs w:val="21"/>
                      <w:highlight w:val="none"/>
                    </w:rPr>
                  </w:pPr>
                  <w:r>
                    <w:rPr>
                      <w:rFonts w:hint="eastAsia"/>
                      <w:b/>
                      <w:color w:val="000000" w:themeColor="text1"/>
                      <w:szCs w:val="21"/>
                      <w:highlight w:val="none"/>
                    </w:rPr>
                    <w:t>返回结果要求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5" w:hRule="atLeast"/>
              </w:trPr>
              <w:tc>
                <w:tcPr>
                  <w:tcW w:w="1380" w:type="dxa"/>
                  <w:vAlign w:val="center"/>
                </w:tcPr>
                <w:p>
                  <w:pPr>
                    <w:rPr>
                      <w:color w:val="000000" w:themeColor="text1"/>
                      <w:szCs w:val="21"/>
                      <w:highlight w:val="none"/>
                    </w:rPr>
                  </w:pPr>
                  <w:r>
                    <w:rPr>
                      <w:rFonts w:cs="新宋体"/>
                      <w:color w:val="000000" w:themeColor="text1"/>
                      <w:szCs w:val="21"/>
                      <w:highlight w:val="none"/>
                    </w:rPr>
                    <w:t>Notify</w:t>
                  </w:r>
                </w:p>
              </w:tc>
              <w:tc>
                <w:tcPr>
                  <w:tcW w:w="1847" w:type="dxa"/>
                  <w:vAlign w:val="center"/>
                </w:tcPr>
                <w:p>
                  <w:pPr>
                    <w:rPr>
                      <w:color w:val="000000" w:themeColor="text1"/>
                      <w:szCs w:val="21"/>
                      <w:highlight w:val="none"/>
                    </w:rPr>
                  </w:pPr>
                  <w:r>
                    <w:rPr>
                      <w:rFonts w:hint="eastAsia"/>
                      <w:color w:val="000000" w:themeColor="text1"/>
                      <w:szCs w:val="21"/>
                      <w:highlight w:val="none"/>
                    </w:rPr>
                    <w:t>硬件感应通知</w:t>
                  </w:r>
                </w:p>
              </w:tc>
              <w:tc>
                <w:tcPr>
                  <w:tcW w:w="1730" w:type="dxa"/>
                  <w:vAlign w:val="center"/>
                </w:tcPr>
                <w:p>
                  <w:pPr>
                    <w:rPr>
                      <w:color w:val="000000" w:themeColor="text1"/>
                      <w:szCs w:val="21"/>
                      <w:highlight w:val="none"/>
                    </w:rPr>
                  </w:pPr>
                  <w:r>
                    <w:rPr>
                      <w:rFonts w:hint="eastAsia" w:cs="新宋体"/>
                      <w:color w:val="000000" w:themeColor="text1"/>
                      <w:szCs w:val="21"/>
                      <w:highlight w:val="none"/>
                    </w:rPr>
                    <w:t>返回硬件感应事件编码</w:t>
                  </w:r>
                </w:p>
              </w:tc>
              <w:tc>
                <w:tcPr>
                  <w:tcW w:w="2693" w:type="dxa"/>
                  <w:vAlign w:val="center"/>
                </w:tcPr>
                <w:p>
                  <w:pPr>
                    <w:autoSpaceDE w:val="0"/>
                    <w:autoSpaceDN w:val="0"/>
                    <w:rPr>
                      <w:rFonts w:cs="新宋体"/>
                      <w:color w:val="000000" w:themeColor="text1"/>
                      <w:szCs w:val="21"/>
                      <w:highlight w:val="none"/>
                    </w:rPr>
                  </w:pPr>
                  <w:r>
                    <w:rPr>
                      <w:rFonts w:cs="新宋体"/>
                      <w:color w:val="000000" w:themeColor="text1"/>
                      <w:szCs w:val="21"/>
                      <w:highlight w:val="none"/>
                    </w:rPr>
                    <w:t xml:space="preserve"> 04 - 监控摄像头被遮挡</w:t>
                  </w:r>
                </w:p>
                <w:p>
                  <w:pPr>
                    <w:autoSpaceDE w:val="0"/>
                    <w:autoSpaceDN w:val="0"/>
                    <w:rPr>
                      <w:rFonts w:cs="新宋体"/>
                      <w:color w:val="000000" w:themeColor="text1"/>
                      <w:szCs w:val="21"/>
                      <w:highlight w:val="none"/>
                    </w:rPr>
                  </w:pPr>
                  <w:r>
                    <w:rPr>
                      <w:rFonts w:cs="新宋体"/>
                      <w:color w:val="000000" w:themeColor="text1"/>
                      <w:szCs w:val="21"/>
                      <w:highlight w:val="none"/>
                    </w:rPr>
                    <w:t xml:space="preserve"> 05 - 后门关闭</w:t>
                  </w:r>
                </w:p>
                <w:p>
                  <w:pPr>
                    <w:autoSpaceDE w:val="0"/>
                    <w:autoSpaceDN w:val="0"/>
                    <w:rPr>
                      <w:rFonts w:cs="新宋体"/>
                      <w:color w:val="000000" w:themeColor="text1"/>
                      <w:szCs w:val="21"/>
                      <w:highlight w:val="none"/>
                    </w:rPr>
                  </w:pPr>
                  <w:r>
                    <w:rPr>
                      <w:rFonts w:cs="新宋体"/>
                      <w:color w:val="000000" w:themeColor="text1"/>
                      <w:szCs w:val="21"/>
                      <w:highlight w:val="none"/>
                    </w:rPr>
                    <w:t xml:space="preserve"> 07 - 后门打开</w:t>
                  </w:r>
                </w:p>
                <w:p>
                  <w:pPr>
                    <w:autoSpaceDE w:val="0"/>
                    <w:autoSpaceDN w:val="0"/>
                    <w:rPr>
                      <w:rFonts w:cs="新宋体"/>
                      <w:color w:val="000000" w:themeColor="text1"/>
                      <w:szCs w:val="21"/>
                      <w:highlight w:val="none"/>
                    </w:rPr>
                  </w:pPr>
                  <w:r>
                    <w:rPr>
                      <w:rFonts w:cs="新宋体"/>
                      <w:color w:val="000000" w:themeColor="text1"/>
                      <w:szCs w:val="21"/>
                      <w:highlight w:val="none"/>
                    </w:rPr>
                    <w:t xml:space="preserve"> 08 - 有人远离机器</w:t>
                  </w:r>
                </w:p>
                <w:p>
                  <w:pPr>
                    <w:autoSpaceDE w:val="0"/>
                    <w:autoSpaceDN w:val="0"/>
                    <w:rPr>
                      <w:rFonts w:cs="新宋体"/>
                      <w:color w:val="000000" w:themeColor="text1"/>
                      <w:szCs w:val="21"/>
                      <w:highlight w:val="none"/>
                    </w:rPr>
                  </w:pPr>
                  <w:r>
                    <w:rPr>
                      <w:rFonts w:cs="新宋体"/>
                      <w:color w:val="000000" w:themeColor="text1"/>
                      <w:szCs w:val="21"/>
                      <w:highlight w:val="none"/>
                    </w:rPr>
                    <w:t xml:space="preserve"> 09 - 有人靠近机器</w:t>
                  </w:r>
                </w:p>
                <w:p>
                  <w:pPr>
                    <w:rPr>
                      <w:color w:val="000000" w:themeColor="text1"/>
                      <w:szCs w:val="21"/>
                      <w:highlight w:val="none"/>
                    </w:rPr>
                  </w:pPr>
                  <w:r>
                    <w:rPr>
                      <w:rFonts w:cs="新宋体"/>
                      <w:color w:val="000000" w:themeColor="text1"/>
                      <w:szCs w:val="21"/>
                      <w:highlight w:val="none"/>
                    </w:rPr>
                    <w:t>0a - 机器震动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trPr>
              <w:tc>
                <w:tcPr>
                  <w:tcW w:w="1380" w:type="dxa"/>
                  <w:vAlign w:val="center"/>
                </w:tcPr>
                <w:p>
                  <w:pPr>
                    <w:rPr>
                      <w:rFonts w:cs="新宋体"/>
                      <w:color w:val="000000" w:themeColor="text1"/>
                      <w:szCs w:val="21"/>
                      <w:highlight w:val="none"/>
                    </w:rPr>
                  </w:pPr>
                  <w:r>
                    <w:rPr>
                      <w:rFonts w:cs="新宋体"/>
                      <w:color w:val="000000" w:themeColor="text1"/>
                      <w:szCs w:val="21"/>
                      <w:highlight w:val="none"/>
                    </w:rPr>
                    <w:t>Scan</w:t>
                  </w:r>
                </w:p>
              </w:tc>
              <w:tc>
                <w:tcPr>
                  <w:tcW w:w="1847" w:type="dxa"/>
                  <w:vAlign w:val="center"/>
                </w:tcPr>
                <w:p>
                  <w:pPr>
                    <w:rPr>
                      <w:color w:val="000000" w:themeColor="text1"/>
                      <w:szCs w:val="21"/>
                      <w:highlight w:val="none"/>
                    </w:rPr>
                  </w:pPr>
                  <w:r>
                    <w:rPr>
                      <w:color w:val="000000" w:themeColor="text1"/>
                      <w:szCs w:val="21"/>
                      <w:highlight w:val="none"/>
                    </w:rPr>
                    <w:t>条码枪扫描</w:t>
                  </w:r>
                </w:p>
              </w:tc>
              <w:tc>
                <w:tcPr>
                  <w:tcW w:w="1730" w:type="dxa"/>
                  <w:vAlign w:val="center"/>
                </w:tcPr>
                <w:p>
                  <w:pPr>
                    <w:rPr>
                      <w:rFonts w:cs="新宋体"/>
                      <w:color w:val="000000" w:themeColor="text1"/>
                      <w:szCs w:val="21"/>
                      <w:highlight w:val="none"/>
                    </w:rPr>
                  </w:pPr>
                  <w:r>
                    <w:rPr>
                      <w:rFonts w:hint="eastAsia" w:cs="新宋体"/>
                      <w:color w:val="000000" w:themeColor="text1"/>
                      <w:szCs w:val="21"/>
                      <w:highlight w:val="none"/>
                    </w:rPr>
                    <w:t>msg：读取到的信息</w:t>
                  </w:r>
                </w:p>
              </w:tc>
              <w:tc>
                <w:tcPr>
                  <w:tcW w:w="2693" w:type="dxa"/>
                  <w:vAlign w:val="center"/>
                </w:tcPr>
                <w:p>
                  <w:pPr>
                    <w:rPr>
                      <w:rFonts w:cs="新宋体"/>
                      <w:color w:val="000000" w:themeColor="text1"/>
                      <w:szCs w:val="21"/>
                      <w:highlight w:val="none"/>
                    </w:rPr>
                  </w:pPr>
                  <w:r>
                    <w:rPr>
                      <w:rFonts w:hint="eastAsia" w:cs="新宋体"/>
                      <w:color w:val="000000" w:themeColor="text1"/>
                      <w:szCs w:val="21"/>
                      <w:highlight w:val="none"/>
                    </w:rPr>
                    <w:t>返回成功/否：true/false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trPr>
              <w:tc>
                <w:tcPr>
                  <w:tcW w:w="1380" w:type="dxa"/>
                  <w:vAlign w:val="center"/>
                </w:tcPr>
                <w:p>
                  <w:pPr>
                    <w:rPr>
                      <w:rFonts w:cs="新宋体"/>
                      <w:color w:val="000000" w:themeColor="text1"/>
                      <w:szCs w:val="21"/>
                      <w:highlight w:val="none"/>
                    </w:rPr>
                  </w:pPr>
                  <w:r>
                    <w:rPr>
                      <w:rFonts w:cs="新宋体"/>
                      <w:color w:val="000000" w:themeColor="text1"/>
                      <w:szCs w:val="21"/>
                      <w:highlight w:val="none"/>
                    </w:rPr>
                    <w:t>LightOn</w:t>
                  </w:r>
                </w:p>
              </w:tc>
              <w:tc>
                <w:tcPr>
                  <w:tcW w:w="1847" w:type="dxa"/>
                  <w:vAlign w:val="center"/>
                </w:tcPr>
                <w:p>
                  <w:pPr>
                    <w:rPr>
                      <w:color w:val="000000" w:themeColor="text1"/>
                      <w:szCs w:val="21"/>
                      <w:highlight w:val="none"/>
                    </w:rPr>
                  </w:pPr>
                  <w:r>
                    <w:rPr>
                      <w:rFonts w:hint="eastAsia"/>
                      <w:color w:val="000000" w:themeColor="text1"/>
                      <w:szCs w:val="21"/>
                      <w:highlight w:val="none"/>
                    </w:rPr>
                    <w:t>打开指示灯1秒</w:t>
                  </w:r>
                </w:p>
              </w:tc>
              <w:tc>
                <w:tcPr>
                  <w:tcW w:w="1730" w:type="dxa"/>
                  <w:vAlign w:val="center"/>
                </w:tcPr>
                <w:p>
                  <w:pPr>
                    <w:rPr>
                      <w:rFonts w:cs="新宋体"/>
                      <w:color w:val="000000" w:themeColor="text1"/>
                      <w:szCs w:val="21"/>
                      <w:highlight w:val="none"/>
                    </w:rPr>
                  </w:pPr>
                  <w:r>
                    <w:rPr>
                      <w:rFonts w:cs="新宋体"/>
                      <w:color w:val="000000" w:themeColor="text1"/>
                      <w:szCs w:val="21"/>
                      <w:highlight w:val="none"/>
                    </w:rPr>
                    <w:t>lightIndex：灯的编号（有A4打印灯，票据打印灯...）</w:t>
                  </w:r>
                </w:p>
              </w:tc>
              <w:tc>
                <w:tcPr>
                  <w:tcW w:w="2693" w:type="dxa"/>
                  <w:vAlign w:val="center"/>
                </w:tcPr>
                <w:p>
                  <w:pPr>
                    <w:rPr>
                      <w:rFonts w:cs="新宋体"/>
                      <w:color w:val="000000" w:themeColor="text1"/>
                      <w:szCs w:val="21"/>
                      <w:highlight w:val="none"/>
                    </w:rPr>
                  </w:pPr>
                  <w:r>
                    <w:rPr>
                      <w:rFonts w:hint="eastAsia" w:cs="新宋体"/>
                      <w:color w:val="000000" w:themeColor="text1"/>
                      <w:szCs w:val="21"/>
                      <w:highlight w:val="none"/>
                    </w:rPr>
                    <w:t>返回成功/否：true/false</w:t>
                  </w:r>
                </w:p>
              </w:tc>
            </w:tr>
          </w:tbl>
          <w:p>
            <w:pPr>
              <w:rPr>
                <w:bCs/>
                <w:color w:val="000000" w:themeColor="text1"/>
                <w:szCs w:val="21"/>
                <w:highlight w:val="none"/>
              </w:rPr>
            </w:pPr>
          </w:p>
          <w:p>
            <w:pPr>
              <w:spacing w:line="360" w:lineRule="exact"/>
              <w:rPr>
                <w:b/>
                <w:color w:val="000000" w:themeColor="text1"/>
                <w:szCs w:val="21"/>
                <w:highlight w:val="none"/>
              </w:rPr>
            </w:pPr>
            <w:r>
              <w:rPr>
                <w:rFonts w:hint="eastAsia"/>
                <w:b/>
                <w:color w:val="000000" w:themeColor="text1"/>
                <w:szCs w:val="21"/>
                <w:highlight w:val="none"/>
              </w:rPr>
              <w:t>1</w:t>
            </w:r>
            <w:r>
              <w:rPr>
                <w:b/>
                <w:color w:val="000000" w:themeColor="text1"/>
                <w:szCs w:val="21"/>
                <w:highlight w:val="none"/>
              </w:rPr>
              <w:t>.3.</w:t>
            </w:r>
            <w:r>
              <w:rPr>
                <w:rFonts w:hint="eastAsia"/>
                <w:b/>
                <w:color w:val="000000" w:themeColor="text1"/>
                <w:szCs w:val="21"/>
                <w:highlight w:val="none"/>
              </w:rPr>
              <w:t>7 各部件驱动要求</w:t>
            </w:r>
          </w:p>
          <w:p>
            <w:pPr>
              <w:ind w:firstLine="420" w:firstLineChars="200"/>
              <w:rPr>
                <w:color w:val="000000" w:themeColor="text1"/>
                <w:szCs w:val="21"/>
                <w:highlight w:val="none"/>
              </w:rPr>
            </w:pPr>
            <w:r>
              <w:rPr>
                <w:rFonts w:hint="eastAsia"/>
                <w:color w:val="000000" w:themeColor="text1"/>
                <w:szCs w:val="21"/>
                <w:highlight w:val="none"/>
              </w:rPr>
              <w:t>各部件须提供.net版本驱动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42" w:type="dxa"/>
            <w:bottom w:w="113" w:type="dxa"/>
            <w:right w:w="142" w:type="dxa"/>
          </w:tblCellMar>
        </w:tblPrEx>
        <w:trPr>
          <w:trHeight w:val="90" w:hRule="atLeast"/>
        </w:trPr>
        <w:tc>
          <w:tcPr>
            <w:tcW w:w="709" w:type="dxa"/>
            <w:vMerge w:val="continue"/>
            <w:shd w:val="clear" w:color="auto" w:fill="auto"/>
            <w:vAlign w:val="center"/>
          </w:tcPr>
          <w:p>
            <w:pPr>
              <w:jc w:val="center"/>
              <w:rPr>
                <w:color w:val="000000" w:themeColor="text1"/>
                <w:szCs w:val="21"/>
                <w:highlight w:val="none"/>
              </w:rPr>
            </w:pPr>
          </w:p>
        </w:tc>
        <w:tc>
          <w:tcPr>
            <w:tcW w:w="993" w:type="dxa"/>
            <w:vMerge w:val="continue"/>
            <w:shd w:val="clear" w:color="auto" w:fill="auto"/>
            <w:vAlign w:val="center"/>
          </w:tcPr>
          <w:p>
            <w:pPr>
              <w:jc w:val="center"/>
              <w:rPr>
                <w:color w:val="000000" w:themeColor="text1"/>
                <w:szCs w:val="21"/>
                <w:highlight w:val="none"/>
              </w:rPr>
            </w:pPr>
          </w:p>
        </w:tc>
        <w:tc>
          <w:tcPr>
            <w:tcW w:w="8221" w:type="dxa"/>
            <w:shd w:val="clear" w:color="auto" w:fill="auto"/>
            <w:vAlign w:val="center"/>
          </w:tcPr>
          <w:p>
            <w:pPr>
              <w:rPr>
                <w:b/>
                <w:color w:val="000000" w:themeColor="text1"/>
                <w:szCs w:val="21"/>
                <w:highlight w:val="none"/>
              </w:rPr>
            </w:pPr>
            <w:r>
              <w:rPr>
                <w:rFonts w:hint="eastAsia"/>
                <w:b/>
                <w:color w:val="000000" w:themeColor="text1"/>
                <w:szCs w:val="21"/>
                <w:highlight w:val="none"/>
              </w:rPr>
              <w:t>1</w:t>
            </w:r>
            <w:r>
              <w:rPr>
                <w:b/>
                <w:color w:val="000000" w:themeColor="text1"/>
                <w:szCs w:val="21"/>
                <w:highlight w:val="none"/>
              </w:rPr>
              <w:t>.4 对接要求</w:t>
            </w:r>
          </w:p>
          <w:p>
            <w:pPr>
              <w:rPr>
                <w:b/>
                <w:color w:val="000000" w:themeColor="text1"/>
                <w:szCs w:val="21"/>
                <w:highlight w:val="none"/>
              </w:rPr>
            </w:pPr>
            <w:r>
              <w:rPr>
                <w:rFonts w:hint="eastAsia"/>
                <w:bCs/>
                <w:color w:val="000000" w:themeColor="text1"/>
                <w:szCs w:val="21"/>
                <w:highlight w:val="none"/>
              </w:rPr>
              <w:t>▲</w:t>
            </w:r>
            <w:r>
              <w:rPr>
                <w:rFonts w:hint="eastAsia"/>
                <w:b/>
                <w:color w:val="000000" w:themeColor="text1"/>
                <w:szCs w:val="21"/>
                <w:highlight w:val="none"/>
              </w:rPr>
              <w:t>供货方须承诺，必须保障自助终端机能与深圳市权责清单事项管理系统在软硬件上可靠融合，无缝衔接,实现政务服务事项办事指南信息展现。</w:t>
            </w:r>
          </w:p>
          <w:p>
            <w:pPr>
              <w:rPr>
                <w:b/>
                <w:color w:val="000000" w:themeColor="text1"/>
                <w:szCs w:val="21"/>
                <w:highlight w:val="none"/>
              </w:rPr>
            </w:pPr>
            <w:r>
              <w:rPr>
                <w:rFonts w:hint="eastAsia"/>
                <w:bCs/>
                <w:color w:val="000000" w:themeColor="text1"/>
                <w:szCs w:val="21"/>
                <w:highlight w:val="none"/>
              </w:rPr>
              <w:t>▲</w:t>
            </w:r>
            <w:r>
              <w:rPr>
                <w:rFonts w:hint="eastAsia"/>
                <w:b/>
                <w:color w:val="000000" w:themeColor="text1"/>
                <w:szCs w:val="21"/>
                <w:highlight w:val="none"/>
              </w:rPr>
              <w:t>供货方须承诺，必须保障自助终端机能与深圳市统一申办平台在软硬件上可靠融合，无缝衔接，实现政务服务事项申报功能。</w:t>
            </w:r>
          </w:p>
          <w:p>
            <w:pPr>
              <w:rPr>
                <w:b/>
                <w:color w:val="000000" w:themeColor="text1"/>
                <w:szCs w:val="21"/>
                <w:highlight w:val="none"/>
              </w:rPr>
            </w:pPr>
            <w:r>
              <w:rPr>
                <w:rFonts w:hint="eastAsia"/>
                <w:bCs/>
                <w:color w:val="000000" w:themeColor="text1"/>
                <w:szCs w:val="21"/>
                <w:highlight w:val="none"/>
              </w:rPr>
              <w:t>▲</w:t>
            </w:r>
            <w:r>
              <w:rPr>
                <w:rFonts w:hint="eastAsia"/>
                <w:b/>
                <w:color w:val="000000" w:themeColor="text1"/>
                <w:szCs w:val="21"/>
                <w:highlight w:val="none"/>
              </w:rPr>
              <w:t>供货方须承诺，必须保障自助终端机能与深圳市一窗综合服务受理平台在软硬件上可靠融合，无缝衔接，实现政务服务事项申报成功后，业务数据流转至深圳市一窗综合服务受理平台上进行窗口预审、受理。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42" w:type="dxa"/>
            <w:bottom w:w="113" w:type="dxa"/>
            <w:right w:w="142" w:type="dxa"/>
          </w:tblCellMar>
        </w:tblPrEx>
        <w:trPr>
          <w:trHeight w:val="841" w:hRule="atLeast"/>
        </w:trPr>
        <w:tc>
          <w:tcPr>
            <w:tcW w:w="709" w:type="dxa"/>
            <w:vMerge w:val="restart"/>
            <w:shd w:val="clear" w:color="auto" w:fill="auto"/>
            <w:vAlign w:val="center"/>
          </w:tcPr>
          <w:p>
            <w:pPr>
              <w:jc w:val="center"/>
              <w:rPr>
                <w:color w:val="000000" w:themeColor="text1"/>
                <w:szCs w:val="21"/>
                <w:highlight w:val="none"/>
              </w:rPr>
            </w:pPr>
            <w:r>
              <w:rPr>
                <w:rFonts w:hint="eastAsia"/>
                <w:color w:val="000000" w:themeColor="text1"/>
                <w:szCs w:val="21"/>
                <w:highlight w:val="none"/>
              </w:rPr>
              <w:t>2</w:t>
            </w:r>
          </w:p>
        </w:tc>
        <w:tc>
          <w:tcPr>
            <w:tcW w:w="993" w:type="dxa"/>
            <w:vMerge w:val="restart"/>
            <w:shd w:val="clear" w:color="auto" w:fill="auto"/>
            <w:vAlign w:val="center"/>
          </w:tcPr>
          <w:p>
            <w:pPr>
              <w:jc w:val="center"/>
              <w:rPr>
                <w:color w:val="000000" w:themeColor="text1"/>
                <w:szCs w:val="21"/>
                <w:highlight w:val="none"/>
              </w:rPr>
            </w:pPr>
            <w:r>
              <w:rPr>
                <w:rFonts w:hint="eastAsia"/>
                <w:color w:val="000000" w:themeColor="text1"/>
                <w:szCs w:val="21"/>
                <w:highlight w:val="none"/>
              </w:rPr>
              <w:t>智能文件柜</w:t>
            </w:r>
          </w:p>
        </w:tc>
        <w:tc>
          <w:tcPr>
            <w:tcW w:w="8221" w:type="dxa"/>
            <w:shd w:val="clear" w:color="auto" w:fill="auto"/>
            <w:vAlign w:val="center"/>
          </w:tcPr>
          <w:p>
            <w:pPr>
              <w:rPr>
                <w:b/>
                <w:color w:val="000000" w:themeColor="text1"/>
                <w:szCs w:val="21"/>
                <w:highlight w:val="none"/>
              </w:rPr>
            </w:pPr>
            <w:r>
              <w:rPr>
                <w:rFonts w:hint="eastAsia"/>
                <w:b/>
                <w:color w:val="000000" w:themeColor="text1"/>
                <w:szCs w:val="21"/>
                <w:highlight w:val="none"/>
              </w:rPr>
              <w:t>2.1文件盒数量：</w:t>
            </w:r>
          </w:p>
          <w:p>
            <w:pPr>
              <w:rPr>
                <w:color w:val="000000" w:themeColor="text1"/>
                <w:szCs w:val="21"/>
                <w:highlight w:val="none"/>
              </w:rPr>
            </w:pPr>
            <w:r>
              <w:rPr>
                <w:rFonts w:hint="eastAsia"/>
                <w:color w:val="000000" w:themeColor="text1"/>
                <w:szCs w:val="21"/>
                <w:highlight w:val="none"/>
              </w:rPr>
              <w:t>48个及以上。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42" w:type="dxa"/>
            <w:bottom w:w="113" w:type="dxa"/>
            <w:right w:w="142" w:type="dxa"/>
          </w:tblCellMar>
        </w:tblPrEx>
        <w:trPr>
          <w:trHeight w:val="90" w:hRule="atLeast"/>
        </w:trPr>
        <w:tc>
          <w:tcPr>
            <w:tcW w:w="709" w:type="dxa"/>
            <w:vMerge w:val="continue"/>
            <w:shd w:val="clear" w:color="auto" w:fill="auto"/>
            <w:vAlign w:val="center"/>
          </w:tcPr>
          <w:p>
            <w:pPr>
              <w:jc w:val="center"/>
              <w:rPr>
                <w:color w:val="000000" w:themeColor="text1"/>
                <w:szCs w:val="21"/>
                <w:highlight w:val="none"/>
              </w:rPr>
            </w:pPr>
          </w:p>
        </w:tc>
        <w:tc>
          <w:tcPr>
            <w:tcW w:w="993" w:type="dxa"/>
            <w:vMerge w:val="continue"/>
            <w:shd w:val="clear" w:color="auto" w:fill="auto"/>
            <w:vAlign w:val="center"/>
          </w:tcPr>
          <w:p>
            <w:pPr>
              <w:jc w:val="center"/>
              <w:rPr>
                <w:color w:val="000000" w:themeColor="text1"/>
                <w:szCs w:val="21"/>
                <w:highlight w:val="none"/>
              </w:rPr>
            </w:pPr>
          </w:p>
        </w:tc>
        <w:tc>
          <w:tcPr>
            <w:tcW w:w="8221" w:type="dxa"/>
            <w:shd w:val="clear" w:color="auto" w:fill="auto"/>
            <w:vAlign w:val="center"/>
          </w:tcPr>
          <w:p>
            <w:pPr>
              <w:rPr>
                <w:b/>
                <w:color w:val="000000" w:themeColor="text1"/>
                <w:szCs w:val="21"/>
                <w:highlight w:val="none"/>
              </w:rPr>
            </w:pPr>
            <w:r>
              <w:rPr>
                <w:rFonts w:hint="eastAsia"/>
                <w:b/>
                <w:color w:val="000000" w:themeColor="text1"/>
                <w:szCs w:val="21"/>
                <w:highlight w:val="none"/>
              </w:rPr>
              <w:t>2.2文件盒容量：</w:t>
            </w:r>
          </w:p>
          <w:p>
            <w:pPr>
              <w:rPr>
                <w:color w:val="000000" w:themeColor="text1"/>
                <w:szCs w:val="21"/>
                <w:highlight w:val="none"/>
              </w:rPr>
            </w:pPr>
            <w:r>
              <w:rPr>
                <w:rFonts w:hint="eastAsia"/>
                <w:color w:val="000000" w:themeColor="text1"/>
                <w:szCs w:val="21"/>
                <w:highlight w:val="none"/>
              </w:rPr>
              <w:t>支持A4尺寸文件及以上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42" w:type="dxa"/>
            <w:bottom w:w="113" w:type="dxa"/>
            <w:right w:w="142" w:type="dxa"/>
          </w:tblCellMar>
        </w:tblPrEx>
        <w:trPr>
          <w:trHeight w:val="90" w:hRule="atLeast"/>
        </w:trPr>
        <w:tc>
          <w:tcPr>
            <w:tcW w:w="709" w:type="dxa"/>
            <w:vMerge w:val="continue"/>
            <w:shd w:val="clear" w:color="auto" w:fill="auto"/>
            <w:vAlign w:val="center"/>
          </w:tcPr>
          <w:p>
            <w:pPr>
              <w:jc w:val="center"/>
              <w:rPr>
                <w:color w:val="000000" w:themeColor="text1"/>
                <w:szCs w:val="21"/>
                <w:highlight w:val="none"/>
              </w:rPr>
            </w:pPr>
          </w:p>
        </w:tc>
        <w:tc>
          <w:tcPr>
            <w:tcW w:w="993" w:type="dxa"/>
            <w:vMerge w:val="continue"/>
            <w:shd w:val="clear" w:color="auto" w:fill="auto"/>
            <w:vAlign w:val="center"/>
          </w:tcPr>
          <w:p>
            <w:pPr>
              <w:jc w:val="center"/>
              <w:rPr>
                <w:color w:val="000000" w:themeColor="text1"/>
                <w:szCs w:val="21"/>
                <w:highlight w:val="none"/>
              </w:rPr>
            </w:pPr>
          </w:p>
        </w:tc>
        <w:tc>
          <w:tcPr>
            <w:tcW w:w="8221" w:type="dxa"/>
            <w:shd w:val="clear" w:color="auto" w:fill="auto"/>
            <w:vAlign w:val="center"/>
          </w:tcPr>
          <w:p>
            <w:pPr>
              <w:rPr>
                <w:b/>
                <w:color w:val="000000" w:themeColor="text1"/>
                <w:szCs w:val="21"/>
                <w:highlight w:val="none"/>
              </w:rPr>
            </w:pPr>
            <w:r>
              <w:rPr>
                <w:rFonts w:hint="eastAsia"/>
                <w:b/>
                <w:color w:val="000000" w:themeColor="text1"/>
                <w:szCs w:val="21"/>
                <w:highlight w:val="none"/>
              </w:rPr>
              <w:t>2.3条屏：</w:t>
            </w:r>
          </w:p>
          <w:p>
            <w:pPr>
              <w:rPr>
                <w:color w:val="000000" w:themeColor="text1"/>
                <w:szCs w:val="21"/>
                <w:highlight w:val="none"/>
              </w:rPr>
            </w:pPr>
            <w:r>
              <w:rPr>
                <w:rFonts w:hint="eastAsia"/>
                <w:color w:val="000000" w:themeColor="text1"/>
                <w:szCs w:val="21"/>
                <w:highlight w:val="none"/>
              </w:rPr>
              <w:t>支持12字汉显屏及以上，可无限量滚动播出信息内容；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42" w:type="dxa"/>
            <w:bottom w:w="113" w:type="dxa"/>
            <w:right w:w="142" w:type="dxa"/>
          </w:tblCellMar>
        </w:tblPrEx>
        <w:trPr>
          <w:trHeight w:val="90" w:hRule="atLeast"/>
        </w:trPr>
        <w:tc>
          <w:tcPr>
            <w:tcW w:w="709" w:type="dxa"/>
            <w:vMerge w:val="continue"/>
            <w:shd w:val="clear" w:color="auto" w:fill="auto"/>
            <w:vAlign w:val="center"/>
          </w:tcPr>
          <w:p>
            <w:pPr>
              <w:jc w:val="center"/>
              <w:rPr>
                <w:color w:val="000000" w:themeColor="text1"/>
                <w:szCs w:val="21"/>
                <w:highlight w:val="none"/>
              </w:rPr>
            </w:pPr>
          </w:p>
        </w:tc>
        <w:tc>
          <w:tcPr>
            <w:tcW w:w="993" w:type="dxa"/>
            <w:vMerge w:val="continue"/>
            <w:shd w:val="clear" w:color="auto" w:fill="auto"/>
            <w:vAlign w:val="center"/>
          </w:tcPr>
          <w:p>
            <w:pPr>
              <w:jc w:val="center"/>
              <w:rPr>
                <w:color w:val="000000" w:themeColor="text1"/>
                <w:szCs w:val="21"/>
                <w:highlight w:val="none"/>
              </w:rPr>
            </w:pPr>
          </w:p>
        </w:tc>
        <w:tc>
          <w:tcPr>
            <w:tcW w:w="8221" w:type="dxa"/>
            <w:shd w:val="clear" w:color="auto" w:fill="auto"/>
            <w:vAlign w:val="center"/>
          </w:tcPr>
          <w:p>
            <w:pPr>
              <w:rPr>
                <w:b/>
                <w:color w:val="000000" w:themeColor="text1"/>
                <w:szCs w:val="21"/>
                <w:highlight w:val="none"/>
              </w:rPr>
            </w:pPr>
            <w:r>
              <w:rPr>
                <w:rFonts w:hint="eastAsia"/>
                <w:b/>
                <w:color w:val="000000" w:themeColor="text1"/>
                <w:szCs w:val="21"/>
                <w:highlight w:val="none"/>
              </w:rPr>
              <w:t>2.4遗留检测方式：</w:t>
            </w:r>
          </w:p>
          <w:p>
            <w:pPr>
              <w:rPr>
                <w:color w:val="000000" w:themeColor="text1"/>
                <w:szCs w:val="21"/>
                <w:highlight w:val="none"/>
              </w:rPr>
            </w:pPr>
            <w:r>
              <w:rPr>
                <w:rFonts w:hint="eastAsia"/>
                <w:color w:val="000000" w:themeColor="text1"/>
                <w:szCs w:val="21"/>
                <w:highlight w:val="none"/>
              </w:rPr>
              <w:t>支持单盒检测。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42" w:type="dxa"/>
            <w:bottom w:w="113" w:type="dxa"/>
            <w:right w:w="142" w:type="dxa"/>
          </w:tblCellMar>
        </w:tblPrEx>
        <w:trPr>
          <w:trHeight w:val="90" w:hRule="atLeast"/>
        </w:trPr>
        <w:tc>
          <w:tcPr>
            <w:tcW w:w="709" w:type="dxa"/>
            <w:vMerge w:val="continue"/>
            <w:shd w:val="clear" w:color="auto" w:fill="auto"/>
            <w:vAlign w:val="center"/>
          </w:tcPr>
          <w:p>
            <w:pPr>
              <w:jc w:val="center"/>
              <w:rPr>
                <w:color w:val="000000" w:themeColor="text1"/>
                <w:szCs w:val="21"/>
                <w:highlight w:val="none"/>
              </w:rPr>
            </w:pPr>
          </w:p>
        </w:tc>
        <w:tc>
          <w:tcPr>
            <w:tcW w:w="993" w:type="dxa"/>
            <w:vMerge w:val="continue"/>
            <w:shd w:val="clear" w:color="auto" w:fill="auto"/>
            <w:vAlign w:val="center"/>
          </w:tcPr>
          <w:p>
            <w:pPr>
              <w:jc w:val="center"/>
              <w:rPr>
                <w:color w:val="000000" w:themeColor="text1"/>
                <w:szCs w:val="21"/>
                <w:highlight w:val="none"/>
              </w:rPr>
            </w:pPr>
          </w:p>
        </w:tc>
        <w:tc>
          <w:tcPr>
            <w:tcW w:w="8221" w:type="dxa"/>
            <w:shd w:val="clear" w:color="auto" w:fill="auto"/>
            <w:vAlign w:val="center"/>
          </w:tcPr>
          <w:p>
            <w:pPr>
              <w:rPr>
                <w:b/>
                <w:color w:val="000000" w:themeColor="text1"/>
                <w:szCs w:val="21"/>
                <w:highlight w:val="none"/>
              </w:rPr>
            </w:pPr>
            <w:r>
              <w:rPr>
                <w:rFonts w:hint="eastAsia"/>
                <w:b/>
                <w:color w:val="000000" w:themeColor="text1"/>
                <w:szCs w:val="21"/>
                <w:highlight w:val="none"/>
              </w:rPr>
              <w:t>2.5最大级联设备数</w:t>
            </w:r>
          </w:p>
          <w:p>
            <w:pPr>
              <w:rPr>
                <w:color w:val="000000" w:themeColor="text1"/>
                <w:szCs w:val="21"/>
                <w:highlight w:val="none"/>
              </w:rPr>
            </w:pPr>
            <w:r>
              <w:rPr>
                <w:rFonts w:hint="eastAsia"/>
                <w:color w:val="000000" w:themeColor="text1"/>
                <w:szCs w:val="21"/>
                <w:highlight w:val="none"/>
              </w:rPr>
              <w:t>4台及以上。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42" w:type="dxa"/>
            <w:bottom w:w="113" w:type="dxa"/>
            <w:right w:w="142" w:type="dxa"/>
          </w:tblCellMar>
        </w:tblPrEx>
        <w:trPr>
          <w:trHeight w:val="90" w:hRule="atLeast"/>
        </w:trPr>
        <w:tc>
          <w:tcPr>
            <w:tcW w:w="709" w:type="dxa"/>
            <w:vMerge w:val="continue"/>
            <w:shd w:val="clear" w:color="auto" w:fill="auto"/>
            <w:vAlign w:val="center"/>
          </w:tcPr>
          <w:p>
            <w:pPr>
              <w:jc w:val="center"/>
              <w:rPr>
                <w:color w:val="000000" w:themeColor="text1"/>
                <w:szCs w:val="21"/>
                <w:highlight w:val="none"/>
              </w:rPr>
            </w:pPr>
          </w:p>
        </w:tc>
        <w:tc>
          <w:tcPr>
            <w:tcW w:w="993" w:type="dxa"/>
            <w:vMerge w:val="continue"/>
            <w:shd w:val="clear" w:color="auto" w:fill="auto"/>
            <w:vAlign w:val="center"/>
          </w:tcPr>
          <w:p>
            <w:pPr>
              <w:jc w:val="center"/>
              <w:rPr>
                <w:color w:val="000000" w:themeColor="text1"/>
                <w:szCs w:val="21"/>
                <w:highlight w:val="none"/>
              </w:rPr>
            </w:pPr>
          </w:p>
        </w:tc>
        <w:tc>
          <w:tcPr>
            <w:tcW w:w="8221" w:type="dxa"/>
            <w:shd w:val="clear" w:color="auto" w:fill="auto"/>
            <w:vAlign w:val="center"/>
          </w:tcPr>
          <w:p>
            <w:pPr>
              <w:rPr>
                <w:b/>
                <w:color w:val="000000" w:themeColor="text1"/>
                <w:szCs w:val="21"/>
                <w:highlight w:val="none"/>
              </w:rPr>
            </w:pPr>
            <w:r>
              <w:rPr>
                <w:rFonts w:hint="eastAsia"/>
                <w:b/>
                <w:color w:val="000000" w:themeColor="text1"/>
                <w:szCs w:val="21"/>
                <w:highlight w:val="none"/>
              </w:rPr>
              <w:t>2.6工作环境</w:t>
            </w:r>
          </w:p>
          <w:p>
            <w:pPr>
              <w:rPr>
                <w:color w:val="000000" w:themeColor="text1"/>
                <w:szCs w:val="21"/>
                <w:highlight w:val="none"/>
              </w:rPr>
            </w:pPr>
            <w:r>
              <w:rPr>
                <w:rFonts w:hint="eastAsia"/>
                <w:color w:val="000000" w:themeColor="text1"/>
                <w:szCs w:val="21"/>
                <w:highlight w:val="none"/>
              </w:rPr>
              <w:t>1. 工作温度：0℃～45℃；</w:t>
            </w:r>
          </w:p>
          <w:p>
            <w:pPr>
              <w:rPr>
                <w:b/>
                <w:color w:val="000000" w:themeColor="text1"/>
                <w:szCs w:val="21"/>
                <w:highlight w:val="none"/>
              </w:rPr>
            </w:pPr>
            <w:r>
              <w:rPr>
                <w:rFonts w:hint="eastAsia"/>
                <w:color w:val="000000" w:themeColor="text1"/>
                <w:szCs w:val="21"/>
                <w:highlight w:val="none"/>
              </w:rPr>
              <w:t>2. 工作湿度：10%～85%。</w:t>
            </w:r>
          </w:p>
        </w:tc>
      </w:tr>
    </w:tbl>
    <w:p>
      <w:pPr>
        <w:adjustRightInd/>
        <w:snapToGrid/>
        <w:spacing w:before="280" w:after="290" w:line="377" w:lineRule="auto"/>
        <w:jc w:val="center"/>
        <w:outlineLvl w:val="2"/>
        <w:rPr>
          <w:b/>
          <w:sz w:val="24"/>
          <w:highlight w:val="none"/>
        </w:rPr>
      </w:pPr>
      <w:r>
        <w:rPr>
          <w:rFonts w:hint="eastAsia"/>
          <w:b/>
          <w:sz w:val="24"/>
          <w:highlight w:val="none"/>
        </w:rPr>
        <w:t>三、商务要求</w:t>
      </w:r>
    </w:p>
    <w:p>
      <w:pPr>
        <w:ind w:firstLine="422" w:firstLineChars="200"/>
        <w:rPr>
          <w:b/>
          <w:szCs w:val="21"/>
          <w:highlight w:val="none"/>
        </w:rPr>
      </w:pPr>
      <w:r>
        <w:rPr>
          <w:rFonts w:hint="eastAsia"/>
          <w:b/>
          <w:szCs w:val="21"/>
          <w:highlight w:val="none"/>
        </w:rPr>
        <w:t>标注“★”号参数的，则该项参数为关键性指标，投标人必须满足，否则视为没有实质性满足招标文件要求。</w:t>
      </w:r>
    </w:p>
    <w:p>
      <w:pPr>
        <w:rPr>
          <w:rFonts w:asciiTheme="majorEastAsia" w:hAnsiTheme="majorEastAsia" w:eastAsiaTheme="majorEastAsia"/>
          <w:b/>
          <w:szCs w:val="21"/>
          <w:highlight w:val="none"/>
        </w:rPr>
      </w:pPr>
    </w:p>
    <w:tbl>
      <w:tblPr>
        <w:tblStyle w:val="44"/>
        <w:tblW w:w="9923" w:type="dxa"/>
        <w:tblInd w:w="-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5"/>
        <w:gridCol w:w="1559"/>
        <w:gridCol w:w="70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5" w:type="dxa"/>
            <w:vAlign w:val="center"/>
          </w:tcPr>
          <w:p>
            <w:pPr>
              <w:jc w:val="center"/>
              <w:rPr>
                <w:b/>
                <w:color w:val="000000" w:themeColor="text1"/>
                <w:highlight w:val="none"/>
              </w:rPr>
            </w:pPr>
            <w:r>
              <w:rPr>
                <w:rFonts w:hint="eastAsia"/>
                <w:b/>
                <w:color w:val="000000" w:themeColor="text1"/>
                <w:highlight w:val="none"/>
              </w:rPr>
              <w:t>序号</w:t>
            </w:r>
          </w:p>
        </w:tc>
        <w:tc>
          <w:tcPr>
            <w:tcW w:w="1559" w:type="dxa"/>
            <w:vAlign w:val="center"/>
          </w:tcPr>
          <w:p>
            <w:pPr>
              <w:jc w:val="center"/>
              <w:rPr>
                <w:b/>
                <w:color w:val="000000" w:themeColor="text1"/>
                <w:highlight w:val="none"/>
              </w:rPr>
            </w:pPr>
            <w:r>
              <w:rPr>
                <w:rFonts w:hint="eastAsia"/>
                <w:b/>
                <w:color w:val="000000" w:themeColor="text1"/>
                <w:highlight w:val="none"/>
              </w:rPr>
              <w:t>目录</w:t>
            </w:r>
          </w:p>
        </w:tc>
        <w:tc>
          <w:tcPr>
            <w:tcW w:w="7059" w:type="dxa"/>
            <w:vAlign w:val="center"/>
          </w:tcPr>
          <w:p>
            <w:pPr>
              <w:jc w:val="center"/>
              <w:rPr>
                <w:b/>
                <w:color w:val="000000" w:themeColor="text1"/>
                <w:highlight w:val="none"/>
              </w:rPr>
            </w:pPr>
            <w:r>
              <w:rPr>
                <w:rFonts w:hint="eastAsia"/>
                <w:b/>
                <w:color w:val="000000" w:themeColor="text1"/>
                <w:highlight w:val="none"/>
              </w:rPr>
              <w:t>招标商务需求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9923" w:type="dxa"/>
            <w:gridSpan w:val="3"/>
          </w:tcPr>
          <w:p>
            <w:pPr>
              <w:rPr>
                <w:b/>
                <w:color w:val="000000" w:themeColor="text1"/>
                <w:highlight w:val="none"/>
              </w:rPr>
            </w:pPr>
            <w:r>
              <w:rPr>
                <w:rFonts w:hint="eastAsia"/>
                <w:b/>
                <w:color w:val="000000" w:themeColor="text1"/>
                <w:highlight w:val="none"/>
              </w:rPr>
              <w:t>（一）免费保修期内售后服务要求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305" w:type="dxa"/>
            <w:vAlign w:val="center"/>
          </w:tcPr>
          <w:p>
            <w:pPr>
              <w:jc w:val="center"/>
              <w:rPr>
                <w:b/>
                <w:color w:val="000000" w:themeColor="text1"/>
                <w:highlight w:val="none"/>
              </w:rPr>
            </w:pPr>
            <w:r>
              <w:rPr>
                <w:rFonts w:hint="eastAsia"/>
                <w:b/>
                <w:color w:val="000000" w:themeColor="text1"/>
                <w:highlight w:val="none"/>
              </w:rPr>
              <w:t>1</w:t>
            </w:r>
          </w:p>
        </w:tc>
        <w:tc>
          <w:tcPr>
            <w:tcW w:w="1559" w:type="dxa"/>
            <w:vAlign w:val="center"/>
          </w:tcPr>
          <w:p>
            <w:pPr>
              <w:rPr>
                <w:color w:val="000000" w:themeColor="text1"/>
                <w:szCs w:val="21"/>
                <w:highlight w:val="none"/>
              </w:rPr>
            </w:pPr>
            <w:r>
              <w:rPr>
                <w:rFonts w:hint="eastAsia"/>
                <w:color w:val="000000" w:themeColor="text1"/>
                <w:szCs w:val="21"/>
                <w:highlight w:val="none"/>
              </w:rPr>
              <w:t>关于免费保修期</w:t>
            </w:r>
          </w:p>
        </w:tc>
        <w:tc>
          <w:tcPr>
            <w:tcW w:w="7059" w:type="dxa"/>
            <w:vAlign w:val="center"/>
          </w:tcPr>
          <w:p>
            <w:pPr>
              <w:rPr>
                <w:color w:val="000000" w:themeColor="text1"/>
                <w:szCs w:val="21"/>
                <w:highlight w:val="none"/>
              </w:rPr>
            </w:pPr>
            <w:r>
              <w:rPr>
                <w:rFonts w:hint="eastAsia" w:asciiTheme="minorEastAsia" w:hAnsiTheme="minorEastAsia" w:eastAsiaTheme="minorEastAsia"/>
                <w:color w:val="000000" w:themeColor="text1"/>
                <w:highlight w:val="none"/>
              </w:rPr>
              <w:t>★</w:t>
            </w:r>
            <w:r>
              <w:rPr>
                <w:rFonts w:hint="eastAsia"/>
                <w:bCs/>
                <w:color w:val="000000" w:themeColor="text1"/>
                <w:szCs w:val="21"/>
                <w:highlight w:val="none"/>
              </w:rPr>
              <w:t>货物免费保修期</w:t>
            </w:r>
            <w:r>
              <w:rPr>
                <w:bCs/>
                <w:color w:val="000000" w:themeColor="text1"/>
                <w:szCs w:val="21"/>
                <w:highlight w:val="none"/>
                <w:u w:val="single"/>
              </w:rPr>
              <w:t>1</w:t>
            </w:r>
            <w:r>
              <w:rPr>
                <w:rFonts w:hint="eastAsia"/>
                <w:bCs/>
                <w:color w:val="000000" w:themeColor="text1"/>
                <w:szCs w:val="21"/>
                <w:highlight w:val="none"/>
              </w:rPr>
              <w:t>年，时间自最终验收合格并交付使用之日起计算。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305" w:type="dxa"/>
            <w:vAlign w:val="center"/>
          </w:tcPr>
          <w:p>
            <w:pPr>
              <w:jc w:val="center"/>
              <w:rPr>
                <w:b/>
                <w:color w:val="000000" w:themeColor="text1"/>
                <w:highlight w:val="none"/>
              </w:rPr>
            </w:pPr>
            <w:r>
              <w:rPr>
                <w:rFonts w:hint="eastAsia"/>
                <w:b/>
                <w:color w:val="000000" w:themeColor="text1"/>
                <w:highlight w:val="none"/>
              </w:rPr>
              <w:t>2</w:t>
            </w:r>
          </w:p>
        </w:tc>
        <w:tc>
          <w:tcPr>
            <w:tcW w:w="1559" w:type="dxa"/>
            <w:vAlign w:val="center"/>
          </w:tcPr>
          <w:p>
            <w:pPr>
              <w:rPr>
                <w:color w:val="000000" w:themeColor="text1"/>
                <w:highlight w:val="none"/>
              </w:rPr>
            </w:pPr>
            <w:r>
              <w:rPr>
                <w:rFonts w:hint="eastAsia"/>
                <w:color w:val="000000" w:themeColor="text1"/>
                <w:szCs w:val="21"/>
                <w:highlight w:val="none"/>
              </w:rPr>
              <w:t>关于交货期</w:t>
            </w:r>
          </w:p>
        </w:tc>
        <w:tc>
          <w:tcPr>
            <w:tcW w:w="7059" w:type="dxa"/>
            <w:vAlign w:val="center"/>
          </w:tcPr>
          <w:p>
            <w:pPr>
              <w:rPr>
                <w:b/>
                <w:color w:val="000000" w:themeColor="text1"/>
                <w:highlight w:val="none"/>
              </w:rPr>
            </w:pPr>
            <w:r>
              <w:rPr>
                <w:rFonts w:hint="eastAsia" w:asciiTheme="minorEastAsia" w:hAnsiTheme="minorEastAsia" w:eastAsiaTheme="minorEastAsia"/>
                <w:color w:val="000000" w:themeColor="text1"/>
                <w:highlight w:val="none"/>
              </w:rPr>
              <w:t>★</w:t>
            </w:r>
            <w:r>
              <w:rPr>
                <w:rFonts w:hint="eastAsia"/>
                <w:bCs/>
                <w:color w:val="000000" w:themeColor="text1"/>
                <w:szCs w:val="21"/>
                <w:highlight w:val="none"/>
              </w:rPr>
              <w:t>签订合同后</w:t>
            </w:r>
            <w:r>
              <w:rPr>
                <w:bCs/>
                <w:color w:val="000000" w:themeColor="text1"/>
                <w:szCs w:val="21"/>
                <w:highlight w:val="none"/>
                <w:u w:val="single"/>
              </w:rPr>
              <w:t>45</w:t>
            </w:r>
            <w:r>
              <w:rPr>
                <w:rFonts w:hint="eastAsia"/>
                <w:bCs/>
                <w:color w:val="000000" w:themeColor="text1"/>
                <w:szCs w:val="21"/>
                <w:highlight w:val="none"/>
              </w:rPr>
              <w:t>天（日历日）内。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305" w:type="dxa"/>
            <w:vAlign w:val="center"/>
          </w:tcPr>
          <w:p>
            <w:pPr>
              <w:jc w:val="center"/>
              <w:rPr>
                <w:b/>
                <w:color w:val="000000" w:themeColor="text1"/>
                <w:highlight w:val="none"/>
              </w:rPr>
            </w:pPr>
            <w:r>
              <w:rPr>
                <w:rFonts w:hint="eastAsia"/>
                <w:b/>
                <w:color w:val="000000" w:themeColor="text1"/>
                <w:highlight w:val="none"/>
              </w:rPr>
              <w:t>3</w:t>
            </w:r>
          </w:p>
        </w:tc>
        <w:tc>
          <w:tcPr>
            <w:tcW w:w="1559" w:type="dxa"/>
            <w:vAlign w:val="center"/>
          </w:tcPr>
          <w:p>
            <w:pPr>
              <w:rPr>
                <w:color w:val="000000" w:themeColor="text1"/>
                <w:highlight w:val="none"/>
              </w:rPr>
            </w:pPr>
            <w:r>
              <w:rPr>
                <w:rFonts w:hint="eastAsia"/>
                <w:color w:val="000000" w:themeColor="text1"/>
                <w:szCs w:val="21"/>
                <w:highlight w:val="none"/>
              </w:rPr>
              <w:t>质保期时间</w:t>
            </w:r>
          </w:p>
        </w:tc>
        <w:tc>
          <w:tcPr>
            <w:tcW w:w="7059" w:type="dxa"/>
            <w:vAlign w:val="center"/>
          </w:tcPr>
          <w:p>
            <w:pPr>
              <w:rPr>
                <w:b/>
                <w:color w:val="000000" w:themeColor="text1"/>
                <w:highlight w:val="none"/>
              </w:rPr>
            </w:pPr>
            <w:r>
              <w:rPr>
                <w:rFonts w:hint="eastAsia"/>
                <w:color w:val="000000" w:themeColor="text1"/>
                <w:szCs w:val="21"/>
                <w:highlight w:val="none"/>
              </w:rPr>
              <w:t>时间自最终验收合格并交付使用之日起计算，自助服务终端要求提供</w:t>
            </w:r>
            <w:r>
              <w:rPr>
                <w:color w:val="000000" w:themeColor="text1"/>
                <w:szCs w:val="21"/>
                <w:highlight w:val="none"/>
              </w:rPr>
              <w:t>1年</w:t>
            </w:r>
            <w:r>
              <w:rPr>
                <w:rFonts w:hint="eastAsia"/>
                <w:color w:val="000000" w:themeColor="text1"/>
                <w:szCs w:val="21"/>
                <w:highlight w:val="none"/>
              </w:rPr>
              <w:t>原厂</w:t>
            </w:r>
            <w:r>
              <w:rPr>
                <w:color w:val="000000" w:themeColor="text1"/>
                <w:szCs w:val="21"/>
                <w:highlight w:val="none"/>
              </w:rPr>
              <w:t>保修维护服务</w:t>
            </w:r>
            <w:r>
              <w:rPr>
                <w:rFonts w:hint="eastAsia"/>
                <w:color w:val="000000" w:themeColor="text1"/>
                <w:highlight w:val="none"/>
              </w:rPr>
              <w:t>。具体包括系统维护、性能优化、故障检测等。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1305" w:type="dxa"/>
            <w:vMerge w:val="restart"/>
            <w:vAlign w:val="center"/>
          </w:tcPr>
          <w:p>
            <w:pPr>
              <w:jc w:val="center"/>
              <w:rPr>
                <w:b/>
                <w:color w:val="000000" w:themeColor="text1"/>
                <w:highlight w:val="none"/>
              </w:rPr>
            </w:pPr>
            <w:r>
              <w:rPr>
                <w:rFonts w:hint="eastAsia"/>
                <w:b/>
                <w:color w:val="000000" w:themeColor="text1"/>
                <w:highlight w:val="none"/>
              </w:rPr>
              <w:t>4</w:t>
            </w:r>
          </w:p>
        </w:tc>
        <w:tc>
          <w:tcPr>
            <w:tcW w:w="1559" w:type="dxa"/>
            <w:vMerge w:val="restart"/>
            <w:vAlign w:val="center"/>
          </w:tcPr>
          <w:p>
            <w:pPr>
              <w:rPr>
                <w:b/>
                <w:color w:val="000000" w:themeColor="text1"/>
                <w:highlight w:val="none"/>
              </w:rPr>
            </w:pPr>
            <w:r>
              <w:rPr>
                <w:rFonts w:hint="eastAsia"/>
                <w:color w:val="000000" w:themeColor="text1"/>
                <w:highlight w:val="none"/>
              </w:rPr>
              <w:t>维修响应及故障解决时间</w:t>
            </w:r>
          </w:p>
          <w:p>
            <w:pPr>
              <w:rPr>
                <w:b/>
                <w:color w:val="000000" w:themeColor="text1"/>
                <w:highlight w:val="none"/>
              </w:rPr>
            </w:pPr>
          </w:p>
        </w:tc>
        <w:tc>
          <w:tcPr>
            <w:tcW w:w="7059" w:type="dxa"/>
            <w:vAlign w:val="center"/>
          </w:tcPr>
          <w:p>
            <w:pPr>
              <w:rPr>
                <w:color w:val="000000" w:themeColor="text1"/>
                <w:highlight w:val="none"/>
              </w:rPr>
            </w:pPr>
            <w:r>
              <w:rPr>
                <w:rFonts w:hint="eastAsia"/>
                <w:color w:val="000000" w:themeColor="text1"/>
                <w:highlight w:val="none"/>
              </w:rPr>
              <w:t>1、</w:t>
            </w:r>
            <w:r>
              <w:rPr>
                <w:rFonts w:hint="eastAsia"/>
                <w:color w:val="000000" w:themeColor="text1"/>
                <w:szCs w:val="21"/>
                <w:highlight w:val="none"/>
              </w:rPr>
              <w:t>在项目服务期内，投标人对本项目免费提供7×24小时售后服务。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1305" w:type="dxa"/>
            <w:vMerge w:val="continue"/>
            <w:vAlign w:val="center"/>
          </w:tcPr>
          <w:p>
            <w:pPr>
              <w:jc w:val="center"/>
              <w:rPr>
                <w:b/>
                <w:color w:val="000000" w:themeColor="text1"/>
                <w:highlight w:val="none"/>
              </w:rPr>
            </w:pPr>
          </w:p>
        </w:tc>
        <w:tc>
          <w:tcPr>
            <w:tcW w:w="1559" w:type="dxa"/>
            <w:vMerge w:val="continue"/>
            <w:vAlign w:val="center"/>
          </w:tcPr>
          <w:p>
            <w:pPr>
              <w:rPr>
                <w:color w:val="000000" w:themeColor="text1"/>
                <w:highlight w:val="none"/>
              </w:rPr>
            </w:pPr>
          </w:p>
        </w:tc>
        <w:tc>
          <w:tcPr>
            <w:tcW w:w="7059" w:type="dxa"/>
            <w:vAlign w:val="center"/>
          </w:tcPr>
          <w:p>
            <w:pPr>
              <w:rPr>
                <w:color w:val="000000" w:themeColor="text1"/>
                <w:szCs w:val="21"/>
                <w:highlight w:val="none"/>
              </w:rPr>
            </w:pPr>
            <w:r>
              <w:rPr>
                <w:rFonts w:hint="eastAsia"/>
                <w:color w:val="000000" w:themeColor="text1"/>
                <w:highlight w:val="none"/>
              </w:rPr>
              <w:t>2、</w:t>
            </w:r>
            <w:r>
              <w:rPr>
                <w:rFonts w:hint="eastAsia"/>
                <w:color w:val="000000" w:themeColor="text1"/>
                <w:szCs w:val="21"/>
                <w:highlight w:val="none"/>
              </w:rPr>
              <w:t>项目服务期所有售后服务均由售后服务人员到用户现场提供服务。包括但不限于</w:t>
            </w:r>
            <w:r>
              <w:rPr>
                <w:rFonts w:hint="eastAsia" w:cstheme="minorBidi"/>
                <w:color w:val="000000" w:themeColor="text1"/>
                <w:szCs w:val="21"/>
                <w:highlight w:val="none"/>
              </w:rPr>
              <w:t>软件版本升级、故障修复服务等，所产生的费用均由投标人承担。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1305" w:type="dxa"/>
            <w:vMerge w:val="continue"/>
            <w:vAlign w:val="center"/>
          </w:tcPr>
          <w:p>
            <w:pPr>
              <w:jc w:val="center"/>
              <w:rPr>
                <w:b/>
                <w:color w:val="000000" w:themeColor="text1"/>
                <w:highlight w:val="none"/>
              </w:rPr>
            </w:pPr>
          </w:p>
        </w:tc>
        <w:tc>
          <w:tcPr>
            <w:tcW w:w="1559" w:type="dxa"/>
            <w:vMerge w:val="continue"/>
            <w:vAlign w:val="center"/>
          </w:tcPr>
          <w:p>
            <w:pPr>
              <w:rPr>
                <w:color w:val="000000" w:themeColor="text1"/>
                <w:highlight w:val="none"/>
              </w:rPr>
            </w:pPr>
          </w:p>
        </w:tc>
        <w:tc>
          <w:tcPr>
            <w:tcW w:w="7059" w:type="dxa"/>
            <w:vAlign w:val="center"/>
          </w:tcPr>
          <w:p>
            <w:pPr>
              <w:rPr>
                <w:b/>
                <w:color w:val="000000" w:themeColor="text1"/>
                <w:highlight w:val="none"/>
              </w:rPr>
            </w:pPr>
            <w:r>
              <w:rPr>
                <w:rFonts w:hint="eastAsia"/>
                <w:color w:val="000000" w:themeColor="text1"/>
                <w:szCs w:val="21"/>
                <w:highlight w:val="none"/>
              </w:rPr>
              <w:t>3、应提供7×24小时电话或电子邮件服务，接到用户报修通知1小时内做出明确响应和安排，2小时内做出故障诊断；如需现场服务的，具有解决故障能力的专家应在2小时内到达现场。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trPr>
        <w:tc>
          <w:tcPr>
            <w:tcW w:w="1305" w:type="dxa"/>
            <w:vAlign w:val="center"/>
          </w:tcPr>
          <w:p>
            <w:pPr>
              <w:jc w:val="center"/>
              <w:rPr>
                <w:b/>
                <w:color w:val="000000" w:themeColor="text1"/>
                <w:highlight w:val="none"/>
              </w:rPr>
            </w:pPr>
            <w:r>
              <w:rPr>
                <w:rFonts w:hint="eastAsia"/>
                <w:b/>
                <w:color w:val="000000" w:themeColor="text1"/>
                <w:highlight w:val="none"/>
              </w:rPr>
              <w:t>5</w:t>
            </w:r>
          </w:p>
        </w:tc>
        <w:tc>
          <w:tcPr>
            <w:tcW w:w="1559" w:type="dxa"/>
            <w:vAlign w:val="center"/>
          </w:tcPr>
          <w:p>
            <w:pPr>
              <w:rPr>
                <w:color w:val="000000" w:themeColor="text1"/>
                <w:highlight w:val="none"/>
              </w:rPr>
            </w:pPr>
            <w:r>
              <w:rPr>
                <w:rFonts w:hint="eastAsia"/>
                <w:color w:val="000000" w:themeColor="text1"/>
                <w:highlight w:val="none"/>
              </w:rPr>
              <w:t>质保期内服务要求</w:t>
            </w:r>
          </w:p>
        </w:tc>
        <w:tc>
          <w:tcPr>
            <w:tcW w:w="7059" w:type="dxa"/>
            <w:vAlign w:val="center"/>
          </w:tcPr>
          <w:p>
            <w:pPr>
              <w:rPr>
                <w:color w:val="000000" w:themeColor="text1"/>
                <w:szCs w:val="21"/>
                <w:highlight w:val="none"/>
              </w:rPr>
            </w:pPr>
            <w:r>
              <w:rPr>
                <w:rFonts w:hint="eastAsia"/>
                <w:color w:val="000000" w:themeColor="text1"/>
                <w:szCs w:val="21"/>
                <w:highlight w:val="none"/>
              </w:rPr>
              <w:t>所有保修服务方式均为中标人上门保修，即由中标人派员到采购人使用现场维护。由此产生的一切费用均由中标人承担；投标人应按其投标文件中的承诺，进行其他售后服务工作；质保期内，如因需求增加系统功能而产生的费用，双方另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9923" w:type="dxa"/>
            <w:gridSpan w:val="3"/>
          </w:tcPr>
          <w:p>
            <w:pPr>
              <w:rPr>
                <w:b/>
                <w:color w:val="000000" w:themeColor="text1"/>
                <w:highlight w:val="none"/>
              </w:rPr>
            </w:pPr>
            <w:r>
              <w:rPr>
                <w:rFonts w:hint="eastAsia"/>
                <w:b/>
                <w:color w:val="000000" w:themeColor="text1"/>
                <w:highlight w:val="none"/>
              </w:rPr>
              <w:t>（二）其他商务要求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305" w:type="dxa"/>
            <w:vAlign w:val="center"/>
          </w:tcPr>
          <w:p>
            <w:pPr>
              <w:jc w:val="center"/>
              <w:rPr>
                <w:b/>
                <w:color w:val="000000" w:themeColor="text1"/>
                <w:highlight w:val="none"/>
              </w:rPr>
            </w:pPr>
            <w:r>
              <w:rPr>
                <w:rFonts w:hint="eastAsia"/>
                <w:b/>
                <w:color w:val="000000" w:themeColor="text1"/>
                <w:highlight w:val="none"/>
              </w:rPr>
              <w:t>1</w:t>
            </w:r>
          </w:p>
        </w:tc>
        <w:tc>
          <w:tcPr>
            <w:tcW w:w="1559" w:type="dxa"/>
            <w:vAlign w:val="center"/>
          </w:tcPr>
          <w:p>
            <w:pPr>
              <w:jc w:val="center"/>
              <w:rPr>
                <w:color w:val="000000" w:themeColor="text1"/>
                <w:highlight w:val="none"/>
              </w:rPr>
            </w:pPr>
            <w:r>
              <w:rPr>
                <w:rFonts w:hint="eastAsia"/>
                <w:color w:val="000000" w:themeColor="text1"/>
                <w:highlight w:val="none"/>
              </w:rPr>
              <w:t>关于交货</w:t>
            </w:r>
          </w:p>
        </w:tc>
        <w:tc>
          <w:tcPr>
            <w:tcW w:w="7059" w:type="dxa"/>
            <w:vAlign w:val="center"/>
          </w:tcPr>
          <w:p>
            <w:pPr>
              <w:rPr>
                <w:color w:val="000000" w:themeColor="text1"/>
                <w:szCs w:val="21"/>
                <w:highlight w:val="none"/>
              </w:rPr>
            </w:pPr>
            <w:r>
              <w:rPr>
                <w:rFonts w:hint="eastAsia"/>
                <w:color w:val="000000" w:themeColor="text1"/>
                <w:szCs w:val="21"/>
                <w:highlight w:val="none"/>
              </w:rPr>
              <w:t>1.</w:t>
            </w:r>
            <w:r>
              <w:rPr>
                <w:color w:val="000000" w:themeColor="text1"/>
                <w:szCs w:val="21"/>
                <w:highlight w:val="none"/>
              </w:rPr>
              <w:t>1交货地点</w:t>
            </w:r>
            <w:r>
              <w:rPr>
                <w:rFonts w:hint="eastAsia"/>
                <w:color w:val="000000" w:themeColor="text1"/>
                <w:szCs w:val="21"/>
                <w:highlight w:val="none"/>
              </w:rPr>
              <w:t>：</w:t>
            </w:r>
            <w:r>
              <w:rPr>
                <w:color w:val="000000" w:themeColor="text1"/>
                <w:szCs w:val="21"/>
                <w:highlight w:val="none"/>
              </w:rPr>
              <w:t>按照采购方指定的地点要求交付产品</w:t>
            </w:r>
            <w:r>
              <w:rPr>
                <w:rFonts w:hint="eastAsia"/>
                <w:color w:val="000000" w:themeColor="text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305" w:type="dxa"/>
            <w:vMerge w:val="restart"/>
            <w:vAlign w:val="center"/>
          </w:tcPr>
          <w:p>
            <w:pPr>
              <w:jc w:val="center"/>
              <w:rPr>
                <w:b/>
                <w:color w:val="000000" w:themeColor="text1"/>
                <w:highlight w:val="none"/>
              </w:rPr>
            </w:pPr>
            <w:r>
              <w:rPr>
                <w:b/>
                <w:color w:val="000000" w:themeColor="text1"/>
                <w:highlight w:val="none"/>
              </w:rPr>
              <w:t>2</w:t>
            </w:r>
          </w:p>
        </w:tc>
        <w:tc>
          <w:tcPr>
            <w:tcW w:w="1559" w:type="dxa"/>
            <w:vMerge w:val="restart"/>
            <w:vAlign w:val="center"/>
          </w:tcPr>
          <w:p>
            <w:pPr>
              <w:jc w:val="center"/>
              <w:rPr>
                <w:color w:val="000000" w:themeColor="text1"/>
                <w:highlight w:val="none"/>
              </w:rPr>
            </w:pPr>
            <w:r>
              <w:rPr>
                <w:rFonts w:hint="eastAsia"/>
                <w:color w:val="000000" w:themeColor="text1"/>
                <w:highlight w:val="none"/>
              </w:rPr>
              <w:t>关于验收</w:t>
            </w:r>
          </w:p>
        </w:tc>
        <w:tc>
          <w:tcPr>
            <w:tcW w:w="7059" w:type="dxa"/>
            <w:tcBorders>
              <w:top w:val="single" w:color="auto" w:sz="8" w:space="0"/>
              <w:left w:val="nil"/>
              <w:bottom w:val="single" w:color="auto" w:sz="8" w:space="0"/>
              <w:right w:val="single" w:color="auto" w:sz="8" w:space="0"/>
            </w:tcBorders>
            <w:shd w:val="clear" w:color="auto" w:fill="auto"/>
            <w:vAlign w:val="center"/>
          </w:tcPr>
          <w:p>
            <w:pPr>
              <w:rPr>
                <w:bCs/>
                <w:color w:val="000000" w:themeColor="text1"/>
                <w:szCs w:val="21"/>
                <w:highlight w:val="none"/>
              </w:rPr>
            </w:pPr>
            <w:r>
              <w:rPr>
                <w:color w:val="000000" w:themeColor="text1"/>
                <w:szCs w:val="21"/>
                <w:highlight w:val="none"/>
              </w:rPr>
              <w:t>2</w:t>
            </w:r>
            <w:r>
              <w:rPr>
                <w:rFonts w:hint="eastAsia"/>
                <w:color w:val="000000" w:themeColor="text1"/>
                <w:szCs w:val="21"/>
                <w:highlight w:val="none"/>
              </w:rPr>
              <w:t>.</w:t>
            </w:r>
            <w:r>
              <w:rPr>
                <w:color w:val="000000" w:themeColor="text1"/>
                <w:szCs w:val="21"/>
                <w:highlight w:val="none"/>
              </w:rPr>
              <w:t>1</w:t>
            </w:r>
            <w:r>
              <w:rPr>
                <w:rFonts w:hint="eastAsia"/>
                <w:color w:val="000000" w:themeColor="text1"/>
                <w:szCs w:val="21"/>
                <w:highlight w:val="none"/>
              </w:rPr>
              <w:t>中标人货物经过双方检验认可后，签署验收报告。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305" w:type="dxa"/>
            <w:vMerge w:val="continue"/>
            <w:vAlign w:val="center"/>
          </w:tcPr>
          <w:p>
            <w:pPr>
              <w:jc w:val="center"/>
              <w:rPr>
                <w:b/>
                <w:color w:val="000000" w:themeColor="text1"/>
                <w:highlight w:val="none"/>
              </w:rPr>
            </w:pPr>
          </w:p>
        </w:tc>
        <w:tc>
          <w:tcPr>
            <w:tcW w:w="1559" w:type="dxa"/>
            <w:vMerge w:val="continue"/>
          </w:tcPr>
          <w:p>
            <w:pPr>
              <w:rPr>
                <w:b/>
                <w:color w:val="000000" w:themeColor="text1"/>
                <w:highlight w:val="none"/>
              </w:rPr>
            </w:pPr>
          </w:p>
        </w:tc>
        <w:tc>
          <w:tcPr>
            <w:tcW w:w="7059" w:type="dxa"/>
            <w:tcBorders>
              <w:top w:val="single" w:color="auto" w:sz="8" w:space="0"/>
              <w:left w:val="nil"/>
              <w:right w:val="single" w:color="auto" w:sz="8" w:space="0"/>
            </w:tcBorders>
            <w:shd w:val="clear" w:color="auto" w:fill="auto"/>
            <w:vAlign w:val="center"/>
          </w:tcPr>
          <w:p>
            <w:pPr>
              <w:rPr>
                <w:color w:val="000000" w:themeColor="text1"/>
                <w:szCs w:val="21"/>
                <w:highlight w:val="none"/>
              </w:rPr>
            </w:pPr>
            <w:r>
              <w:rPr>
                <w:color w:val="000000" w:themeColor="text1"/>
                <w:szCs w:val="21"/>
                <w:highlight w:val="none"/>
              </w:rPr>
              <w:t>2</w:t>
            </w:r>
            <w:r>
              <w:rPr>
                <w:rFonts w:hint="eastAsia"/>
                <w:color w:val="000000" w:themeColor="text1"/>
                <w:szCs w:val="21"/>
                <w:highlight w:val="none"/>
              </w:rPr>
              <w:t>.</w:t>
            </w:r>
            <w:r>
              <w:rPr>
                <w:color w:val="000000" w:themeColor="text1"/>
                <w:szCs w:val="21"/>
                <w:highlight w:val="none"/>
              </w:rPr>
              <w:t>2</w:t>
            </w:r>
            <w:r>
              <w:rPr>
                <w:rFonts w:hint="eastAsia"/>
                <w:color w:val="000000" w:themeColor="text1"/>
                <w:szCs w:val="21"/>
                <w:highlight w:val="none"/>
              </w:rPr>
              <w:t>当满足以下条件时，采购人才向中标人签发货物验收报告：</w:t>
            </w:r>
          </w:p>
          <w:p>
            <w:pPr>
              <w:rPr>
                <w:color w:val="000000" w:themeColor="text1"/>
                <w:szCs w:val="21"/>
                <w:highlight w:val="none"/>
              </w:rPr>
            </w:pPr>
            <w:r>
              <w:rPr>
                <w:rFonts w:hint="eastAsia"/>
                <w:color w:val="000000" w:themeColor="text1"/>
                <w:szCs w:val="21"/>
                <w:highlight w:val="none"/>
              </w:rPr>
              <w:t>a中标人已按照合同规定提供了全部产品及完整的技术资料。</w:t>
            </w:r>
          </w:p>
          <w:p>
            <w:pPr>
              <w:rPr>
                <w:color w:val="000000" w:themeColor="text1"/>
                <w:szCs w:val="21"/>
                <w:highlight w:val="none"/>
              </w:rPr>
            </w:pPr>
            <w:r>
              <w:rPr>
                <w:color w:val="000000" w:themeColor="text1"/>
                <w:szCs w:val="21"/>
                <w:highlight w:val="none"/>
              </w:rPr>
              <w:t>b</w:t>
            </w:r>
            <w:r>
              <w:rPr>
                <w:rFonts w:hint="eastAsia"/>
                <w:color w:val="000000" w:themeColor="text1"/>
                <w:szCs w:val="21"/>
                <w:highlight w:val="none"/>
              </w:rPr>
              <w:t>货物符合招标文件技术规格书的要求，性能满足要求。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305" w:type="dxa"/>
            <w:vMerge w:val="continue"/>
            <w:vAlign w:val="center"/>
          </w:tcPr>
          <w:p>
            <w:pPr>
              <w:jc w:val="center"/>
              <w:rPr>
                <w:b/>
                <w:color w:val="000000" w:themeColor="text1"/>
                <w:highlight w:val="none"/>
              </w:rPr>
            </w:pPr>
          </w:p>
        </w:tc>
        <w:tc>
          <w:tcPr>
            <w:tcW w:w="1559" w:type="dxa"/>
            <w:vMerge w:val="continue"/>
          </w:tcPr>
          <w:p>
            <w:pPr>
              <w:rPr>
                <w:b/>
                <w:color w:val="000000" w:themeColor="text1"/>
                <w:highlight w:val="none"/>
              </w:rPr>
            </w:pPr>
          </w:p>
        </w:tc>
        <w:tc>
          <w:tcPr>
            <w:tcW w:w="7059" w:type="dxa"/>
            <w:tcBorders>
              <w:top w:val="single" w:color="auto" w:sz="8" w:space="0"/>
              <w:left w:val="nil"/>
              <w:bottom w:val="single" w:color="auto" w:sz="8" w:space="0"/>
              <w:right w:val="single" w:color="auto" w:sz="8" w:space="0"/>
            </w:tcBorders>
            <w:shd w:val="clear" w:color="auto" w:fill="auto"/>
            <w:vAlign w:val="center"/>
          </w:tcPr>
          <w:p>
            <w:pPr>
              <w:rPr>
                <w:b/>
                <w:color w:val="000000" w:themeColor="text1"/>
                <w:highlight w:val="none"/>
              </w:rPr>
            </w:pPr>
            <w:r>
              <w:rPr>
                <w:color w:val="000000" w:themeColor="text1"/>
                <w:szCs w:val="21"/>
                <w:highlight w:val="none"/>
              </w:rPr>
              <w:t>2.3</w:t>
            </w:r>
            <w:r>
              <w:rPr>
                <w:rFonts w:hint="eastAsia"/>
                <w:color w:val="000000" w:themeColor="text1"/>
                <w:szCs w:val="21"/>
                <w:highlight w:val="none"/>
              </w:rPr>
              <w:t>项目完成后，中标人向采购人提交验收申请，项目验收需要通过采购人组织的项目验收评审或第三方评审机构验收检测，方为项目验收。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305" w:type="dxa"/>
            <w:vMerge w:val="restart"/>
            <w:vAlign w:val="center"/>
          </w:tcPr>
          <w:p>
            <w:pPr>
              <w:jc w:val="center"/>
              <w:rPr>
                <w:color w:val="000000" w:themeColor="text1"/>
                <w:highlight w:val="none"/>
              </w:rPr>
            </w:pPr>
            <w:r>
              <w:rPr>
                <w:b/>
                <w:color w:val="000000" w:themeColor="text1"/>
                <w:highlight w:val="none"/>
              </w:rPr>
              <w:t>3</w:t>
            </w:r>
          </w:p>
        </w:tc>
        <w:tc>
          <w:tcPr>
            <w:tcW w:w="1559" w:type="dxa"/>
            <w:vMerge w:val="restart"/>
            <w:vAlign w:val="center"/>
          </w:tcPr>
          <w:p>
            <w:pPr>
              <w:jc w:val="center"/>
              <w:rPr>
                <w:b/>
                <w:color w:val="000000" w:themeColor="text1"/>
                <w:highlight w:val="none"/>
              </w:rPr>
            </w:pPr>
            <w:r>
              <w:rPr>
                <w:rFonts w:hint="eastAsia"/>
                <w:color w:val="000000" w:themeColor="text1"/>
                <w:highlight w:val="none"/>
              </w:rPr>
              <w:t>关于违约</w:t>
            </w:r>
          </w:p>
        </w:tc>
        <w:tc>
          <w:tcPr>
            <w:tcW w:w="7059" w:type="dxa"/>
          </w:tcPr>
          <w:p>
            <w:pPr>
              <w:rPr>
                <w:color w:val="000000" w:themeColor="text1"/>
                <w:highlight w:val="none"/>
              </w:rPr>
            </w:pPr>
            <w:r>
              <w:rPr>
                <w:rFonts w:hint="eastAsia"/>
                <w:color w:val="000000" w:themeColor="text1"/>
                <w:highlight w:val="none"/>
              </w:rPr>
              <w:t>3.1中标人不能交货的，需偿付不能交货部分货款</w:t>
            </w:r>
            <w:r>
              <w:rPr>
                <w:color w:val="000000" w:themeColor="text1"/>
                <w:highlight w:val="none"/>
                <w:u w:val="single"/>
              </w:rPr>
              <w:t xml:space="preserve"> 1</w:t>
            </w:r>
            <w:r>
              <w:rPr>
                <w:rFonts w:hint="eastAsia"/>
                <w:color w:val="000000" w:themeColor="text1"/>
                <w:highlight w:val="none"/>
                <w:u w:val="single"/>
              </w:rPr>
              <w:t>0</w:t>
            </w:r>
            <w:r>
              <w:rPr>
                <w:color w:val="000000" w:themeColor="text1"/>
                <w:highlight w:val="none"/>
              </w:rPr>
              <w:t>‰</w:t>
            </w:r>
            <w:r>
              <w:rPr>
                <w:rFonts w:hint="eastAsia"/>
                <w:color w:val="000000" w:themeColor="text1"/>
                <w:highlight w:val="none"/>
              </w:rPr>
              <w:t>的违约金并按主管部门相关规定处理。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305" w:type="dxa"/>
            <w:vMerge w:val="continue"/>
            <w:vAlign w:val="center"/>
          </w:tcPr>
          <w:p>
            <w:pPr>
              <w:jc w:val="center"/>
              <w:rPr>
                <w:b/>
                <w:color w:val="000000" w:themeColor="text1"/>
                <w:highlight w:val="none"/>
              </w:rPr>
            </w:pPr>
          </w:p>
        </w:tc>
        <w:tc>
          <w:tcPr>
            <w:tcW w:w="1559" w:type="dxa"/>
            <w:vMerge w:val="continue"/>
          </w:tcPr>
          <w:p>
            <w:pPr>
              <w:jc w:val="center"/>
              <w:rPr>
                <w:color w:val="000000" w:themeColor="text1"/>
                <w:highlight w:val="none"/>
              </w:rPr>
            </w:pPr>
          </w:p>
        </w:tc>
        <w:tc>
          <w:tcPr>
            <w:tcW w:w="7059" w:type="dxa"/>
          </w:tcPr>
          <w:p>
            <w:pPr>
              <w:rPr>
                <w:color w:val="000000" w:themeColor="text1"/>
                <w:highlight w:val="none"/>
              </w:rPr>
            </w:pPr>
            <w:r>
              <w:rPr>
                <w:rFonts w:hint="eastAsia"/>
                <w:color w:val="000000" w:themeColor="text1"/>
                <w:highlight w:val="none"/>
              </w:rPr>
              <w:t>3.2中标人逾期交货的，将被没收履约保证金并按主管部门相关规定处理。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305" w:type="dxa"/>
            <w:vMerge w:val="continue"/>
            <w:vAlign w:val="center"/>
          </w:tcPr>
          <w:p>
            <w:pPr>
              <w:jc w:val="center"/>
              <w:rPr>
                <w:b/>
                <w:color w:val="000000" w:themeColor="text1"/>
                <w:highlight w:val="none"/>
              </w:rPr>
            </w:pPr>
          </w:p>
        </w:tc>
        <w:tc>
          <w:tcPr>
            <w:tcW w:w="1559" w:type="dxa"/>
            <w:vMerge w:val="continue"/>
          </w:tcPr>
          <w:p>
            <w:pPr>
              <w:jc w:val="center"/>
              <w:rPr>
                <w:color w:val="000000" w:themeColor="text1"/>
                <w:highlight w:val="none"/>
              </w:rPr>
            </w:pPr>
          </w:p>
        </w:tc>
        <w:tc>
          <w:tcPr>
            <w:tcW w:w="7059" w:type="dxa"/>
          </w:tcPr>
          <w:p>
            <w:pPr>
              <w:rPr>
                <w:color w:val="000000" w:themeColor="text1"/>
                <w:highlight w:val="none"/>
              </w:rPr>
            </w:pPr>
            <w:r>
              <w:rPr>
                <w:rFonts w:hint="eastAsia"/>
                <w:color w:val="000000" w:themeColor="text1"/>
                <w:highlight w:val="none"/>
              </w:rPr>
              <w:t>3.3中标人所交付产品、工程或服务不符合其投标承诺的，或在投标阶段为了中标而盲目虚假承诺、低价恶性竞争，在履约阶段则通过偷工减料、以次充好而获取利润的，将被没收履约保证金，并被深圳市政府采购中心评为履约等级“差”并按主管部门相关规定处理。</w:t>
            </w:r>
          </w:p>
        </w:tc>
      </w:tr>
    </w:tbl>
    <w:p>
      <w:pPr>
        <w:rPr>
          <w:rFonts w:asciiTheme="majorEastAsia" w:hAnsiTheme="majorEastAsia" w:eastAsiaTheme="majorEastAsia"/>
          <w:szCs w:val="21"/>
          <w:highlight w:val="none"/>
        </w:rPr>
      </w:pPr>
    </w:p>
    <w:p>
      <w:pPr>
        <w:ind w:firstLine="315" w:firstLineChars="150"/>
        <w:jc w:val="left"/>
        <w:rPr>
          <w:szCs w:val="21"/>
          <w:highlight w:val="none"/>
        </w:rPr>
      </w:pPr>
      <w:r>
        <w:rPr>
          <w:rFonts w:hint="eastAsia"/>
          <w:szCs w:val="21"/>
          <w:highlight w:val="none"/>
        </w:rPr>
        <w:t>备注：</w:t>
      </w:r>
    </w:p>
    <w:p>
      <w:pPr>
        <w:ind w:firstLine="315" w:firstLineChars="150"/>
        <w:jc w:val="left"/>
        <w:rPr>
          <w:szCs w:val="21"/>
          <w:highlight w:val="none"/>
        </w:rPr>
      </w:pPr>
      <w:r>
        <w:rPr>
          <w:rFonts w:hint="eastAsia"/>
          <w:szCs w:val="21"/>
          <w:highlight w:val="none"/>
        </w:rPr>
        <w:t xml:space="preserve">1. “（一）免费保修期内售后服务要求”部分，请详细列明免费保修期内的售后服务要求，内容包括但不限于免费保修期限、售后服务人员配备、技术培训方案、质量保证、违约承诺、维修响应及故障解决时间、方案等。 </w:t>
      </w:r>
    </w:p>
    <w:p>
      <w:pPr>
        <w:ind w:firstLine="315" w:firstLineChars="150"/>
        <w:jc w:val="left"/>
        <w:rPr>
          <w:szCs w:val="21"/>
          <w:highlight w:val="none"/>
        </w:rPr>
      </w:pPr>
      <w:r>
        <w:rPr>
          <w:rFonts w:hint="eastAsia"/>
          <w:szCs w:val="21"/>
          <w:highlight w:val="none"/>
        </w:rPr>
        <w:t>2. “（二）其他商务要求”部分，如有补充，请详细列明。</w:t>
      </w:r>
    </w:p>
    <w:p>
      <w:pPr>
        <w:adjustRightInd/>
        <w:snapToGrid/>
        <w:spacing w:before="280" w:after="290" w:line="377" w:lineRule="auto"/>
        <w:jc w:val="center"/>
        <w:outlineLvl w:val="2"/>
        <w:rPr>
          <w:b/>
          <w:sz w:val="24"/>
          <w:highlight w:val="none"/>
        </w:rPr>
      </w:pPr>
      <w:r>
        <w:rPr>
          <w:rFonts w:hint="eastAsia"/>
          <w:b/>
          <w:sz w:val="24"/>
          <w:highlight w:val="none"/>
        </w:rPr>
        <w:t>四、实质性响应条款</w:t>
      </w:r>
    </w:p>
    <w:p>
      <w:pPr>
        <w:rPr>
          <w:b/>
          <w:szCs w:val="21"/>
          <w:highlight w:val="none"/>
        </w:rPr>
      </w:pPr>
      <w:r>
        <w:rPr>
          <w:rFonts w:hint="eastAsia"/>
          <w:b/>
          <w:szCs w:val="21"/>
          <w:highlight w:val="none"/>
        </w:rPr>
        <w:t>说明：1.</w:t>
      </w:r>
      <w:r>
        <w:rPr>
          <w:b/>
          <w:szCs w:val="21"/>
          <w:highlight w:val="none"/>
        </w:rPr>
        <w:t>本表系招标文件涉及的所有实质性条款的汇总，不需要单独列表响应。请各位投标人仔细核对：确保投标文件已按照招标文件要求，在招标文件规定的投标文件格式中的对应节点进行逐一响应，不允许有任何负偏离，否则将作投标无效处理</w:t>
      </w:r>
      <w:r>
        <w:rPr>
          <w:rFonts w:hint="eastAsia"/>
          <w:b/>
          <w:szCs w:val="21"/>
          <w:highlight w:val="none"/>
        </w:rPr>
        <w:t>。</w:t>
      </w:r>
    </w:p>
    <w:p>
      <w:pPr>
        <w:rPr>
          <w:b/>
          <w:szCs w:val="21"/>
          <w:highlight w:val="none"/>
        </w:rPr>
      </w:pPr>
      <w:r>
        <w:rPr>
          <w:rFonts w:hint="eastAsia"/>
          <w:b/>
          <w:szCs w:val="21"/>
          <w:highlight w:val="none"/>
        </w:rPr>
        <w:t>2.开标一览表中填写的“交货期”必须与本表的“交货期”一致。如不一致，以开标一览表填写的“交货期”为准。如开标一览表</w:t>
      </w:r>
      <w:r>
        <w:rPr>
          <w:rFonts w:hint="eastAsia"/>
          <w:b/>
          <w:highlight w:val="none"/>
        </w:rPr>
        <w:t>载明的交货期超过招标文件规定的期限，根据《符合性审查表》要求作无效标处理。</w:t>
      </w:r>
    </w:p>
    <w:tbl>
      <w:tblPr>
        <w:tblStyle w:val="44"/>
        <w:tblW w:w="95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9"/>
        <w:gridCol w:w="2239"/>
        <w:gridCol w:w="63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19" w:type="dxa"/>
            <w:vAlign w:val="center"/>
          </w:tcPr>
          <w:p>
            <w:pPr>
              <w:spacing w:line="240" w:lineRule="auto"/>
              <w:jc w:val="center"/>
              <w:rPr>
                <w:szCs w:val="21"/>
                <w:highlight w:val="none"/>
              </w:rPr>
            </w:pPr>
            <w:r>
              <w:rPr>
                <w:rFonts w:hint="eastAsia"/>
                <w:szCs w:val="21"/>
                <w:highlight w:val="none"/>
              </w:rPr>
              <w:t>序号</w:t>
            </w:r>
          </w:p>
        </w:tc>
        <w:tc>
          <w:tcPr>
            <w:tcW w:w="2239" w:type="dxa"/>
            <w:vAlign w:val="center"/>
          </w:tcPr>
          <w:p>
            <w:pPr>
              <w:spacing w:line="240" w:lineRule="auto"/>
              <w:jc w:val="center"/>
              <w:rPr>
                <w:szCs w:val="21"/>
                <w:highlight w:val="none"/>
              </w:rPr>
            </w:pPr>
            <w:r>
              <w:rPr>
                <w:rFonts w:hint="eastAsia"/>
                <w:szCs w:val="21"/>
                <w:highlight w:val="none"/>
              </w:rPr>
              <w:t>目录</w:t>
            </w:r>
          </w:p>
        </w:tc>
        <w:tc>
          <w:tcPr>
            <w:tcW w:w="6312" w:type="dxa"/>
            <w:vAlign w:val="center"/>
          </w:tcPr>
          <w:p>
            <w:pPr>
              <w:spacing w:line="240" w:lineRule="auto"/>
              <w:jc w:val="center"/>
              <w:rPr>
                <w:szCs w:val="21"/>
                <w:highlight w:val="none"/>
              </w:rPr>
            </w:pPr>
            <w:r>
              <w:rPr>
                <w:rFonts w:hint="eastAsia"/>
                <w:szCs w:val="21"/>
                <w:highlight w:val="none"/>
              </w:rPr>
              <w:t>实质性响应条款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19" w:type="dxa"/>
            <w:vAlign w:val="center"/>
          </w:tcPr>
          <w:p>
            <w:pPr>
              <w:spacing w:line="240" w:lineRule="auto"/>
              <w:jc w:val="center"/>
              <w:rPr>
                <w:szCs w:val="21"/>
                <w:highlight w:val="none"/>
              </w:rPr>
            </w:pPr>
            <w:r>
              <w:rPr>
                <w:rFonts w:hint="eastAsia"/>
                <w:szCs w:val="21"/>
                <w:highlight w:val="none"/>
              </w:rPr>
              <w:t>1</w:t>
            </w:r>
          </w:p>
        </w:tc>
        <w:tc>
          <w:tcPr>
            <w:tcW w:w="2239" w:type="dxa"/>
            <w:vAlign w:val="center"/>
          </w:tcPr>
          <w:p>
            <w:pPr>
              <w:rPr>
                <w:color w:val="000000" w:themeColor="text1"/>
                <w:szCs w:val="21"/>
                <w:highlight w:val="none"/>
              </w:rPr>
            </w:pPr>
            <w:r>
              <w:rPr>
                <w:rFonts w:hint="eastAsia"/>
                <w:color w:val="000000" w:themeColor="text1"/>
                <w:szCs w:val="21"/>
                <w:highlight w:val="none"/>
              </w:rPr>
              <w:t>关于免费保修期</w:t>
            </w:r>
          </w:p>
        </w:tc>
        <w:tc>
          <w:tcPr>
            <w:tcW w:w="6312" w:type="dxa"/>
            <w:vAlign w:val="center"/>
          </w:tcPr>
          <w:p>
            <w:pPr>
              <w:rPr>
                <w:color w:val="000000" w:themeColor="text1"/>
                <w:szCs w:val="21"/>
                <w:highlight w:val="none"/>
              </w:rPr>
            </w:pPr>
            <w:r>
              <w:rPr>
                <w:rFonts w:hint="eastAsia" w:asciiTheme="minorEastAsia" w:hAnsiTheme="minorEastAsia" w:eastAsiaTheme="minorEastAsia"/>
                <w:color w:val="000000" w:themeColor="text1"/>
                <w:highlight w:val="none"/>
              </w:rPr>
              <w:t>★</w:t>
            </w:r>
            <w:r>
              <w:rPr>
                <w:rFonts w:hint="eastAsia"/>
                <w:bCs/>
                <w:color w:val="000000" w:themeColor="text1"/>
                <w:szCs w:val="21"/>
                <w:highlight w:val="none"/>
              </w:rPr>
              <w:t>货物免费保修期</w:t>
            </w:r>
            <w:r>
              <w:rPr>
                <w:bCs/>
                <w:color w:val="000000" w:themeColor="text1"/>
                <w:szCs w:val="21"/>
                <w:highlight w:val="none"/>
                <w:u w:val="single"/>
              </w:rPr>
              <w:t>1</w:t>
            </w:r>
            <w:r>
              <w:rPr>
                <w:rFonts w:hint="eastAsia"/>
                <w:bCs/>
                <w:color w:val="000000" w:themeColor="text1"/>
                <w:szCs w:val="21"/>
                <w:highlight w:val="none"/>
              </w:rPr>
              <w:t>年，时间自最终验收合格并交付使用之日起计算。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19" w:type="dxa"/>
            <w:vAlign w:val="center"/>
          </w:tcPr>
          <w:p>
            <w:pPr>
              <w:spacing w:line="240" w:lineRule="auto"/>
              <w:jc w:val="center"/>
              <w:rPr>
                <w:szCs w:val="21"/>
                <w:highlight w:val="none"/>
              </w:rPr>
            </w:pPr>
            <w:r>
              <w:rPr>
                <w:rFonts w:hint="eastAsia"/>
                <w:szCs w:val="21"/>
                <w:highlight w:val="none"/>
              </w:rPr>
              <w:t>2</w:t>
            </w:r>
          </w:p>
        </w:tc>
        <w:tc>
          <w:tcPr>
            <w:tcW w:w="2239" w:type="dxa"/>
            <w:vAlign w:val="center"/>
          </w:tcPr>
          <w:p>
            <w:pPr>
              <w:rPr>
                <w:color w:val="000000" w:themeColor="text1"/>
                <w:highlight w:val="none"/>
              </w:rPr>
            </w:pPr>
            <w:r>
              <w:rPr>
                <w:rFonts w:hint="eastAsia"/>
                <w:color w:val="000000" w:themeColor="text1"/>
                <w:szCs w:val="21"/>
                <w:highlight w:val="none"/>
              </w:rPr>
              <w:t>关于交货期</w:t>
            </w:r>
          </w:p>
        </w:tc>
        <w:tc>
          <w:tcPr>
            <w:tcW w:w="6312" w:type="dxa"/>
            <w:vAlign w:val="center"/>
          </w:tcPr>
          <w:p>
            <w:pPr>
              <w:rPr>
                <w:b/>
                <w:color w:val="000000" w:themeColor="text1"/>
                <w:highlight w:val="none"/>
              </w:rPr>
            </w:pPr>
            <w:r>
              <w:rPr>
                <w:rFonts w:hint="eastAsia" w:asciiTheme="minorEastAsia" w:hAnsiTheme="minorEastAsia" w:eastAsiaTheme="minorEastAsia"/>
                <w:color w:val="000000" w:themeColor="text1"/>
                <w:highlight w:val="none"/>
              </w:rPr>
              <w:t>★</w:t>
            </w:r>
            <w:r>
              <w:rPr>
                <w:rFonts w:hint="eastAsia"/>
                <w:bCs/>
                <w:color w:val="000000" w:themeColor="text1"/>
                <w:szCs w:val="21"/>
                <w:highlight w:val="none"/>
              </w:rPr>
              <w:t>签订合同后</w:t>
            </w:r>
            <w:r>
              <w:rPr>
                <w:bCs/>
                <w:color w:val="000000" w:themeColor="text1"/>
                <w:szCs w:val="21"/>
                <w:highlight w:val="none"/>
                <w:u w:val="single"/>
              </w:rPr>
              <w:t>45</w:t>
            </w:r>
            <w:r>
              <w:rPr>
                <w:rFonts w:hint="eastAsia"/>
                <w:bCs/>
                <w:color w:val="000000" w:themeColor="text1"/>
                <w:szCs w:val="21"/>
                <w:highlight w:val="none"/>
              </w:rPr>
              <w:t>天（日历日）内。</w:t>
            </w:r>
          </w:p>
        </w:tc>
      </w:tr>
    </w:tbl>
    <w:p>
      <w:pPr>
        <w:ind w:firstLine="315" w:firstLineChars="150"/>
        <w:jc w:val="left"/>
        <w:rPr>
          <w:szCs w:val="21"/>
          <w:highlight w:val="none"/>
        </w:rPr>
      </w:pPr>
    </w:p>
    <w:p>
      <w:pPr>
        <w:tabs>
          <w:tab w:val="left" w:pos="7320"/>
        </w:tabs>
        <w:spacing w:after="200" w:line="276" w:lineRule="auto"/>
        <w:ind w:firstLine="420" w:firstLineChars="200"/>
        <w:jc w:val="left"/>
        <w:rPr>
          <w:szCs w:val="21"/>
          <w:highlight w:val="none"/>
        </w:rPr>
      </w:pPr>
      <w:r>
        <w:rPr>
          <w:szCs w:val="21"/>
          <w:highlight w:val="none"/>
        </w:rPr>
        <w:br w:type="page"/>
      </w:r>
    </w:p>
    <w:p>
      <w:pPr>
        <w:adjustRightInd/>
        <w:snapToGrid/>
        <w:spacing w:before="280" w:after="290" w:line="377" w:lineRule="auto"/>
        <w:jc w:val="center"/>
        <w:outlineLvl w:val="2"/>
        <w:rPr>
          <w:b/>
          <w:sz w:val="24"/>
          <w:highlight w:val="none"/>
        </w:rPr>
      </w:pPr>
      <w:r>
        <w:rPr>
          <w:rFonts w:hint="eastAsia"/>
          <w:b/>
          <w:sz w:val="24"/>
          <w:highlight w:val="none"/>
          <w:lang w:eastAsia="zh-CN"/>
        </w:rPr>
        <w:t>五</w:t>
      </w:r>
      <w:r>
        <w:rPr>
          <w:rFonts w:hint="eastAsia"/>
          <w:b/>
          <w:sz w:val="24"/>
          <w:highlight w:val="none"/>
        </w:rPr>
        <w:t>、重要提醒</w:t>
      </w:r>
    </w:p>
    <w:p>
      <w:pPr>
        <w:ind w:firstLine="315" w:firstLineChars="150"/>
        <w:jc w:val="left"/>
        <w:rPr>
          <w:szCs w:val="21"/>
          <w:highlight w:val="none"/>
        </w:rPr>
      </w:pPr>
      <w:r>
        <w:rPr>
          <w:rFonts w:hint="eastAsia"/>
          <w:szCs w:val="21"/>
          <w:highlight w:val="none"/>
        </w:rPr>
        <w:t>1、《深圳经济特区政府采购条例》规定：供应商在政府采购中，未按本条例规定签订、履行采购合同，造成严重后果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涉嫌犯罪的，依法移送司法机关处理。另外，中心将组织第三方专业机构实施项目履约抽检，并在深圳市政府采购网曝光等措施，对失信供应商进行处理。供应商必须诚信投标，对项目需求响应真实性负责。</w:t>
      </w:r>
    </w:p>
    <w:p>
      <w:pPr>
        <w:ind w:firstLine="315" w:firstLineChars="150"/>
        <w:jc w:val="left"/>
        <w:rPr>
          <w:szCs w:val="21"/>
          <w:highlight w:val="none"/>
        </w:rPr>
      </w:pPr>
      <w:r>
        <w:rPr>
          <w:rFonts w:hint="eastAsia"/>
          <w:szCs w:val="21"/>
          <w:highlight w:val="none"/>
        </w:rPr>
        <w:t>2、任何要求对招标文件进行澄清的投标人，均应于本项目“招标公告”中所述答疑截止时间前在网上通知政府集中采购机构。对于没有提出澄清又参与了该项目投标的供应商将被视为完全认同该招标文件，投标截止期后不再受理针对招标文件的相关投诉。对采购文件中描述有歧义或前后不一致的地方，评标委员会有权进行评判，但对同一条款的评判应适用于每个投标人。</w:t>
      </w:r>
    </w:p>
    <w:p>
      <w:pPr>
        <w:ind w:firstLine="315" w:firstLineChars="150"/>
        <w:jc w:val="left"/>
        <w:rPr>
          <w:szCs w:val="21"/>
          <w:highlight w:val="none"/>
        </w:rPr>
      </w:pPr>
      <w:r>
        <w:rPr>
          <w:rFonts w:hint="eastAsia"/>
          <w:szCs w:val="21"/>
          <w:highlight w:val="none"/>
        </w:rPr>
        <w:t>3、《政府采购货物和服务招标投标管理办法》（财政部令第87号）规定：评标委员会认为投标人的报价明显低于其他通过符合性审查投标人的标价，有可能影响产品质量或者不能诚信履约的，应当要求其在评标现场合理的时间内提供书面说明，必要时提交相关证明材料；投标人不能证明其报价合理性的，评标委员会应当将其作为无效投标处理。</w:t>
      </w:r>
    </w:p>
    <w:p>
      <w:pPr>
        <w:ind w:firstLine="361" w:firstLineChars="150"/>
        <w:jc w:val="center"/>
        <w:rPr>
          <w:b/>
          <w:sz w:val="24"/>
          <w:highlight w:val="none"/>
        </w:rPr>
      </w:pPr>
      <w:r>
        <w:rPr>
          <w:rFonts w:hint="eastAsia"/>
          <w:b/>
          <w:sz w:val="24"/>
          <w:highlight w:val="none"/>
          <w:lang w:eastAsia="zh-CN"/>
        </w:rPr>
        <w:t>六</w:t>
      </w:r>
      <w:r>
        <w:rPr>
          <w:rFonts w:hint="eastAsia"/>
          <w:b/>
          <w:sz w:val="24"/>
          <w:highlight w:val="none"/>
        </w:rPr>
        <w:t>、政策导向</w:t>
      </w:r>
    </w:p>
    <w:p>
      <w:pPr>
        <w:widowControl w:val="0"/>
        <w:shd w:val="clear" w:color="auto" w:fill="auto"/>
        <w:tabs>
          <w:tab w:val="clear" w:pos="426"/>
        </w:tabs>
        <w:adjustRightInd/>
        <w:snapToGrid/>
        <w:spacing w:beforeLines="50" w:line="300" w:lineRule="auto"/>
        <w:ind w:firstLine="420" w:firstLineChars="200"/>
        <w:rPr>
          <w:kern w:val="2"/>
          <w:highlight w:val="none"/>
        </w:rPr>
      </w:pPr>
      <w:r>
        <w:rPr>
          <w:kern w:val="2"/>
          <w:highlight w:val="none"/>
        </w:rPr>
        <w:t>1.按照《国务院办公厅关于建立政府强制采购节能产品制度的通知》（国办发〔2007〕51号）、《财政部、环保总局关于环境标志产品政府采购实施的意见》（财库[2006]90号）、《关于调整优化节能产品、环境标志产品政府采购执行机制的通知》（财库〔2019〕9号）、《中共深圳市委、深圳市人民政府关于全面推进循环经济发展的决定》（深发〔2006〕9号）等的要求，以下产品列入政府优先采购清单，我市政府采购组织实施中，在技术、服务等指标满足采购需求的前提下，优先采购以下清单范围内产品：</w:t>
      </w:r>
    </w:p>
    <w:p>
      <w:pPr>
        <w:widowControl w:val="0"/>
        <w:shd w:val="clear" w:color="auto" w:fill="auto"/>
        <w:tabs>
          <w:tab w:val="clear" w:pos="426"/>
        </w:tabs>
        <w:adjustRightInd/>
        <w:snapToGrid/>
        <w:spacing w:beforeLines="50" w:line="300" w:lineRule="auto"/>
        <w:ind w:firstLine="420" w:firstLineChars="200"/>
        <w:rPr>
          <w:kern w:val="2"/>
          <w:highlight w:val="none"/>
        </w:rPr>
      </w:pPr>
      <w:r>
        <w:rPr>
          <w:rFonts w:hint="eastAsia"/>
          <w:kern w:val="2"/>
          <w:highlight w:val="none"/>
        </w:rPr>
        <w:t>属于政府采购节能产品、环境标志产品实施品目清单的产品，详见中国政府采购网（</w:t>
      </w:r>
      <w:r>
        <w:rPr>
          <w:kern w:val="2"/>
          <w:highlight w:val="none"/>
        </w:rPr>
        <w:t>http://www.ccgp.gov.cn/）。</w:t>
      </w:r>
    </w:p>
    <w:p>
      <w:pPr>
        <w:widowControl w:val="0"/>
        <w:shd w:val="clear" w:color="auto" w:fill="auto"/>
        <w:tabs>
          <w:tab w:val="clear" w:pos="426"/>
        </w:tabs>
        <w:adjustRightInd/>
        <w:snapToGrid/>
        <w:spacing w:beforeLines="50" w:line="300" w:lineRule="auto"/>
        <w:ind w:firstLine="420" w:firstLineChars="200"/>
        <w:rPr>
          <w:kern w:val="2"/>
          <w:highlight w:val="none"/>
        </w:rPr>
      </w:pPr>
      <w:r>
        <w:rPr>
          <w:rFonts w:hint="eastAsia"/>
          <w:kern w:val="2"/>
          <w:highlight w:val="none"/>
        </w:rPr>
        <w:t>进入以上清单范围的投标产品将在评标时获得竞争优势。</w:t>
      </w:r>
    </w:p>
    <w:p>
      <w:pPr>
        <w:widowControl w:val="0"/>
        <w:shd w:val="clear" w:color="auto" w:fill="auto"/>
        <w:tabs>
          <w:tab w:val="clear" w:pos="426"/>
        </w:tabs>
        <w:adjustRightInd/>
        <w:snapToGrid/>
        <w:spacing w:beforeLines="50" w:line="300" w:lineRule="auto"/>
        <w:ind w:firstLine="420" w:firstLineChars="200"/>
        <w:rPr>
          <w:kern w:val="2"/>
          <w:highlight w:val="none"/>
        </w:rPr>
      </w:pPr>
      <w:r>
        <w:rPr>
          <w:kern w:val="2"/>
          <w:highlight w:val="none"/>
        </w:rPr>
        <w:t>2.2014年起，政府部门、国有企业在进行设备或工程采购时，应在招标文件中明确要求工程机械、装卸机械满足国家现阶段非道路移动机械用柴油机排放标准，并鼓励使用LNG或电动工程机械、装卸机械。2015年起，政府部门、国有企业采购设备或工程项目中选用LNG或电动工程机械、装卸机械的比例不低于30%。</w:t>
      </w:r>
    </w:p>
    <w:p>
      <w:pPr>
        <w:widowControl w:val="0"/>
        <w:shd w:val="clear" w:color="auto" w:fill="auto"/>
        <w:tabs>
          <w:tab w:val="clear" w:pos="426"/>
        </w:tabs>
        <w:adjustRightInd/>
        <w:snapToGrid/>
        <w:spacing w:beforeLines="50" w:line="300" w:lineRule="auto"/>
        <w:ind w:firstLine="420" w:firstLineChars="200"/>
        <w:rPr>
          <w:kern w:val="2"/>
          <w:highlight w:val="none"/>
        </w:rPr>
      </w:pPr>
      <w:r>
        <w:rPr>
          <w:kern w:val="2"/>
          <w:highlight w:val="none"/>
        </w:rPr>
        <w:t>3.根据《深圳市人民政府关于印发深圳市贯彻落实守信联合激励和失信联合惩戒制度实施方案的通知》（深府〔2017〕57号）、《深圳市政府采购供应商诚信管理暂行办法》（深财规〔2017〕8号）以及《深圳市财政委员会关于印发&lt;深圳市政府采购供应商诚信管理暂行办法操作细则&gt;的通知》的要求，对列入失信“黑名单”的供应商限制参与政府采购。</w:t>
      </w:r>
    </w:p>
    <w:p>
      <w:pPr>
        <w:widowControl w:val="0"/>
        <w:shd w:val="clear" w:color="auto" w:fill="auto"/>
        <w:tabs>
          <w:tab w:val="clear" w:pos="426"/>
        </w:tabs>
        <w:adjustRightInd/>
        <w:snapToGrid/>
        <w:spacing w:beforeLines="50" w:line="300" w:lineRule="auto"/>
        <w:ind w:firstLine="420" w:firstLineChars="200"/>
        <w:rPr>
          <w:kern w:val="2"/>
          <w:highlight w:val="none"/>
        </w:rPr>
      </w:pPr>
    </w:p>
    <w:p>
      <w:pPr>
        <w:widowControl w:val="0"/>
        <w:shd w:val="clear" w:color="auto" w:fill="auto"/>
        <w:tabs>
          <w:tab w:val="clear" w:pos="426"/>
        </w:tabs>
        <w:adjustRightInd/>
        <w:snapToGrid/>
        <w:spacing w:beforeLines="50" w:line="300" w:lineRule="auto"/>
        <w:ind w:firstLine="420" w:firstLineChars="200"/>
        <w:rPr>
          <w:kern w:val="2"/>
          <w:highlight w:val="none"/>
        </w:rPr>
      </w:pPr>
    </w:p>
    <w:p>
      <w:pPr>
        <w:pStyle w:val="33"/>
        <w:tabs>
          <w:tab w:val="clear" w:pos="426"/>
        </w:tabs>
        <w:rPr>
          <w:highlight w:val="none"/>
        </w:rPr>
      </w:pPr>
      <w:r>
        <w:rPr>
          <w:highlight w:val="none"/>
        </w:rPr>
        <w:br w:type="page"/>
      </w:r>
      <w:bookmarkStart w:id="41" w:name="_Toc12610126"/>
      <w:r>
        <w:rPr>
          <w:rFonts w:hint="eastAsia"/>
          <w:highlight w:val="none"/>
        </w:rPr>
        <w:t>第四章</w:t>
      </w:r>
      <w:bookmarkEnd w:id="39"/>
      <w:bookmarkEnd w:id="40"/>
      <w:r>
        <w:rPr>
          <w:rFonts w:hint="eastAsia"/>
          <w:highlight w:val="none"/>
        </w:rPr>
        <w:t>政府采购合同的签订、履约及验收</w:t>
      </w:r>
      <w:bookmarkEnd w:id="41"/>
    </w:p>
    <w:p>
      <w:pPr>
        <w:tabs>
          <w:tab w:val="clear" w:pos="426"/>
        </w:tabs>
        <w:jc w:val="center"/>
        <w:rPr>
          <w:b/>
          <w:sz w:val="24"/>
          <w:highlight w:val="none"/>
        </w:rPr>
      </w:pPr>
      <w:bookmarkStart w:id="42" w:name="_Toc432592818"/>
      <w:bookmarkStart w:id="43" w:name="_Toc398220526"/>
      <w:r>
        <w:rPr>
          <w:rFonts w:hint="eastAsia"/>
          <w:b/>
          <w:sz w:val="24"/>
          <w:highlight w:val="none"/>
        </w:rPr>
        <w:t>一、重要提示</w:t>
      </w:r>
    </w:p>
    <w:p>
      <w:pPr>
        <w:widowControl w:val="0"/>
        <w:shd w:val="clear" w:color="auto" w:fill="auto"/>
        <w:tabs>
          <w:tab w:val="clear" w:pos="426"/>
        </w:tabs>
        <w:adjustRightInd/>
        <w:snapToGrid/>
        <w:spacing w:line="240" w:lineRule="auto"/>
        <w:ind w:firstLine="420" w:firstLineChars="200"/>
        <w:rPr>
          <w:rFonts w:cs="Times New Roman"/>
          <w:kern w:val="2"/>
          <w:szCs w:val="21"/>
          <w:highlight w:val="none"/>
        </w:rPr>
      </w:pPr>
    </w:p>
    <w:p>
      <w:pPr>
        <w:widowControl w:val="0"/>
        <w:shd w:val="clear" w:color="auto" w:fill="auto"/>
        <w:tabs>
          <w:tab w:val="clear" w:pos="426"/>
        </w:tabs>
        <w:adjustRightInd/>
        <w:snapToGrid/>
        <w:spacing w:line="240" w:lineRule="auto"/>
        <w:ind w:firstLine="420" w:firstLineChars="200"/>
        <w:rPr>
          <w:rFonts w:cs="Times New Roman"/>
          <w:kern w:val="2"/>
          <w:szCs w:val="21"/>
          <w:highlight w:val="none"/>
        </w:rPr>
      </w:pPr>
      <w:r>
        <w:rPr>
          <w:rFonts w:hint="eastAsia" w:cs="Times New Roman"/>
          <w:kern w:val="2"/>
          <w:szCs w:val="21"/>
          <w:highlight w:val="none"/>
        </w:rPr>
        <w:t>（一）</w:t>
      </w:r>
      <w:r>
        <w:rPr>
          <w:rFonts w:cs="Times New Roman"/>
          <w:kern w:val="2"/>
          <w:szCs w:val="21"/>
          <w:highlight w:val="none"/>
        </w:rPr>
        <w:t xml:space="preserve"> 中标人将于中标通知书发出之日起十个工作日内，按照招标文件和投标文件内容与采购单位签订书面合同，合同书应采用本招标文件规定的合同样本；</w:t>
      </w:r>
    </w:p>
    <w:p>
      <w:pPr>
        <w:widowControl w:val="0"/>
        <w:shd w:val="clear" w:color="auto" w:fill="auto"/>
        <w:tabs>
          <w:tab w:val="clear" w:pos="426"/>
        </w:tabs>
        <w:adjustRightInd/>
        <w:snapToGrid/>
        <w:spacing w:line="240" w:lineRule="auto"/>
        <w:ind w:firstLine="420" w:firstLineChars="200"/>
        <w:rPr>
          <w:rFonts w:cs="Times New Roman"/>
          <w:kern w:val="2"/>
          <w:szCs w:val="21"/>
          <w:highlight w:val="none"/>
        </w:rPr>
      </w:pPr>
      <w:r>
        <w:rPr>
          <w:rFonts w:hint="eastAsia" w:cs="Times New Roman"/>
          <w:kern w:val="2"/>
          <w:szCs w:val="21"/>
          <w:highlight w:val="none"/>
        </w:rPr>
        <w:t>（二）</w:t>
      </w:r>
      <w:r>
        <w:rPr>
          <w:rFonts w:cs="Times New Roman"/>
          <w:kern w:val="2"/>
          <w:szCs w:val="21"/>
          <w:highlight w:val="none"/>
        </w:rPr>
        <w:t xml:space="preserve"> 中标人应当按照合同约定履行义务，完成中标项目，不得将中标项目转让（转包）给他人；</w:t>
      </w:r>
    </w:p>
    <w:p>
      <w:pPr>
        <w:widowControl w:val="0"/>
        <w:shd w:val="clear" w:color="auto" w:fill="auto"/>
        <w:tabs>
          <w:tab w:val="clear" w:pos="426"/>
        </w:tabs>
        <w:adjustRightInd/>
        <w:snapToGrid/>
        <w:spacing w:line="240" w:lineRule="auto"/>
        <w:ind w:firstLine="420" w:firstLineChars="200"/>
        <w:rPr>
          <w:rFonts w:cs="Times New Roman"/>
          <w:kern w:val="2"/>
          <w:szCs w:val="21"/>
          <w:highlight w:val="none"/>
        </w:rPr>
      </w:pPr>
      <w:r>
        <w:rPr>
          <w:rFonts w:hint="eastAsia" w:cs="Times New Roman"/>
          <w:kern w:val="2"/>
          <w:szCs w:val="21"/>
          <w:highlight w:val="none"/>
        </w:rPr>
        <w:t>（三）</w:t>
      </w:r>
      <w:r>
        <w:rPr>
          <w:rFonts w:cs="Times New Roman"/>
          <w:kern w:val="2"/>
          <w:szCs w:val="21"/>
          <w:highlight w:val="none"/>
        </w:rPr>
        <w:t xml:space="preserve"> 采购人与中标人签订的合同必须遵守本招标文件的合同条件，并且不得更改合同条件。</w:t>
      </w:r>
    </w:p>
    <w:p>
      <w:pPr>
        <w:widowControl w:val="0"/>
        <w:shd w:val="clear" w:color="auto" w:fill="auto"/>
        <w:tabs>
          <w:tab w:val="clear" w:pos="426"/>
        </w:tabs>
        <w:adjustRightInd/>
        <w:snapToGrid/>
        <w:spacing w:line="240" w:lineRule="auto"/>
        <w:ind w:firstLine="420" w:firstLineChars="200"/>
        <w:rPr>
          <w:rFonts w:cs="Times New Roman"/>
          <w:kern w:val="2"/>
          <w:szCs w:val="21"/>
          <w:highlight w:val="none"/>
        </w:rPr>
      </w:pPr>
      <w:r>
        <w:rPr>
          <w:rFonts w:hint="eastAsia" w:cs="Times New Roman"/>
          <w:kern w:val="2"/>
          <w:szCs w:val="21"/>
          <w:highlight w:val="none"/>
        </w:rPr>
        <w:t>（四）</w:t>
      </w:r>
      <w:r>
        <w:rPr>
          <w:rFonts w:cs="Times New Roman"/>
          <w:kern w:val="2"/>
          <w:szCs w:val="21"/>
          <w:highlight w:val="none"/>
        </w:rPr>
        <w:t xml:space="preserve"> 采购人与中标人应于合同签订之日起10日内，由采购人或委托中标人将采购合同副本抄送政府集中采购机构备案。</w:t>
      </w:r>
    </w:p>
    <w:p>
      <w:pPr>
        <w:widowControl w:val="0"/>
        <w:shd w:val="clear" w:color="auto" w:fill="auto"/>
        <w:tabs>
          <w:tab w:val="clear" w:pos="426"/>
        </w:tabs>
        <w:adjustRightInd/>
        <w:snapToGrid/>
        <w:spacing w:line="240" w:lineRule="auto"/>
        <w:ind w:firstLine="420" w:firstLineChars="200"/>
        <w:rPr>
          <w:rFonts w:cs="Times New Roman"/>
          <w:kern w:val="2"/>
          <w:szCs w:val="21"/>
          <w:highlight w:val="none"/>
        </w:rPr>
      </w:pPr>
      <w:r>
        <w:rPr>
          <w:rFonts w:hint="eastAsia" w:cs="Times New Roman"/>
          <w:kern w:val="2"/>
          <w:szCs w:val="21"/>
          <w:highlight w:val="none"/>
        </w:rPr>
        <w:t>（五）</w:t>
      </w:r>
      <w:r>
        <w:rPr>
          <w:rFonts w:cs="Times New Roman"/>
          <w:kern w:val="2"/>
          <w:szCs w:val="21"/>
          <w:highlight w:val="none"/>
        </w:rPr>
        <w:t xml:space="preserve"> 《深圳经济特区政府采购条例》第五十七条规定：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涉嫌犯罪的，依法移送司法机关处理。</w:t>
      </w:r>
    </w:p>
    <w:p>
      <w:pPr>
        <w:widowControl w:val="0"/>
        <w:shd w:val="clear" w:color="auto" w:fill="auto"/>
        <w:tabs>
          <w:tab w:val="clear" w:pos="426"/>
        </w:tabs>
        <w:adjustRightInd/>
        <w:snapToGrid/>
        <w:spacing w:line="240" w:lineRule="auto"/>
        <w:ind w:firstLine="420" w:firstLineChars="200"/>
        <w:rPr>
          <w:rFonts w:cs="Times New Roman"/>
          <w:kern w:val="2"/>
          <w:szCs w:val="21"/>
          <w:highlight w:val="none"/>
        </w:rPr>
      </w:pPr>
      <w:r>
        <w:rPr>
          <w:rFonts w:cs="Times New Roman"/>
          <w:kern w:val="2"/>
          <w:szCs w:val="21"/>
          <w:highlight w:val="none"/>
        </w:rPr>
        <w:t>1.在采购活动中应当回避而未回避的；</w:t>
      </w:r>
    </w:p>
    <w:p>
      <w:pPr>
        <w:widowControl w:val="0"/>
        <w:shd w:val="clear" w:color="auto" w:fill="auto"/>
        <w:tabs>
          <w:tab w:val="clear" w:pos="426"/>
        </w:tabs>
        <w:adjustRightInd/>
        <w:snapToGrid/>
        <w:spacing w:line="240" w:lineRule="auto"/>
        <w:ind w:firstLine="422" w:firstLineChars="200"/>
        <w:rPr>
          <w:rFonts w:cs="Times New Roman"/>
          <w:b/>
          <w:kern w:val="2"/>
          <w:szCs w:val="21"/>
          <w:highlight w:val="none"/>
        </w:rPr>
      </w:pPr>
      <w:r>
        <w:rPr>
          <w:rFonts w:cs="Times New Roman"/>
          <w:b/>
          <w:kern w:val="2"/>
          <w:szCs w:val="21"/>
          <w:highlight w:val="none"/>
        </w:rPr>
        <w:t>2.未按本条例规定签订、履行采购合同，造成严重后果的；</w:t>
      </w:r>
    </w:p>
    <w:p>
      <w:pPr>
        <w:widowControl w:val="0"/>
        <w:shd w:val="clear" w:color="auto" w:fill="auto"/>
        <w:tabs>
          <w:tab w:val="clear" w:pos="426"/>
        </w:tabs>
        <w:adjustRightInd/>
        <w:snapToGrid/>
        <w:spacing w:line="240" w:lineRule="auto"/>
        <w:ind w:firstLine="420" w:firstLineChars="200"/>
        <w:rPr>
          <w:rFonts w:cs="Times New Roman"/>
          <w:kern w:val="2"/>
          <w:szCs w:val="21"/>
          <w:highlight w:val="none"/>
        </w:rPr>
      </w:pPr>
      <w:r>
        <w:rPr>
          <w:rFonts w:cs="Times New Roman"/>
          <w:kern w:val="2"/>
          <w:szCs w:val="21"/>
          <w:highlight w:val="none"/>
        </w:rPr>
        <w:t>3.隐瞒真实情况，提供虚假资料的；</w:t>
      </w:r>
    </w:p>
    <w:p>
      <w:pPr>
        <w:widowControl w:val="0"/>
        <w:shd w:val="clear" w:color="auto" w:fill="auto"/>
        <w:tabs>
          <w:tab w:val="clear" w:pos="426"/>
        </w:tabs>
        <w:adjustRightInd/>
        <w:snapToGrid/>
        <w:spacing w:line="240" w:lineRule="auto"/>
        <w:ind w:firstLine="420" w:firstLineChars="200"/>
        <w:rPr>
          <w:rFonts w:cs="Times New Roman"/>
          <w:kern w:val="2"/>
          <w:szCs w:val="21"/>
          <w:highlight w:val="none"/>
        </w:rPr>
      </w:pPr>
      <w:r>
        <w:rPr>
          <w:rFonts w:cs="Times New Roman"/>
          <w:kern w:val="2"/>
          <w:szCs w:val="21"/>
          <w:highlight w:val="none"/>
        </w:rPr>
        <w:t>4.以非法手段排斥其他供应商参与竞争的；</w:t>
      </w:r>
    </w:p>
    <w:p>
      <w:pPr>
        <w:widowControl w:val="0"/>
        <w:shd w:val="clear" w:color="auto" w:fill="auto"/>
        <w:tabs>
          <w:tab w:val="clear" w:pos="426"/>
        </w:tabs>
        <w:adjustRightInd/>
        <w:snapToGrid/>
        <w:spacing w:line="240" w:lineRule="auto"/>
        <w:ind w:firstLine="420" w:firstLineChars="200"/>
        <w:rPr>
          <w:rFonts w:cs="Times New Roman"/>
          <w:kern w:val="2"/>
          <w:szCs w:val="21"/>
          <w:highlight w:val="none"/>
        </w:rPr>
      </w:pPr>
      <w:r>
        <w:rPr>
          <w:rFonts w:cs="Times New Roman"/>
          <w:kern w:val="2"/>
          <w:szCs w:val="21"/>
          <w:highlight w:val="none"/>
        </w:rPr>
        <w:t>5.与其他采购参加人串通投标的；</w:t>
      </w:r>
    </w:p>
    <w:p>
      <w:pPr>
        <w:widowControl w:val="0"/>
        <w:shd w:val="clear" w:color="auto" w:fill="auto"/>
        <w:tabs>
          <w:tab w:val="clear" w:pos="426"/>
        </w:tabs>
        <w:adjustRightInd/>
        <w:snapToGrid/>
        <w:spacing w:line="240" w:lineRule="auto"/>
        <w:ind w:firstLine="420" w:firstLineChars="200"/>
        <w:rPr>
          <w:rFonts w:cs="Times New Roman"/>
          <w:kern w:val="2"/>
          <w:szCs w:val="21"/>
          <w:highlight w:val="none"/>
        </w:rPr>
      </w:pPr>
      <w:r>
        <w:rPr>
          <w:rFonts w:cs="Times New Roman"/>
          <w:kern w:val="2"/>
          <w:szCs w:val="21"/>
          <w:highlight w:val="none"/>
        </w:rPr>
        <w:t>6.恶意投诉的；</w:t>
      </w:r>
    </w:p>
    <w:p>
      <w:pPr>
        <w:widowControl w:val="0"/>
        <w:shd w:val="clear" w:color="auto" w:fill="auto"/>
        <w:tabs>
          <w:tab w:val="clear" w:pos="426"/>
        </w:tabs>
        <w:adjustRightInd/>
        <w:snapToGrid/>
        <w:spacing w:line="240" w:lineRule="auto"/>
        <w:ind w:firstLine="420" w:firstLineChars="200"/>
        <w:rPr>
          <w:rFonts w:cs="Times New Roman"/>
          <w:kern w:val="2"/>
          <w:szCs w:val="21"/>
          <w:highlight w:val="none"/>
        </w:rPr>
      </w:pPr>
      <w:r>
        <w:rPr>
          <w:rFonts w:cs="Times New Roman"/>
          <w:kern w:val="2"/>
          <w:szCs w:val="21"/>
          <w:highlight w:val="none"/>
        </w:rPr>
        <w:t>7.向采购项目相关人行贿或者提供其他不当利益的；</w:t>
      </w:r>
    </w:p>
    <w:p>
      <w:pPr>
        <w:widowControl w:val="0"/>
        <w:shd w:val="clear" w:color="auto" w:fill="auto"/>
        <w:tabs>
          <w:tab w:val="clear" w:pos="426"/>
        </w:tabs>
        <w:adjustRightInd/>
        <w:snapToGrid/>
        <w:spacing w:line="240" w:lineRule="auto"/>
        <w:ind w:firstLine="420" w:firstLineChars="200"/>
        <w:rPr>
          <w:rFonts w:cs="Times New Roman"/>
          <w:kern w:val="2"/>
          <w:szCs w:val="21"/>
          <w:highlight w:val="none"/>
        </w:rPr>
      </w:pPr>
      <w:r>
        <w:rPr>
          <w:rFonts w:cs="Times New Roman"/>
          <w:kern w:val="2"/>
          <w:szCs w:val="21"/>
          <w:highlight w:val="none"/>
        </w:rPr>
        <w:t>8.阻碍、抗拒主管部门监督检查的；</w:t>
      </w:r>
    </w:p>
    <w:p>
      <w:pPr>
        <w:widowControl w:val="0"/>
        <w:shd w:val="clear" w:color="auto" w:fill="auto"/>
        <w:tabs>
          <w:tab w:val="clear" w:pos="426"/>
        </w:tabs>
        <w:adjustRightInd/>
        <w:snapToGrid/>
        <w:spacing w:line="240" w:lineRule="auto"/>
        <w:ind w:firstLine="420" w:firstLineChars="200"/>
        <w:rPr>
          <w:rFonts w:cs="Times New Roman"/>
          <w:kern w:val="2"/>
          <w:szCs w:val="21"/>
          <w:highlight w:val="none"/>
        </w:rPr>
      </w:pPr>
      <w:r>
        <w:rPr>
          <w:rFonts w:cs="Times New Roman"/>
          <w:kern w:val="2"/>
          <w:szCs w:val="21"/>
          <w:highlight w:val="none"/>
        </w:rPr>
        <w:t>9.其他违反本条例规定的行为。</w:t>
      </w:r>
    </w:p>
    <w:p>
      <w:pPr>
        <w:widowControl w:val="0"/>
        <w:shd w:val="clear" w:color="auto" w:fill="auto"/>
        <w:tabs>
          <w:tab w:val="clear" w:pos="426"/>
        </w:tabs>
        <w:adjustRightInd/>
        <w:snapToGrid/>
        <w:spacing w:line="240" w:lineRule="auto"/>
        <w:ind w:firstLine="420" w:firstLineChars="200"/>
        <w:rPr>
          <w:rFonts w:cs="Times New Roman"/>
          <w:kern w:val="2"/>
          <w:szCs w:val="21"/>
          <w:highlight w:val="none"/>
        </w:rPr>
      </w:pPr>
      <w:r>
        <w:rPr>
          <w:rFonts w:hint="eastAsia" w:cs="Times New Roman"/>
          <w:kern w:val="2"/>
          <w:szCs w:val="21"/>
          <w:highlight w:val="none"/>
        </w:rPr>
        <w:t>（六）</w:t>
      </w:r>
      <w:r>
        <w:rPr>
          <w:rFonts w:cs="Times New Roman"/>
          <w:kern w:val="2"/>
          <w:szCs w:val="21"/>
          <w:highlight w:val="none"/>
        </w:rPr>
        <w:t xml:space="preserve"> 供应商必须诚信投标，对项目需求进行实质性响应。采购单位（或深圳市政府采购中心）将组织聘请第三方专业机构（必要时，邀请参加本项目投标的供应商）实施项目履约验收，如未按合同履约，将按上述第（五）条规定进行处理。</w:t>
      </w:r>
    </w:p>
    <w:p>
      <w:pPr>
        <w:widowControl w:val="0"/>
        <w:shd w:val="clear" w:color="auto" w:fill="auto"/>
        <w:tabs>
          <w:tab w:val="clear" w:pos="426"/>
        </w:tabs>
        <w:adjustRightInd/>
        <w:snapToGrid/>
        <w:spacing w:line="240" w:lineRule="auto"/>
        <w:ind w:firstLine="420" w:firstLineChars="200"/>
        <w:rPr>
          <w:rFonts w:cs="Times New Roman"/>
          <w:kern w:val="2"/>
          <w:szCs w:val="21"/>
          <w:highlight w:val="none"/>
        </w:rPr>
      </w:pPr>
    </w:p>
    <w:p>
      <w:pPr>
        <w:widowControl w:val="0"/>
        <w:shd w:val="clear" w:color="auto" w:fill="auto"/>
        <w:tabs>
          <w:tab w:val="clear" w:pos="426"/>
        </w:tabs>
        <w:adjustRightInd/>
        <w:snapToGrid/>
        <w:spacing w:line="240" w:lineRule="auto"/>
        <w:ind w:firstLine="420" w:firstLineChars="200"/>
        <w:rPr>
          <w:rFonts w:cs="Times New Roman"/>
          <w:kern w:val="2"/>
          <w:szCs w:val="21"/>
          <w:highlight w:val="none"/>
        </w:rPr>
      </w:pPr>
    </w:p>
    <w:p>
      <w:pPr>
        <w:widowControl w:val="0"/>
        <w:shd w:val="clear" w:color="auto" w:fill="auto"/>
        <w:tabs>
          <w:tab w:val="clear" w:pos="426"/>
        </w:tabs>
        <w:adjustRightInd/>
        <w:snapToGrid/>
        <w:spacing w:line="240" w:lineRule="auto"/>
        <w:ind w:firstLine="420" w:firstLineChars="200"/>
        <w:rPr>
          <w:rFonts w:cs="Times New Roman"/>
          <w:kern w:val="2"/>
          <w:szCs w:val="21"/>
          <w:highlight w:val="none"/>
        </w:rPr>
      </w:pPr>
    </w:p>
    <w:p>
      <w:pPr>
        <w:shd w:val="clear" w:color="auto" w:fill="auto"/>
        <w:tabs>
          <w:tab w:val="clear" w:pos="426"/>
        </w:tabs>
        <w:adjustRightInd/>
        <w:snapToGrid/>
        <w:spacing w:line="240" w:lineRule="auto"/>
        <w:jc w:val="left"/>
        <w:rPr>
          <w:b/>
          <w:sz w:val="24"/>
          <w:highlight w:val="none"/>
        </w:rPr>
      </w:pPr>
      <w:r>
        <w:rPr>
          <w:b/>
          <w:sz w:val="24"/>
          <w:highlight w:val="none"/>
        </w:rPr>
        <w:br w:type="page"/>
      </w:r>
    </w:p>
    <w:p>
      <w:pPr>
        <w:tabs>
          <w:tab w:val="clear" w:pos="426"/>
        </w:tabs>
        <w:jc w:val="center"/>
        <w:rPr>
          <w:b/>
          <w:sz w:val="24"/>
          <w:highlight w:val="none"/>
        </w:rPr>
      </w:pPr>
    </w:p>
    <w:p>
      <w:pPr>
        <w:tabs>
          <w:tab w:val="clear" w:pos="426"/>
        </w:tabs>
        <w:jc w:val="center"/>
        <w:rPr>
          <w:b/>
          <w:sz w:val="24"/>
          <w:highlight w:val="none"/>
        </w:rPr>
      </w:pPr>
      <w:r>
        <w:rPr>
          <w:rFonts w:hint="eastAsia"/>
          <w:b/>
          <w:sz w:val="24"/>
          <w:highlight w:val="none"/>
        </w:rPr>
        <w:t>二、合同条款及格式（仅供参考）</w:t>
      </w:r>
    </w:p>
    <w:p>
      <w:pPr>
        <w:tabs>
          <w:tab w:val="clear" w:pos="426"/>
        </w:tabs>
        <w:jc w:val="center"/>
        <w:rPr>
          <w:b/>
          <w:sz w:val="24"/>
          <w:highlight w:val="none"/>
        </w:rPr>
      </w:pPr>
    </w:p>
    <w:p>
      <w:pPr>
        <w:tabs>
          <w:tab w:val="clear" w:pos="426"/>
        </w:tabs>
        <w:jc w:val="center"/>
        <w:rPr>
          <w:b/>
          <w:sz w:val="24"/>
          <w:highlight w:val="none"/>
        </w:rPr>
      </w:pPr>
      <w:r>
        <w:rPr>
          <w:rFonts w:hint="eastAsia"/>
          <w:b/>
          <w:sz w:val="24"/>
          <w:highlight w:val="none"/>
        </w:rPr>
        <w:t>有专业类别的格式合同范本请选择相应的合同</w:t>
      </w:r>
    </w:p>
    <w:p>
      <w:pPr>
        <w:pStyle w:val="5"/>
        <w:rPr>
          <w:highlight w:val="none"/>
        </w:rPr>
      </w:pPr>
      <w:bookmarkStart w:id="44" w:name="_Toc12610127"/>
      <w:r>
        <w:rPr>
          <w:rFonts w:hint="eastAsia"/>
          <w:highlight w:val="none"/>
        </w:rPr>
        <w:t>一、合同条款及格式</w:t>
      </w:r>
      <w:bookmarkEnd w:id="44"/>
    </w:p>
    <w:p>
      <w:pPr>
        <w:jc w:val="center"/>
        <w:rPr>
          <w:szCs w:val="21"/>
          <w:highlight w:val="none"/>
        </w:rPr>
      </w:pPr>
      <w:r>
        <w:rPr>
          <w:rFonts w:hint="eastAsia"/>
          <w:szCs w:val="21"/>
          <w:highlight w:val="none"/>
        </w:rPr>
        <w:t>（供参考）</w:t>
      </w:r>
    </w:p>
    <w:p>
      <w:pPr>
        <w:rPr>
          <w:szCs w:val="21"/>
          <w:highlight w:val="none"/>
        </w:rPr>
      </w:pPr>
      <w:r>
        <w:rPr>
          <w:rFonts w:hint="eastAsia"/>
          <w:szCs w:val="21"/>
          <w:highlight w:val="none"/>
        </w:rPr>
        <w:t>供方：</w:t>
      </w:r>
    </w:p>
    <w:p>
      <w:pPr>
        <w:rPr>
          <w:szCs w:val="21"/>
          <w:highlight w:val="none"/>
        </w:rPr>
      </w:pPr>
    </w:p>
    <w:p>
      <w:pPr>
        <w:rPr>
          <w:szCs w:val="21"/>
          <w:highlight w:val="none"/>
        </w:rPr>
      </w:pPr>
      <w:r>
        <w:rPr>
          <w:rFonts w:hint="eastAsia"/>
          <w:szCs w:val="21"/>
          <w:highlight w:val="none"/>
        </w:rPr>
        <w:t>需方：</w:t>
      </w:r>
    </w:p>
    <w:p>
      <w:pPr>
        <w:rPr>
          <w:szCs w:val="21"/>
          <w:highlight w:val="none"/>
        </w:rPr>
      </w:pPr>
    </w:p>
    <w:p>
      <w:pPr>
        <w:rPr>
          <w:szCs w:val="21"/>
          <w:highlight w:val="none"/>
        </w:rPr>
      </w:pPr>
      <w:r>
        <w:rPr>
          <w:rFonts w:hint="eastAsia"/>
          <w:szCs w:val="21"/>
          <w:highlight w:val="none"/>
        </w:rPr>
        <w:t>供、需双方根据年月日招标的结果和“招标文件”的要求，并经双方协调一致，达成本购销合同：</w:t>
      </w:r>
    </w:p>
    <w:p>
      <w:pPr>
        <w:rPr>
          <w:szCs w:val="21"/>
          <w:highlight w:val="none"/>
        </w:rPr>
      </w:pPr>
      <w:r>
        <w:rPr>
          <w:rFonts w:hint="eastAsia"/>
          <w:szCs w:val="21"/>
          <w:highlight w:val="none"/>
        </w:rPr>
        <w:t>一、设备名称：</w:t>
      </w:r>
    </w:p>
    <w:p>
      <w:pPr>
        <w:rPr>
          <w:szCs w:val="21"/>
          <w:highlight w:val="none"/>
        </w:rPr>
      </w:pPr>
      <w:r>
        <w:rPr>
          <w:rFonts w:hint="eastAsia"/>
          <w:szCs w:val="21"/>
          <w:highlight w:val="none"/>
        </w:rPr>
        <w:t>设备型号：</w:t>
      </w:r>
    </w:p>
    <w:p>
      <w:pPr>
        <w:rPr>
          <w:szCs w:val="21"/>
          <w:highlight w:val="none"/>
        </w:rPr>
      </w:pPr>
      <w:r>
        <w:rPr>
          <w:rFonts w:hint="eastAsia"/>
          <w:szCs w:val="21"/>
          <w:highlight w:val="none"/>
        </w:rPr>
        <w:t>设备产地及厂家：</w:t>
      </w:r>
    </w:p>
    <w:p>
      <w:pPr>
        <w:rPr>
          <w:szCs w:val="21"/>
          <w:highlight w:val="none"/>
        </w:rPr>
      </w:pPr>
      <w:r>
        <w:rPr>
          <w:rFonts w:hint="eastAsia"/>
          <w:szCs w:val="21"/>
          <w:highlight w:val="none"/>
        </w:rPr>
        <w:t>设备单价：</w:t>
      </w:r>
    </w:p>
    <w:p>
      <w:pPr>
        <w:rPr>
          <w:szCs w:val="21"/>
          <w:highlight w:val="none"/>
        </w:rPr>
      </w:pPr>
      <w:r>
        <w:rPr>
          <w:rFonts w:hint="eastAsia"/>
          <w:szCs w:val="21"/>
          <w:highlight w:val="none"/>
        </w:rPr>
        <w:t>设备数量：</w:t>
      </w:r>
    </w:p>
    <w:p>
      <w:pPr>
        <w:rPr>
          <w:szCs w:val="21"/>
          <w:highlight w:val="none"/>
        </w:rPr>
      </w:pPr>
      <w:r>
        <w:rPr>
          <w:rFonts w:hint="eastAsia"/>
          <w:szCs w:val="21"/>
          <w:highlight w:val="none"/>
        </w:rPr>
        <w:t>合同总价：</w:t>
      </w:r>
    </w:p>
    <w:p>
      <w:pPr>
        <w:rPr>
          <w:szCs w:val="21"/>
          <w:highlight w:val="none"/>
        </w:rPr>
      </w:pPr>
      <w:r>
        <w:rPr>
          <w:rFonts w:hint="eastAsia"/>
          <w:szCs w:val="21"/>
          <w:highlight w:val="none"/>
        </w:rPr>
        <w:t>本合同以人民币进行结算，该价格为深圳工地价。</w:t>
      </w:r>
    </w:p>
    <w:p>
      <w:pPr>
        <w:rPr>
          <w:szCs w:val="21"/>
          <w:highlight w:val="none"/>
        </w:rPr>
      </w:pPr>
      <w:r>
        <w:rPr>
          <w:rFonts w:hint="eastAsia"/>
          <w:szCs w:val="21"/>
          <w:highlight w:val="none"/>
        </w:rPr>
        <w:t>二、设备质量要求及供方对质量负责条件和期限：</w:t>
      </w:r>
    </w:p>
    <w:p>
      <w:pPr>
        <w:rPr>
          <w:szCs w:val="21"/>
          <w:highlight w:val="none"/>
        </w:rPr>
      </w:pPr>
      <w:r>
        <w:rPr>
          <w:rFonts w:hint="eastAsia"/>
          <w:szCs w:val="21"/>
          <w:highlight w:val="none"/>
        </w:rPr>
        <w:t>供方提供的设备必须是全新的设备（包括零部件）。有关设备必须符合国家检测标准，或具有有关质检部门出具的产品检验合格证明。</w:t>
      </w:r>
    </w:p>
    <w:p>
      <w:pPr>
        <w:rPr>
          <w:szCs w:val="21"/>
          <w:highlight w:val="none"/>
        </w:rPr>
      </w:pPr>
      <w:r>
        <w:rPr>
          <w:rFonts w:hint="eastAsia"/>
          <w:szCs w:val="21"/>
          <w:highlight w:val="none"/>
        </w:rPr>
        <w:t>供方对所提供的设备须提供 年的维修保养期，保养期内非因需方的人为原因而出现质量问题，由供方负责。供方负责包修、包换或者包退，并承担修理、调换或退货的实际费用。供方不能修理或不能调换，按不能交货处理。</w:t>
      </w:r>
    </w:p>
    <w:p>
      <w:pPr>
        <w:rPr>
          <w:szCs w:val="21"/>
          <w:highlight w:val="none"/>
        </w:rPr>
      </w:pPr>
      <w:r>
        <w:rPr>
          <w:rFonts w:hint="eastAsia"/>
          <w:szCs w:val="21"/>
          <w:highlight w:val="none"/>
        </w:rPr>
        <w:t>三、若供方提供进口设备，则须提供合法的进口手续和商检证明。</w:t>
      </w:r>
    </w:p>
    <w:p>
      <w:pPr>
        <w:rPr>
          <w:szCs w:val="21"/>
          <w:highlight w:val="none"/>
        </w:rPr>
      </w:pPr>
      <w:r>
        <w:rPr>
          <w:rFonts w:hint="eastAsia"/>
          <w:szCs w:val="21"/>
          <w:highlight w:val="none"/>
        </w:rPr>
        <w:t>四、交货时间、地点、方式：</w:t>
      </w:r>
    </w:p>
    <w:p>
      <w:pPr>
        <w:rPr>
          <w:szCs w:val="21"/>
          <w:highlight w:val="none"/>
        </w:rPr>
      </w:pPr>
      <w:r>
        <w:rPr>
          <w:rFonts w:hint="eastAsia"/>
          <w:szCs w:val="21"/>
          <w:highlight w:val="none"/>
        </w:rPr>
        <w:t>合同签订后日内，供方负责将设备在深圳工地安装调试，由需方负责验收。设备运送产生的费用由供方负责。</w:t>
      </w:r>
    </w:p>
    <w:p>
      <w:pPr>
        <w:rPr>
          <w:szCs w:val="21"/>
          <w:highlight w:val="none"/>
        </w:rPr>
      </w:pPr>
      <w:r>
        <w:rPr>
          <w:rFonts w:hint="eastAsia"/>
          <w:szCs w:val="21"/>
          <w:highlight w:val="none"/>
        </w:rPr>
        <w:t>五、供方应随设备向需方交付设备使用说明书及相关资料。</w:t>
      </w:r>
    </w:p>
    <w:p>
      <w:pPr>
        <w:rPr>
          <w:szCs w:val="21"/>
          <w:highlight w:val="none"/>
        </w:rPr>
      </w:pPr>
      <w:r>
        <w:rPr>
          <w:rFonts w:hint="eastAsia"/>
          <w:szCs w:val="21"/>
          <w:highlight w:val="none"/>
        </w:rPr>
        <w:t>六、付款方式：若采购资金属于财政直接支付的，按照深圳市南山区财政局有关规定办理。</w:t>
      </w:r>
    </w:p>
    <w:p>
      <w:pPr>
        <w:rPr>
          <w:szCs w:val="21"/>
          <w:highlight w:val="none"/>
        </w:rPr>
      </w:pPr>
      <w:r>
        <w:rPr>
          <w:rFonts w:hint="eastAsia"/>
          <w:szCs w:val="21"/>
          <w:highlight w:val="none"/>
        </w:rPr>
        <w:t>七、违约责任：</w:t>
      </w:r>
    </w:p>
    <w:p>
      <w:pPr>
        <w:rPr>
          <w:szCs w:val="21"/>
          <w:highlight w:val="none"/>
        </w:rPr>
      </w:pPr>
      <w:r>
        <w:rPr>
          <w:rFonts w:hint="eastAsia"/>
          <w:szCs w:val="21"/>
          <w:highlight w:val="none"/>
        </w:rPr>
        <w:t>需方无正当理由拒收设备、拒付设备款的，需方向供方偿付设备总值的百分之十违约金。</w:t>
      </w:r>
    </w:p>
    <w:p>
      <w:pPr>
        <w:rPr>
          <w:szCs w:val="21"/>
          <w:highlight w:val="none"/>
        </w:rPr>
      </w:pPr>
      <w:r>
        <w:rPr>
          <w:rFonts w:hint="eastAsia"/>
          <w:szCs w:val="21"/>
          <w:highlight w:val="none"/>
        </w:rPr>
        <w:t>需方逾期付设备款的，需方向供方每日偿付欠款总额千分之五的违约金。</w:t>
      </w:r>
    </w:p>
    <w:p>
      <w:pPr>
        <w:rPr>
          <w:szCs w:val="21"/>
          <w:highlight w:val="none"/>
        </w:rPr>
      </w:pPr>
      <w:r>
        <w:rPr>
          <w:rFonts w:hint="eastAsia"/>
          <w:szCs w:val="21"/>
          <w:highlight w:val="none"/>
        </w:rPr>
        <w:t>供方所交的设备品种、型号、规格、质量不符合同规定标准的，需方有权拒绝收货。供方向需方偿付设备总值百分之十的违约金。</w:t>
      </w:r>
    </w:p>
    <w:p>
      <w:pPr>
        <w:rPr>
          <w:szCs w:val="21"/>
          <w:highlight w:val="none"/>
        </w:rPr>
      </w:pPr>
      <w:r>
        <w:rPr>
          <w:rFonts w:hint="eastAsia"/>
          <w:szCs w:val="21"/>
          <w:highlight w:val="none"/>
        </w:rPr>
        <w:t>供方不能交付设备的，供方向需方支付设备总值百分之十的违约金。</w:t>
      </w:r>
    </w:p>
    <w:p>
      <w:pPr>
        <w:rPr>
          <w:szCs w:val="21"/>
          <w:highlight w:val="none"/>
        </w:rPr>
      </w:pPr>
      <w:r>
        <w:rPr>
          <w:rFonts w:hint="eastAsia"/>
          <w:szCs w:val="21"/>
          <w:highlight w:val="none"/>
        </w:rPr>
        <w:t>供方逾期未交付设备的，供方向需方每日偿付设备款千分之五违约金。</w:t>
      </w:r>
    </w:p>
    <w:p>
      <w:pPr>
        <w:rPr>
          <w:szCs w:val="21"/>
          <w:highlight w:val="none"/>
        </w:rPr>
      </w:pPr>
      <w:r>
        <w:rPr>
          <w:rFonts w:hint="eastAsia"/>
          <w:szCs w:val="21"/>
          <w:highlight w:val="none"/>
        </w:rPr>
        <w:t>八、因设备的质量问题发生争议，由国家和市政府认可的技术单位进行质量鉴定，该鉴定结论是终局的，供需双方应当接受。</w:t>
      </w:r>
    </w:p>
    <w:p>
      <w:pPr>
        <w:rPr>
          <w:szCs w:val="21"/>
          <w:highlight w:val="none"/>
        </w:rPr>
      </w:pPr>
      <w:r>
        <w:rPr>
          <w:rFonts w:hint="eastAsia"/>
          <w:szCs w:val="21"/>
          <w:highlight w:val="none"/>
        </w:rPr>
        <w:t>九、本合同发生争议产生的诉讼，由合同签订所在地人民法院管辖。</w:t>
      </w:r>
    </w:p>
    <w:p>
      <w:pPr>
        <w:rPr>
          <w:szCs w:val="21"/>
          <w:highlight w:val="none"/>
        </w:rPr>
      </w:pPr>
      <w:r>
        <w:rPr>
          <w:rFonts w:hint="eastAsia"/>
          <w:szCs w:val="21"/>
          <w:highlight w:val="none"/>
        </w:rPr>
        <w:t>十、本合同一式份，供需双方各执一份，均具同等法律。在合同签订后，应按政府采购有关规定，到南山区政府采购及招标中心办理备案手续。</w:t>
      </w:r>
    </w:p>
    <w:p>
      <w:pPr>
        <w:rPr>
          <w:szCs w:val="21"/>
          <w:highlight w:val="none"/>
        </w:rPr>
      </w:pPr>
      <w:r>
        <w:rPr>
          <w:rFonts w:hint="eastAsia"/>
          <w:szCs w:val="21"/>
          <w:highlight w:val="none"/>
        </w:rPr>
        <w:t>供方：需方：</w:t>
      </w:r>
    </w:p>
    <w:p>
      <w:pPr>
        <w:rPr>
          <w:szCs w:val="21"/>
          <w:highlight w:val="none"/>
        </w:rPr>
      </w:pPr>
      <w:r>
        <w:rPr>
          <w:rFonts w:hint="eastAsia"/>
          <w:szCs w:val="21"/>
          <w:highlight w:val="none"/>
        </w:rPr>
        <w:t>地址：地址：</w:t>
      </w:r>
    </w:p>
    <w:p>
      <w:pPr>
        <w:rPr>
          <w:szCs w:val="21"/>
          <w:highlight w:val="none"/>
        </w:rPr>
      </w:pPr>
      <w:r>
        <w:rPr>
          <w:rFonts w:hint="eastAsia"/>
          <w:szCs w:val="21"/>
          <w:highlight w:val="none"/>
        </w:rPr>
        <w:t>法定代表人：法定代表人：</w:t>
      </w:r>
    </w:p>
    <w:p>
      <w:pPr>
        <w:rPr>
          <w:szCs w:val="21"/>
          <w:highlight w:val="none"/>
        </w:rPr>
      </w:pPr>
      <w:r>
        <w:rPr>
          <w:rFonts w:hint="eastAsia"/>
          <w:szCs w:val="21"/>
          <w:highlight w:val="none"/>
        </w:rPr>
        <w:t>委托代理人：委托代理人：</w:t>
      </w:r>
    </w:p>
    <w:p>
      <w:pPr>
        <w:rPr>
          <w:szCs w:val="21"/>
          <w:highlight w:val="none"/>
        </w:rPr>
      </w:pPr>
      <w:r>
        <w:rPr>
          <w:rFonts w:hint="eastAsia"/>
          <w:szCs w:val="21"/>
          <w:highlight w:val="none"/>
        </w:rPr>
        <w:t>电话：电话：</w:t>
      </w:r>
    </w:p>
    <w:p>
      <w:pPr>
        <w:rPr>
          <w:szCs w:val="21"/>
          <w:highlight w:val="none"/>
        </w:rPr>
      </w:pPr>
      <w:r>
        <w:rPr>
          <w:rFonts w:hint="eastAsia"/>
          <w:szCs w:val="21"/>
          <w:highlight w:val="none"/>
        </w:rPr>
        <w:t>开户银行：开户银行：</w:t>
      </w:r>
    </w:p>
    <w:p>
      <w:pPr>
        <w:rPr>
          <w:szCs w:val="21"/>
          <w:highlight w:val="none"/>
        </w:rPr>
      </w:pPr>
      <w:r>
        <w:rPr>
          <w:rFonts w:hint="eastAsia"/>
          <w:szCs w:val="21"/>
          <w:highlight w:val="none"/>
        </w:rPr>
        <w:t>帐号：帐号：</w:t>
      </w:r>
    </w:p>
    <w:p>
      <w:pPr>
        <w:rPr>
          <w:szCs w:val="21"/>
          <w:highlight w:val="none"/>
        </w:rPr>
      </w:pPr>
      <w:r>
        <w:rPr>
          <w:rFonts w:hint="eastAsia"/>
          <w:szCs w:val="21"/>
          <w:highlight w:val="none"/>
        </w:rPr>
        <w:t>签约时间：年月日</w:t>
      </w:r>
    </w:p>
    <w:p>
      <w:pPr>
        <w:ind w:firstLine="420" w:firstLineChars="200"/>
        <w:rPr>
          <w:szCs w:val="21"/>
          <w:highlight w:val="none"/>
        </w:rPr>
      </w:pPr>
      <w:r>
        <w:rPr>
          <w:rFonts w:hint="eastAsia"/>
          <w:szCs w:val="21"/>
          <w:highlight w:val="none"/>
        </w:rPr>
        <w:t>签约地址：</w:t>
      </w:r>
    </w:p>
    <w:p>
      <w:pPr>
        <w:shd w:val="clear" w:color="auto" w:fill="auto"/>
        <w:tabs>
          <w:tab w:val="clear" w:pos="426"/>
        </w:tabs>
        <w:adjustRightInd/>
        <w:snapToGrid/>
        <w:spacing w:line="240" w:lineRule="auto"/>
        <w:jc w:val="left"/>
        <w:rPr>
          <w:color w:val="000000"/>
          <w:sz w:val="24"/>
          <w:highlight w:val="none"/>
        </w:rPr>
      </w:pPr>
    </w:p>
    <w:p>
      <w:pPr>
        <w:shd w:val="clear" w:color="auto" w:fill="auto"/>
        <w:tabs>
          <w:tab w:val="clear" w:pos="426"/>
        </w:tabs>
        <w:adjustRightInd/>
        <w:snapToGrid/>
        <w:spacing w:line="240" w:lineRule="auto"/>
        <w:jc w:val="left"/>
        <w:rPr>
          <w:color w:val="000000"/>
          <w:sz w:val="24"/>
          <w:highlight w:val="none"/>
        </w:rPr>
      </w:pPr>
    </w:p>
    <w:p>
      <w:pPr>
        <w:shd w:val="clear" w:color="auto" w:fill="auto"/>
        <w:tabs>
          <w:tab w:val="clear" w:pos="426"/>
        </w:tabs>
        <w:adjustRightInd/>
        <w:snapToGrid/>
        <w:spacing w:line="240" w:lineRule="auto"/>
        <w:jc w:val="left"/>
        <w:rPr>
          <w:color w:val="000000"/>
          <w:sz w:val="24"/>
          <w:highlight w:val="none"/>
        </w:rPr>
      </w:pPr>
      <w:r>
        <w:rPr>
          <w:color w:val="000000"/>
          <w:sz w:val="24"/>
          <w:highlight w:val="none"/>
        </w:rPr>
        <w:br w:type="page"/>
      </w:r>
    </w:p>
    <w:p>
      <w:pPr>
        <w:tabs>
          <w:tab w:val="clear" w:pos="426"/>
        </w:tabs>
        <w:jc w:val="center"/>
        <w:rPr>
          <w:b/>
          <w:sz w:val="24"/>
          <w:highlight w:val="none"/>
        </w:rPr>
      </w:pPr>
    </w:p>
    <w:p>
      <w:pPr>
        <w:tabs>
          <w:tab w:val="clear" w:pos="426"/>
        </w:tabs>
        <w:jc w:val="center"/>
        <w:rPr>
          <w:b/>
          <w:sz w:val="24"/>
          <w:highlight w:val="none"/>
        </w:rPr>
      </w:pPr>
      <w:r>
        <w:rPr>
          <w:rFonts w:hint="eastAsia"/>
          <w:b/>
          <w:sz w:val="24"/>
          <w:highlight w:val="none"/>
        </w:rPr>
        <w:t>三、履约担保</w:t>
      </w:r>
    </w:p>
    <w:p>
      <w:pPr>
        <w:tabs>
          <w:tab w:val="clear" w:pos="426"/>
        </w:tabs>
        <w:ind w:left="6094" w:leftChars="2902"/>
        <w:rPr>
          <w:sz w:val="22"/>
          <w:szCs w:val="22"/>
          <w:highlight w:val="none"/>
        </w:rPr>
      </w:pPr>
    </w:p>
    <w:p>
      <w:pPr>
        <w:tabs>
          <w:tab w:val="clear" w:pos="426"/>
        </w:tabs>
        <w:ind w:left="6094" w:leftChars="2902"/>
        <w:rPr>
          <w:highlight w:val="none"/>
          <w:u w:val="single"/>
        </w:rPr>
      </w:pPr>
      <w:r>
        <w:rPr>
          <w:rFonts w:hint="eastAsia"/>
          <w:sz w:val="22"/>
          <w:szCs w:val="22"/>
          <w:highlight w:val="none"/>
        </w:rPr>
        <w:t>保函编号：</w:t>
      </w:r>
    </w:p>
    <w:p>
      <w:pPr>
        <w:tabs>
          <w:tab w:val="clear" w:pos="426"/>
        </w:tabs>
        <w:rPr>
          <w:sz w:val="22"/>
          <w:szCs w:val="22"/>
          <w:highlight w:val="none"/>
        </w:rPr>
      </w:pPr>
      <w:r>
        <w:rPr>
          <w:rFonts w:hint="eastAsia"/>
          <w:sz w:val="22"/>
          <w:szCs w:val="22"/>
          <w:highlight w:val="none"/>
        </w:rPr>
        <w:t xml:space="preserve">致：: </w:t>
      </w:r>
    </w:p>
    <w:p>
      <w:pPr>
        <w:tabs>
          <w:tab w:val="clear" w:pos="426"/>
        </w:tabs>
        <w:rPr>
          <w:highlight w:val="none"/>
        </w:rPr>
      </w:pPr>
      <w:r>
        <w:rPr>
          <w:rFonts w:hint="eastAsia"/>
          <w:highlight w:val="none"/>
        </w:rPr>
        <w:t xml:space="preserve">鉴于 </w:t>
      </w:r>
      <w:r>
        <w:rPr>
          <w:rFonts w:hint="eastAsia"/>
          <w:highlight w:val="none"/>
          <w:u w:val="single"/>
        </w:rPr>
        <w:t xml:space="preserve">     （被保护人)       </w:t>
      </w:r>
      <w:r>
        <w:rPr>
          <w:rFonts w:hint="eastAsia"/>
          <w:highlight w:val="none"/>
        </w:rPr>
        <w:t>已于贵方签订了</w:t>
      </w:r>
      <w:r>
        <w:rPr>
          <w:rFonts w:hint="eastAsia"/>
          <w:highlight w:val="none"/>
          <w:u w:val="single"/>
        </w:rPr>
        <w:t>（项目名称）（招标项目编号：      ）</w:t>
      </w:r>
      <w:r>
        <w:rPr>
          <w:rFonts w:hint="eastAsia"/>
          <w:highlight w:val="none"/>
        </w:rPr>
        <w:t>的</w:t>
      </w:r>
      <w:r>
        <w:rPr>
          <w:rFonts w:hint="eastAsia"/>
          <w:highlight w:val="none"/>
          <w:u w:val="single"/>
        </w:rPr>
        <w:t>（采购合同名称）</w:t>
      </w:r>
      <w:r>
        <w:rPr>
          <w:rFonts w:hint="eastAsia"/>
          <w:highlight w:val="none"/>
        </w:rPr>
        <w:t>采购合同（下称合同)，工期自</w:t>
      </w:r>
      <w:r>
        <w:rPr>
          <w:rFonts w:hint="eastAsia"/>
          <w:highlight w:val="none"/>
          <w:u w:val="single"/>
        </w:rPr>
        <w:t xml:space="preserve">       年   月   日</w:t>
      </w:r>
      <w:r>
        <w:rPr>
          <w:rFonts w:hint="eastAsia"/>
          <w:highlight w:val="none"/>
        </w:rPr>
        <w:t>至</w:t>
      </w:r>
      <w:r>
        <w:rPr>
          <w:rFonts w:hint="eastAsia"/>
          <w:highlight w:val="none"/>
          <w:u w:val="single"/>
        </w:rPr>
        <w:t xml:space="preserve">       年   月   日</w:t>
      </w:r>
      <w:r>
        <w:rPr>
          <w:rFonts w:hint="eastAsia"/>
          <w:highlight w:val="none"/>
        </w:rPr>
        <w:t>。我方接受被保证人的委托，在此向受益人提供不可撤销的履约保函：</w:t>
      </w:r>
    </w:p>
    <w:p>
      <w:pPr>
        <w:tabs>
          <w:tab w:val="clear" w:pos="426"/>
        </w:tabs>
        <w:rPr>
          <w:highlight w:val="none"/>
        </w:rPr>
      </w:pPr>
      <w:r>
        <w:rPr>
          <w:rFonts w:hint="eastAsia"/>
          <w:highlight w:val="none"/>
        </w:rPr>
        <w:t>1．本保证担保的最高担保金额为人民币</w:t>
      </w:r>
      <w:r>
        <w:rPr>
          <w:rFonts w:hint="eastAsia"/>
          <w:highlight w:val="none"/>
          <w:u w:val="single"/>
        </w:rPr>
        <w:t xml:space="preserve">   （小写)    </w:t>
      </w:r>
      <w:r>
        <w:rPr>
          <w:rFonts w:hint="eastAsia"/>
          <w:highlight w:val="none"/>
        </w:rPr>
        <w:t>元（</w:t>
      </w:r>
      <w:r>
        <w:rPr>
          <w:rFonts w:hint="eastAsia"/>
          <w:highlight w:val="none"/>
          <w:u w:val="single"/>
        </w:rPr>
        <w:t xml:space="preserve">   （大写)     </w:t>
      </w:r>
      <w:r>
        <w:rPr>
          <w:rFonts w:hint="eastAsia"/>
          <w:highlight w:val="none"/>
        </w:rPr>
        <w:t>元）。</w:t>
      </w:r>
    </w:p>
    <w:p>
      <w:pPr>
        <w:tabs>
          <w:tab w:val="clear" w:pos="426"/>
        </w:tabs>
        <w:rPr>
          <w:highlight w:val="none"/>
        </w:rPr>
      </w:pPr>
      <w:r>
        <w:rPr>
          <w:rFonts w:hint="eastAsia"/>
          <w:highlight w:val="none"/>
        </w:rPr>
        <w:t>2．本保证担保的保证期间自</w:t>
      </w:r>
      <w:r>
        <w:rPr>
          <w:rFonts w:hint="eastAsia"/>
          <w:highlight w:val="none"/>
          <w:u w:val="single"/>
        </w:rPr>
        <w:t xml:space="preserve">        年    月   日</w:t>
      </w:r>
      <w:r>
        <w:rPr>
          <w:rFonts w:hint="eastAsia"/>
          <w:highlight w:val="none"/>
        </w:rPr>
        <w:t>至</w:t>
      </w:r>
      <w:r>
        <w:rPr>
          <w:rFonts w:hint="eastAsia"/>
          <w:highlight w:val="none"/>
          <w:u w:val="single"/>
        </w:rPr>
        <w:t xml:space="preserve">        年   月   日</w:t>
      </w:r>
      <w:r>
        <w:rPr>
          <w:rFonts w:hint="eastAsia"/>
          <w:highlight w:val="none"/>
        </w:rPr>
        <w:t>。</w:t>
      </w:r>
    </w:p>
    <w:p>
      <w:pPr>
        <w:tabs>
          <w:tab w:val="clear" w:pos="426"/>
        </w:tabs>
        <w:rPr>
          <w:highlight w:val="none"/>
        </w:rPr>
      </w:pPr>
      <w:r>
        <w:rPr>
          <w:rFonts w:hint="eastAsia"/>
          <w:highlight w:val="none"/>
        </w:rPr>
        <w:t>3．在本保证担保的保证期间内，我方将在收到</w:t>
      </w:r>
      <w:r>
        <w:rPr>
          <w:rFonts w:hint="eastAsia"/>
          <w:highlight w:val="none"/>
          <w:u w:val="single"/>
        </w:rPr>
        <w:t xml:space="preserve">      （受益人）     </w:t>
      </w:r>
      <w:r>
        <w:rPr>
          <w:rFonts w:hint="eastAsia"/>
          <w:highlight w:val="none"/>
        </w:rPr>
        <w:t>法定代表人或其授权委托代理人签字确认并加盖公章的书面索赔通知后个工作日内，不争辩、不挑剔、不可撤销地向受益人支付索赔款，直至本保证的最高担保金额。</w:t>
      </w:r>
    </w:p>
    <w:p>
      <w:pPr>
        <w:tabs>
          <w:tab w:val="clear" w:pos="426"/>
        </w:tabs>
        <w:rPr>
          <w:highlight w:val="none"/>
        </w:rPr>
      </w:pPr>
      <w:r>
        <w:rPr>
          <w:rFonts w:hint="eastAsia"/>
          <w:highlight w:val="none"/>
        </w:rPr>
        <w:t>4．索赔通知应当说明索赔理由、索赔款额的计算方法，并必须在本保证担保的保证期间内送达我方。</w:t>
      </w:r>
    </w:p>
    <w:p>
      <w:pPr>
        <w:tabs>
          <w:tab w:val="clear" w:pos="426"/>
        </w:tabs>
        <w:rPr>
          <w:highlight w:val="none"/>
        </w:rPr>
      </w:pPr>
      <w:r>
        <w:rPr>
          <w:rFonts w:hint="eastAsia"/>
          <w:highlight w:val="none"/>
        </w:rPr>
        <w:t>5．本保证担保项下的权利不得转让。</w:t>
      </w:r>
    </w:p>
    <w:p>
      <w:pPr>
        <w:tabs>
          <w:tab w:val="clear" w:pos="426"/>
        </w:tabs>
        <w:rPr>
          <w:highlight w:val="none"/>
        </w:rPr>
      </w:pPr>
      <w:r>
        <w:rPr>
          <w:rFonts w:hint="eastAsia"/>
          <w:highlight w:val="none"/>
        </w:rPr>
        <w:t>6．我方提供本保证担保后，受益人与被保证人对合同进行修订的，应当将修订后的合同原件送我方备案。</w:t>
      </w:r>
    </w:p>
    <w:p>
      <w:pPr>
        <w:tabs>
          <w:tab w:val="clear" w:pos="426"/>
        </w:tabs>
        <w:rPr>
          <w:highlight w:val="none"/>
        </w:rPr>
      </w:pPr>
      <w:r>
        <w:rPr>
          <w:rFonts w:hint="eastAsia"/>
          <w:highlight w:val="none"/>
        </w:rPr>
        <w:t>7．本保证担保的保证期间届满，或我方向受益人支付的索赔款已达本保证担保的最高担保金额，我方的保证责任免除。</w:t>
      </w:r>
    </w:p>
    <w:p>
      <w:pPr>
        <w:tabs>
          <w:tab w:val="clear" w:pos="426"/>
        </w:tabs>
        <w:rPr>
          <w:highlight w:val="none"/>
        </w:rPr>
      </w:pPr>
      <w:r>
        <w:rPr>
          <w:rFonts w:hint="eastAsia"/>
          <w:highlight w:val="none"/>
        </w:rPr>
        <w:t>8．本保证担保适用中华人民共和国法律。</w:t>
      </w:r>
    </w:p>
    <w:p>
      <w:pPr>
        <w:tabs>
          <w:tab w:val="clear" w:pos="426"/>
        </w:tabs>
        <w:rPr>
          <w:highlight w:val="none"/>
        </w:rPr>
      </w:pPr>
      <w:r>
        <w:rPr>
          <w:rFonts w:hint="eastAsia"/>
          <w:highlight w:val="none"/>
        </w:rPr>
        <w:t>9．本保证担保以中文文本为准，涂改无效。</w:t>
      </w:r>
    </w:p>
    <w:p>
      <w:pPr>
        <w:tabs>
          <w:tab w:val="clear" w:pos="426"/>
        </w:tabs>
        <w:rPr>
          <w:highlight w:val="none"/>
        </w:rPr>
      </w:pPr>
    </w:p>
    <w:p>
      <w:pPr>
        <w:tabs>
          <w:tab w:val="clear" w:pos="426"/>
        </w:tabs>
        <w:rPr>
          <w:highlight w:val="none"/>
        </w:rPr>
      </w:pPr>
      <w:r>
        <w:rPr>
          <w:rFonts w:hint="eastAsia"/>
          <w:highlight w:val="none"/>
        </w:rPr>
        <w:t>（本保函失效后，请将原件退回我方注销)</w:t>
      </w:r>
    </w:p>
    <w:p>
      <w:pPr>
        <w:tabs>
          <w:tab w:val="clear" w:pos="426"/>
        </w:tabs>
        <w:rPr>
          <w:highlight w:val="none"/>
        </w:rPr>
      </w:pPr>
    </w:p>
    <w:p>
      <w:pPr>
        <w:tabs>
          <w:tab w:val="clear" w:pos="426"/>
        </w:tabs>
        <w:rPr>
          <w:highlight w:val="none"/>
        </w:rPr>
      </w:pPr>
      <w:r>
        <w:rPr>
          <w:rFonts w:hint="eastAsia"/>
          <w:highlight w:val="none"/>
        </w:rPr>
        <w:t>保证人名称（公章)：</w:t>
      </w:r>
    </w:p>
    <w:p>
      <w:pPr>
        <w:tabs>
          <w:tab w:val="clear" w:pos="426"/>
        </w:tabs>
        <w:rPr>
          <w:highlight w:val="none"/>
        </w:rPr>
      </w:pPr>
      <w:r>
        <w:rPr>
          <w:rFonts w:hint="eastAsia"/>
          <w:highlight w:val="none"/>
        </w:rPr>
        <w:t>法定代表人或委托代理人（签字)：</w:t>
      </w:r>
    </w:p>
    <w:p>
      <w:pPr>
        <w:tabs>
          <w:tab w:val="clear" w:pos="426"/>
        </w:tabs>
        <w:rPr>
          <w:highlight w:val="none"/>
        </w:rPr>
      </w:pPr>
      <w:r>
        <w:rPr>
          <w:rFonts w:hint="eastAsia"/>
          <w:highlight w:val="none"/>
        </w:rPr>
        <w:t>单位地址：</w:t>
      </w:r>
    </w:p>
    <w:p>
      <w:pPr>
        <w:tabs>
          <w:tab w:val="clear" w:pos="426"/>
        </w:tabs>
        <w:rPr>
          <w:highlight w:val="none"/>
        </w:rPr>
      </w:pPr>
      <w:r>
        <w:rPr>
          <w:rFonts w:hint="eastAsia"/>
          <w:highlight w:val="none"/>
        </w:rPr>
        <w:t>电话：传真：</w:t>
      </w:r>
    </w:p>
    <w:p>
      <w:pPr>
        <w:tabs>
          <w:tab w:val="clear" w:pos="426"/>
        </w:tabs>
        <w:rPr>
          <w:highlight w:val="none"/>
        </w:rPr>
      </w:pPr>
      <w:r>
        <w:rPr>
          <w:rFonts w:hint="eastAsia"/>
          <w:highlight w:val="none"/>
        </w:rPr>
        <w:t>日期：</w:t>
      </w:r>
    </w:p>
    <w:p>
      <w:pPr>
        <w:tabs>
          <w:tab w:val="clear" w:pos="426"/>
        </w:tabs>
        <w:rPr>
          <w:highlight w:val="none"/>
        </w:rPr>
      </w:pPr>
    </w:p>
    <w:p>
      <w:pPr>
        <w:tabs>
          <w:tab w:val="clear" w:pos="426"/>
        </w:tabs>
        <w:rPr>
          <w:highlight w:val="none"/>
        </w:rPr>
      </w:pPr>
      <w:r>
        <w:rPr>
          <w:rFonts w:hint="eastAsia"/>
          <w:highlight w:val="none"/>
        </w:rPr>
        <w:t>说明：《履约担保》为中标后提交履约保函时所用，投标文件中无需提供《履约担保》。</w:t>
      </w:r>
    </w:p>
    <w:p>
      <w:pPr>
        <w:shd w:val="clear" w:color="auto" w:fill="auto"/>
        <w:tabs>
          <w:tab w:val="clear" w:pos="426"/>
        </w:tabs>
        <w:adjustRightInd/>
        <w:snapToGrid/>
        <w:spacing w:line="240" w:lineRule="auto"/>
        <w:jc w:val="left"/>
        <w:rPr>
          <w:highlight w:val="none"/>
        </w:rPr>
      </w:pPr>
      <w:r>
        <w:rPr>
          <w:highlight w:val="none"/>
        </w:rPr>
        <w:br w:type="page"/>
      </w:r>
    </w:p>
    <w:p>
      <w:pPr>
        <w:tabs>
          <w:tab w:val="clear" w:pos="426"/>
        </w:tabs>
        <w:rPr>
          <w:highlight w:val="none"/>
        </w:rPr>
      </w:pPr>
    </w:p>
    <w:p>
      <w:pPr>
        <w:tabs>
          <w:tab w:val="clear" w:pos="426"/>
        </w:tabs>
        <w:jc w:val="center"/>
        <w:rPr>
          <w:b/>
          <w:sz w:val="24"/>
          <w:highlight w:val="none"/>
        </w:rPr>
      </w:pPr>
      <w:r>
        <w:rPr>
          <w:rFonts w:hint="eastAsia"/>
          <w:b/>
          <w:sz w:val="24"/>
          <w:highlight w:val="none"/>
        </w:rPr>
        <w:t>四、政府采购履约情况反馈表</w:t>
      </w:r>
    </w:p>
    <w:p>
      <w:pPr>
        <w:tabs>
          <w:tab w:val="clear" w:pos="426"/>
        </w:tabs>
        <w:jc w:val="center"/>
        <w:rPr>
          <w:b/>
          <w:sz w:val="24"/>
          <w:highlight w:val="none"/>
        </w:rPr>
      </w:pPr>
    </w:p>
    <w:p>
      <w:pPr>
        <w:tabs>
          <w:tab w:val="clear" w:pos="426"/>
        </w:tabs>
        <w:rPr>
          <w:highlight w:val="none"/>
          <w:u w:val="single"/>
        </w:rPr>
      </w:pPr>
      <w:r>
        <w:rPr>
          <w:rFonts w:hint="eastAsia"/>
          <w:highlight w:val="none"/>
        </w:rPr>
        <w:t>采购单位名称：联系人及电话：</w:t>
      </w:r>
    </w:p>
    <w:tbl>
      <w:tblPr>
        <w:tblStyle w:val="44"/>
        <w:tblW w:w="9570"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904"/>
        <w:gridCol w:w="773"/>
        <w:gridCol w:w="773"/>
        <w:gridCol w:w="2704"/>
        <w:gridCol w:w="2125"/>
        <w:gridCol w:w="2291"/>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0" w:hRule="atLeast"/>
          <w:jc w:val="center"/>
        </w:trPr>
        <w:tc>
          <w:tcPr>
            <w:tcW w:w="2450" w:type="dxa"/>
            <w:gridSpan w:val="3"/>
            <w:vAlign w:val="center"/>
          </w:tcPr>
          <w:p>
            <w:pPr>
              <w:tabs>
                <w:tab w:val="clear" w:pos="426"/>
              </w:tabs>
              <w:spacing w:line="240" w:lineRule="auto"/>
              <w:rPr>
                <w:highlight w:val="none"/>
              </w:rPr>
            </w:pPr>
            <w:r>
              <w:rPr>
                <w:rFonts w:hint="eastAsia"/>
                <w:highlight w:val="none"/>
              </w:rPr>
              <w:t>采购项目名称</w:t>
            </w:r>
          </w:p>
        </w:tc>
        <w:tc>
          <w:tcPr>
            <w:tcW w:w="2704" w:type="dxa"/>
            <w:vAlign w:val="center"/>
          </w:tcPr>
          <w:p>
            <w:pPr>
              <w:tabs>
                <w:tab w:val="clear" w:pos="426"/>
              </w:tabs>
              <w:spacing w:line="240" w:lineRule="auto"/>
              <w:rPr>
                <w:highlight w:val="none"/>
              </w:rPr>
            </w:pPr>
          </w:p>
        </w:tc>
        <w:tc>
          <w:tcPr>
            <w:tcW w:w="2125" w:type="dxa"/>
            <w:vAlign w:val="center"/>
          </w:tcPr>
          <w:p>
            <w:pPr>
              <w:tabs>
                <w:tab w:val="clear" w:pos="426"/>
              </w:tabs>
              <w:spacing w:line="240" w:lineRule="auto"/>
              <w:rPr>
                <w:highlight w:val="none"/>
              </w:rPr>
            </w:pPr>
            <w:r>
              <w:rPr>
                <w:rFonts w:hint="eastAsia"/>
                <w:highlight w:val="none"/>
              </w:rPr>
              <w:t>项目编号</w:t>
            </w:r>
          </w:p>
        </w:tc>
        <w:tc>
          <w:tcPr>
            <w:tcW w:w="2291" w:type="dxa"/>
            <w:vAlign w:val="center"/>
          </w:tcPr>
          <w:p>
            <w:pPr>
              <w:pStyle w:val="6"/>
              <w:tabs>
                <w:tab w:val="clear" w:pos="426"/>
              </w:tabs>
              <w:spacing w:line="240" w:lineRule="auto"/>
              <w:jc w:val="both"/>
              <w:rPr>
                <w:rFonts w:ascii="宋体" w:hAnsi="宋体" w:cs="宋体"/>
                <w:kern w:val="0"/>
                <w:highlight w:val="none"/>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61" w:hRule="atLeast"/>
          <w:jc w:val="center"/>
        </w:trPr>
        <w:tc>
          <w:tcPr>
            <w:tcW w:w="2450" w:type="dxa"/>
            <w:gridSpan w:val="3"/>
            <w:vAlign w:val="center"/>
          </w:tcPr>
          <w:p>
            <w:pPr>
              <w:tabs>
                <w:tab w:val="clear" w:pos="426"/>
              </w:tabs>
              <w:spacing w:line="240" w:lineRule="auto"/>
              <w:rPr>
                <w:highlight w:val="none"/>
              </w:rPr>
            </w:pPr>
            <w:r>
              <w:rPr>
                <w:rFonts w:hint="eastAsia"/>
                <w:highlight w:val="none"/>
              </w:rPr>
              <w:t>中标人名称</w:t>
            </w:r>
          </w:p>
        </w:tc>
        <w:tc>
          <w:tcPr>
            <w:tcW w:w="2704" w:type="dxa"/>
            <w:vAlign w:val="center"/>
          </w:tcPr>
          <w:p>
            <w:pPr>
              <w:tabs>
                <w:tab w:val="clear" w:pos="426"/>
              </w:tabs>
              <w:spacing w:line="240" w:lineRule="auto"/>
              <w:rPr>
                <w:highlight w:val="none"/>
              </w:rPr>
            </w:pPr>
          </w:p>
        </w:tc>
        <w:tc>
          <w:tcPr>
            <w:tcW w:w="2125" w:type="dxa"/>
            <w:vAlign w:val="center"/>
          </w:tcPr>
          <w:p>
            <w:pPr>
              <w:tabs>
                <w:tab w:val="clear" w:pos="426"/>
              </w:tabs>
              <w:spacing w:line="240" w:lineRule="auto"/>
              <w:rPr>
                <w:highlight w:val="none"/>
              </w:rPr>
            </w:pPr>
            <w:r>
              <w:rPr>
                <w:rFonts w:hint="eastAsia"/>
                <w:highlight w:val="none"/>
              </w:rPr>
              <w:t>供应商</w:t>
            </w:r>
          </w:p>
          <w:p>
            <w:pPr>
              <w:tabs>
                <w:tab w:val="clear" w:pos="426"/>
              </w:tabs>
              <w:spacing w:line="240" w:lineRule="auto"/>
              <w:rPr>
                <w:highlight w:val="none"/>
              </w:rPr>
            </w:pPr>
            <w:r>
              <w:rPr>
                <w:rFonts w:hint="eastAsia"/>
                <w:highlight w:val="none"/>
              </w:rPr>
              <w:t>联系人及电话</w:t>
            </w:r>
          </w:p>
        </w:tc>
        <w:tc>
          <w:tcPr>
            <w:tcW w:w="2291" w:type="dxa"/>
            <w:vAlign w:val="center"/>
          </w:tcPr>
          <w:p>
            <w:pPr>
              <w:tabs>
                <w:tab w:val="clear" w:pos="426"/>
              </w:tabs>
              <w:spacing w:line="240" w:lineRule="auto"/>
              <w:rPr>
                <w:highlight w:val="none"/>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38" w:hRule="atLeast"/>
          <w:jc w:val="center"/>
        </w:trPr>
        <w:tc>
          <w:tcPr>
            <w:tcW w:w="2450" w:type="dxa"/>
            <w:gridSpan w:val="3"/>
            <w:vAlign w:val="center"/>
          </w:tcPr>
          <w:p>
            <w:pPr>
              <w:tabs>
                <w:tab w:val="clear" w:pos="426"/>
              </w:tabs>
              <w:spacing w:line="240" w:lineRule="auto"/>
              <w:rPr>
                <w:highlight w:val="none"/>
              </w:rPr>
            </w:pPr>
            <w:r>
              <w:rPr>
                <w:rFonts w:hint="eastAsia"/>
                <w:highlight w:val="none"/>
              </w:rPr>
              <w:t>中标金额</w:t>
            </w:r>
          </w:p>
        </w:tc>
        <w:tc>
          <w:tcPr>
            <w:tcW w:w="2704" w:type="dxa"/>
            <w:vAlign w:val="center"/>
          </w:tcPr>
          <w:p>
            <w:pPr>
              <w:tabs>
                <w:tab w:val="clear" w:pos="426"/>
              </w:tabs>
              <w:spacing w:line="240" w:lineRule="auto"/>
              <w:rPr>
                <w:highlight w:val="none"/>
              </w:rPr>
            </w:pPr>
          </w:p>
        </w:tc>
        <w:tc>
          <w:tcPr>
            <w:tcW w:w="2125" w:type="dxa"/>
            <w:vAlign w:val="center"/>
          </w:tcPr>
          <w:p>
            <w:pPr>
              <w:tabs>
                <w:tab w:val="clear" w:pos="426"/>
              </w:tabs>
              <w:spacing w:line="240" w:lineRule="auto"/>
              <w:rPr>
                <w:highlight w:val="none"/>
              </w:rPr>
            </w:pPr>
            <w:r>
              <w:rPr>
                <w:rFonts w:hint="eastAsia"/>
                <w:highlight w:val="none"/>
              </w:rPr>
              <w:t>合同履约时间</w:t>
            </w:r>
          </w:p>
        </w:tc>
        <w:tc>
          <w:tcPr>
            <w:tcW w:w="2291" w:type="dxa"/>
            <w:vAlign w:val="center"/>
          </w:tcPr>
          <w:p>
            <w:pPr>
              <w:tabs>
                <w:tab w:val="clear" w:pos="426"/>
              </w:tabs>
              <w:spacing w:line="240" w:lineRule="auto"/>
              <w:rPr>
                <w:highlight w:val="none"/>
              </w:rPr>
            </w:pPr>
            <w:r>
              <w:rPr>
                <w:rFonts w:hint="eastAsia"/>
                <w:highlight w:val="none"/>
              </w:rPr>
              <w:t>自       至</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850" w:hRule="atLeast"/>
          <w:jc w:val="center"/>
        </w:trPr>
        <w:tc>
          <w:tcPr>
            <w:tcW w:w="904" w:type="dxa"/>
            <w:vMerge w:val="restart"/>
            <w:vAlign w:val="center"/>
          </w:tcPr>
          <w:p>
            <w:pPr>
              <w:tabs>
                <w:tab w:val="clear" w:pos="426"/>
              </w:tabs>
              <w:spacing w:line="240" w:lineRule="auto"/>
              <w:jc w:val="center"/>
              <w:rPr>
                <w:highlight w:val="none"/>
              </w:rPr>
            </w:pPr>
            <w:r>
              <w:rPr>
                <w:rFonts w:hint="eastAsia"/>
                <w:highlight w:val="none"/>
              </w:rPr>
              <w:t>履约情况评价</w:t>
            </w:r>
          </w:p>
        </w:tc>
        <w:tc>
          <w:tcPr>
            <w:tcW w:w="1546" w:type="dxa"/>
            <w:gridSpan w:val="2"/>
            <w:tcBorders>
              <w:right w:val="single" w:color="auto" w:sz="4" w:space="0"/>
            </w:tcBorders>
            <w:vAlign w:val="center"/>
          </w:tcPr>
          <w:p>
            <w:pPr>
              <w:tabs>
                <w:tab w:val="clear" w:pos="426"/>
              </w:tabs>
              <w:spacing w:line="240" w:lineRule="auto"/>
              <w:jc w:val="center"/>
              <w:rPr>
                <w:highlight w:val="none"/>
              </w:rPr>
            </w:pPr>
            <w:r>
              <w:rPr>
                <w:rFonts w:hint="eastAsia"/>
                <w:highlight w:val="none"/>
              </w:rPr>
              <w:t>总体评价</w:t>
            </w:r>
          </w:p>
        </w:tc>
        <w:tc>
          <w:tcPr>
            <w:tcW w:w="7120" w:type="dxa"/>
            <w:gridSpan w:val="3"/>
            <w:tcBorders>
              <w:left w:val="single" w:color="auto" w:sz="4" w:space="0"/>
            </w:tcBorders>
            <w:vAlign w:val="center"/>
          </w:tcPr>
          <w:p>
            <w:pPr>
              <w:tabs>
                <w:tab w:val="clear" w:pos="426"/>
              </w:tabs>
              <w:spacing w:line="240" w:lineRule="auto"/>
              <w:rPr>
                <w:highlight w:val="none"/>
              </w:rPr>
            </w:pPr>
            <w:r>
              <w:rPr>
                <w:rFonts w:hint="eastAsia"/>
                <w:highlight w:val="none"/>
              </w:rPr>
              <w:t>□ 优          □ 良          □ 中           □ 差</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850" w:hRule="atLeast"/>
          <w:jc w:val="center"/>
        </w:trPr>
        <w:tc>
          <w:tcPr>
            <w:tcW w:w="904" w:type="dxa"/>
            <w:vMerge w:val="continue"/>
            <w:vAlign w:val="center"/>
          </w:tcPr>
          <w:p>
            <w:pPr>
              <w:tabs>
                <w:tab w:val="clear" w:pos="426"/>
              </w:tabs>
              <w:spacing w:line="240" w:lineRule="auto"/>
              <w:jc w:val="center"/>
              <w:rPr>
                <w:highlight w:val="none"/>
              </w:rPr>
            </w:pPr>
          </w:p>
        </w:tc>
        <w:tc>
          <w:tcPr>
            <w:tcW w:w="773" w:type="dxa"/>
            <w:vMerge w:val="restart"/>
            <w:tcBorders>
              <w:right w:val="single" w:color="auto" w:sz="4" w:space="0"/>
            </w:tcBorders>
            <w:vAlign w:val="center"/>
          </w:tcPr>
          <w:p>
            <w:pPr>
              <w:tabs>
                <w:tab w:val="clear" w:pos="426"/>
              </w:tabs>
              <w:spacing w:line="240" w:lineRule="auto"/>
              <w:jc w:val="center"/>
              <w:rPr>
                <w:highlight w:val="none"/>
              </w:rPr>
            </w:pPr>
            <w:r>
              <w:rPr>
                <w:rFonts w:hint="eastAsia"/>
                <w:highlight w:val="none"/>
              </w:rPr>
              <w:t>分项评价</w:t>
            </w:r>
          </w:p>
        </w:tc>
        <w:tc>
          <w:tcPr>
            <w:tcW w:w="773" w:type="dxa"/>
            <w:tcBorders>
              <w:left w:val="single" w:color="auto" w:sz="4" w:space="0"/>
              <w:right w:val="single" w:color="auto" w:sz="4" w:space="0"/>
            </w:tcBorders>
            <w:vAlign w:val="center"/>
          </w:tcPr>
          <w:p>
            <w:pPr>
              <w:tabs>
                <w:tab w:val="clear" w:pos="426"/>
              </w:tabs>
              <w:spacing w:line="240" w:lineRule="auto"/>
              <w:jc w:val="center"/>
              <w:rPr>
                <w:highlight w:val="none"/>
              </w:rPr>
            </w:pPr>
            <w:r>
              <w:rPr>
                <w:rFonts w:hint="eastAsia"/>
                <w:highlight w:val="none"/>
              </w:rPr>
              <w:t>质量方面</w:t>
            </w:r>
          </w:p>
        </w:tc>
        <w:tc>
          <w:tcPr>
            <w:tcW w:w="7120" w:type="dxa"/>
            <w:gridSpan w:val="3"/>
            <w:tcBorders>
              <w:left w:val="single" w:color="auto" w:sz="4" w:space="0"/>
            </w:tcBorders>
            <w:vAlign w:val="center"/>
          </w:tcPr>
          <w:p>
            <w:pPr>
              <w:tabs>
                <w:tab w:val="clear" w:pos="426"/>
              </w:tabs>
              <w:spacing w:line="240" w:lineRule="auto"/>
              <w:rPr>
                <w:highlight w:val="none"/>
              </w:rPr>
            </w:pPr>
            <w:r>
              <w:rPr>
                <w:rFonts w:hint="eastAsia"/>
                <w:highlight w:val="none"/>
              </w:rPr>
              <w:t xml:space="preserve"> □ 优          □ 良          □ 中           □ 差</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850" w:hRule="atLeast"/>
          <w:jc w:val="center"/>
        </w:trPr>
        <w:tc>
          <w:tcPr>
            <w:tcW w:w="904" w:type="dxa"/>
            <w:vMerge w:val="continue"/>
            <w:vAlign w:val="center"/>
          </w:tcPr>
          <w:p>
            <w:pPr>
              <w:tabs>
                <w:tab w:val="clear" w:pos="426"/>
              </w:tabs>
              <w:spacing w:line="240" w:lineRule="auto"/>
              <w:rPr>
                <w:highlight w:val="none"/>
              </w:rPr>
            </w:pPr>
          </w:p>
        </w:tc>
        <w:tc>
          <w:tcPr>
            <w:tcW w:w="773" w:type="dxa"/>
            <w:vMerge w:val="continue"/>
            <w:tcBorders>
              <w:right w:val="single" w:color="auto" w:sz="4" w:space="0"/>
            </w:tcBorders>
            <w:vAlign w:val="center"/>
          </w:tcPr>
          <w:p>
            <w:pPr>
              <w:tabs>
                <w:tab w:val="clear" w:pos="426"/>
              </w:tabs>
              <w:spacing w:line="240" w:lineRule="auto"/>
              <w:rPr>
                <w:highlight w:val="none"/>
              </w:rPr>
            </w:pPr>
          </w:p>
        </w:tc>
        <w:tc>
          <w:tcPr>
            <w:tcW w:w="773" w:type="dxa"/>
            <w:tcBorders>
              <w:left w:val="single" w:color="auto" w:sz="4" w:space="0"/>
              <w:right w:val="single" w:color="auto" w:sz="4" w:space="0"/>
            </w:tcBorders>
            <w:vAlign w:val="center"/>
          </w:tcPr>
          <w:p>
            <w:pPr>
              <w:tabs>
                <w:tab w:val="clear" w:pos="426"/>
              </w:tabs>
              <w:spacing w:line="240" w:lineRule="auto"/>
              <w:jc w:val="center"/>
              <w:rPr>
                <w:highlight w:val="none"/>
              </w:rPr>
            </w:pPr>
            <w:r>
              <w:rPr>
                <w:rFonts w:hint="eastAsia"/>
                <w:highlight w:val="none"/>
              </w:rPr>
              <w:t>价格方面</w:t>
            </w:r>
          </w:p>
        </w:tc>
        <w:tc>
          <w:tcPr>
            <w:tcW w:w="7120" w:type="dxa"/>
            <w:gridSpan w:val="3"/>
            <w:tcBorders>
              <w:left w:val="single" w:color="auto" w:sz="4" w:space="0"/>
            </w:tcBorders>
            <w:vAlign w:val="center"/>
          </w:tcPr>
          <w:p>
            <w:pPr>
              <w:tabs>
                <w:tab w:val="clear" w:pos="426"/>
              </w:tabs>
              <w:spacing w:line="240" w:lineRule="auto"/>
              <w:rPr>
                <w:highlight w:val="none"/>
              </w:rPr>
            </w:pPr>
            <w:r>
              <w:rPr>
                <w:rFonts w:hint="eastAsia"/>
                <w:highlight w:val="none"/>
              </w:rPr>
              <w:t xml:space="preserve"> □ 优          □ 良          □ 中           □ 差</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850" w:hRule="atLeast"/>
          <w:jc w:val="center"/>
        </w:trPr>
        <w:tc>
          <w:tcPr>
            <w:tcW w:w="904" w:type="dxa"/>
            <w:vMerge w:val="continue"/>
            <w:vAlign w:val="center"/>
          </w:tcPr>
          <w:p>
            <w:pPr>
              <w:tabs>
                <w:tab w:val="clear" w:pos="426"/>
              </w:tabs>
              <w:spacing w:line="240" w:lineRule="auto"/>
              <w:rPr>
                <w:highlight w:val="none"/>
              </w:rPr>
            </w:pPr>
          </w:p>
        </w:tc>
        <w:tc>
          <w:tcPr>
            <w:tcW w:w="773" w:type="dxa"/>
            <w:vMerge w:val="continue"/>
            <w:tcBorders>
              <w:right w:val="single" w:color="auto" w:sz="4" w:space="0"/>
            </w:tcBorders>
            <w:vAlign w:val="center"/>
          </w:tcPr>
          <w:p>
            <w:pPr>
              <w:tabs>
                <w:tab w:val="clear" w:pos="426"/>
              </w:tabs>
              <w:spacing w:line="240" w:lineRule="auto"/>
              <w:rPr>
                <w:highlight w:val="none"/>
              </w:rPr>
            </w:pPr>
          </w:p>
        </w:tc>
        <w:tc>
          <w:tcPr>
            <w:tcW w:w="773" w:type="dxa"/>
            <w:tcBorders>
              <w:left w:val="single" w:color="auto" w:sz="4" w:space="0"/>
              <w:right w:val="single" w:color="auto" w:sz="4" w:space="0"/>
            </w:tcBorders>
            <w:vAlign w:val="center"/>
          </w:tcPr>
          <w:p>
            <w:pPr>
              <w:tabs>
                <w:tab w:val="clear" w:pos="426"/>
              </w:tabs>
              <w:spacing w:line="240" w:lineRule="auto"/>
              <w:jc w:val="center"/>
              <w:rPr>
                <w:highlight w:val="none"/>
              </w:rPr>
            </w:pPr>
            <w:r>
              <w:rPr>
                <w:rFonts w:hint="eastAsia"/>
                <w:highlight w:val="none"/>
              </w:rPr>
              <w:t>服务方面</w:t>
            </w:r>
          </w:p>
        </w:tc>
        <w:tc>
          <w:tcPr>
            <w:tcW w:w="7120" w:type="dxa"/>
            <w:gridSpan w:val="3"/>
            <w:tcBorders>
              <w:left w:val="single" w:color="auto" w:sz="4" w:space="0"/>
            </w:tcBorders>
            <w:vAlign w:val="center"/>
          </w:tcPr>
          <w:p>
            <w:pPr>
              <w:tabs>
                <w:tab w:val="clear" w:pos="426"/>
              </w:tabs>
              <w:spacing w:line="240" w:lineRule="auto"/>
              <w:rPr>
                <w:highlight w:val="none"/>
              </w:rPr>
            </w:pPr>
            <w:r>
              <w:rPr>
                <w:rFonts w:hint="eastAsia"/>
                <w:highlight w:val="none"/>
              </w:rPr>
              <w:t xml:space="preserve"> □ 优          □ 良          □ 中           □ 差</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850" w:hRule="atLeast"/>
          <w:jc w:val="center"/>
        </w:trPr>
        <w:tc>
          <w:tcPr>
            <w:tcW w:w="904" w:type="dxa"/>
            <w:vMerge w:val="continue"/>
            <w:vAlign w:val="center"/>
          </w:tcPr>
          <w:p>
            <w:pPr>
              <w:tabs>
                <w:tab w:val="clear" w:pos="426"/>
              </w:tabs>
              <w:spacing w:line="240" w:lineRule="auto"/>
              <w:rPr>
                <w:highlight w:val="none"/>
              </w:rPr>
            </w:pPr>
          </w:p>
        </w:tc>
        <w:tc>
          <w:tcPr>
            <w:tcW w:w="773" w:type="dxa"/>
            <w:vMerge w:val="continue"/>
            <w:tcBorders>
              <w:right w:val="single" w:color="auto" w:sz="4" w:space="0"/>
            </w:tcBorders>
            <w:vAlign w:val="center"/>
          </w:tcPr>
          <w:p>
            <w:pPr>
              <w:tabs>
                <w:tab w:val="clear" w:pos="426"/>
              </w:tabs>
              <w:spacing w:line="240" w:lineRule="auto"/>
              <w:rPr>
                <w:highlight w:val="none"/>
              </w:rPr>
            </w:pPr>
          </w:p>
        </w:tc>
        <w:tc>
          <w:tcPr>
            <w:tcW w:w="773" w:type="dxa"/>
            <w:tcBorders>
              <w:left w:val="single" w:color="auto" w:sz="4" w:space="0"/>
              <w:right w:val="single" w:color="auto" w:sz="4" w:space="0"/>
            </w:tcBorders>
            <w:vAlign w:val="center"/>
          </w:tcPr>
          <w:p>
            <w:pPr>
              <w:tabs>
                <w:tab w:val="clear" w:pos="426"/>
              </w:tabs>
              <w:spacing w:line="240" w:lineRule="auto"/>
              <w:jc w:val="center"/>
              <w:rPr>
                <w:highlight w:val="none"/>
              </w:rPr>
            </w:pPr>
            <w:r>
              <w:rPr>
                <w:rFonts w:hint="eastAsia"/>
                <w:highlight w:val="none"/>
              </w:rPr>
              <w:t>时间方面</w:t>
            </w:r>
          </w:p>
        </w:tc>
        <w:tc>
          <w:tcPr>
            <w:tcW w:w="7120" w:type="dxa"/>
            <w:gridSpan w:val="3"/>
            <w:tcBorders>
              <w:left w:val="single" w:color="auto" w:sz="4" w:space="0"/>
            </w:tcBorders>
            <w:vAlign w:val="center"/>
          </w:tcPr>
          <w:p>
            <w:pPr>
              <w:tabs>
                <w:tab w:val="clear" w:pos="426"/>
              </w:tabs>
              <w:spacing w:line="240" w:lineRule="auto"/>
              <w:rPr>
                <w:highlight w:val="none"/>
              </w:rPr>
            </w:pPr>
            <w:r>
              <w:rPr>
                <w:rFonts w:hint="eastAsia"/>
                <w:highlight w:val="none"/>
              </w:rPr>
              <w:t xml:space="preserve"> □ 优          □ 良          □ 中           □ 差</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850" w:hRule="atLeast"/>
          <w:jc w:val="center"/>
        </w:trPr>
        <w:tc>
          <w:tcPr>
            <w:tcW w:w="904" w:type="dxa"/>
            <w:vMerge w:val="continue"/>
            <w:vAlign w:val="center"/>
          </w:tcPr>
          <w:p>
            <w:pPr>
              <w:tabs>
                <w:tab w:val="clear" w:pos="426"/>
              </w:tabs>
              <w:spacing w:line="240" w:lineRule="auto"/>
              <w:rPr>
                <w:highlight w:val="none"/>
              </w:rPr>
            </w:pPr>
          </w:p>
        </w:tc>
        <w:tc>
          <w:tcPr>
            <w:tcW w:w="773" w:type="dxa"/>
            <w:vMerge w:val="continue"/>
            <w:tcBorders>
              <w:right w:val="single" w:color="auto" w:sz="4" w:space="0"/>
            </w:tcBorders>
            <w:vAlign w:val="center"/>
          </w:tcPr>
          <w:p>
            <w:pPr>
              <w:tabs>
                <w:tab w:val="clear" w:pos="426"/>
              </w:tabs>
              <w:spacing w:line="240" w:lineRule="auto"/>
              <w:rPr>
                <w:highlight w:val="none"/>
              </w:rPr>
            </w:pPr>
          </w:p>
        </w:tc>
        <w:tc>
          <w:tcPr>
            <w:tcW w:w="773" w:type="dxa"/>
            <w:tcBorders>
              <w:left w:val="single" w:color="auto" w:sz="4" w:space="0"/>
              <w:right w:val="single" w:color="auto" w:sz="4" w:space="0"/>
            </w:tcBorders>
            <w:vAlign w:val="center"/>
          </w:tcPr>
          <w:p>
            <w:pPr>
              <w:tabs>
                <w:tab w:val="clear" w:pos="426"/>
              </w:tabs>
              <w:spacing w:line="240" w:lineRule="auto"/>
              <w:jc w:val="center"/>
              <w:rPr>
                <w:highlight w:val="none"/>
              </w:rPr>
            </w:pPr>
            <w:r>
              <w:rPr>
                <w:rFonts w:hint="eastAsia"/>
                <w:highlight w:val="none"/>
              </w:rPr>
              <w:t>环境保护</w:t>
            </w:r>
          </w:p>
        </w:tc>
        <w:tc>
          <w:tcPr>
            <w:tcW w:w="7120" w:type="dxa"/>
            <w:gridSpan w:val="3"/>
            <w:tcBorders>
              <w:left w:val="single" w:color="auto" w:sz="4" w:space="0"/>
            </w:tcBorders>
            <w:vAlign w:val="center"/>
          </w:tcPr>
          <w:p>
            <w:pPr>
              <w:tabs>
                <w:tab w:val="clear" w:pos="426"/>
              </w:tabs>
              <w:spacing w:line="240" w:lineRule="auto"/>
              <w:rPr>
                <w:highlight w:val="none"/>
              </w:rPr>
            </w:pPr>
            <w:r>
              <w:rPr>
                <w:rFonts w:hint="eastAsia"/>
                <w:highlight w:val="none"/>
              </w:rPr>
              <w:t xml:space="preserve"> □ 优          □ 良          □ 中           □ 差</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850" w:hRule="atLeast"/>
          <w:jc w:val="center"/>
        </w:trPr>
        <w:tc>
          <w:tcPr>
            <w:tcW w:w="904" w:type="dxa"/>
            <w:vMerge w:val="continue"/>
            <w:vAlign w:val="center"/>
          </w:tcPr>
          <w:p>
            <w:pPr>
              <w:tabs>
                <w:tab w:val="clear" w:pos="426"/>
              </w:tabs>
              <w:spacing w:line="240" w:lineRule="auto"/>
              <w:rPr>
                <w:highlight w:val="none"/>
              </w:rPr>
            </w:pPr>
          </w:p>
        </w:tc>
        <w:tc>
          <w:tcPr>
            <w:tcW w:w="773" w:type="dxa"/>
            <w:vMerge w:val="continue"/>
            <w:tcBorders>
              <w:right w:val="single" w:color="auto" w:sz="4" w:space="0"/>
            </w:tcBorders>
            <w:vAlign w:val="center"/>
          </w:tcPr>
          <w:p>
            <w:pPr>
              <w:tabs>
                <w:tab w:val="clear" w:pos="426"/>
              </w:tabs>
              <w:spacing w:line="240" w:lineRule="auto"/>
              <w:rPr>
                <w:highlight w:val="none"/>
              </w:rPr>
            </w:pPr>
          </w:p>
        </w:tc>
        <w:tc>
          <w:tcPr>
            <w:tcW w:w="773" w:type="dxa"/>
            <w:tcBorders>
              <w:left w:val="single" w:color="auto" w:sz="4" w:space="0"/>
              <w:right w:val="single" w:color="auto" w:sz="4" w:space="0"/>
            </w:tcBorders>
            <w:vAlign w:val="center"/>
          </w:tcPr>
          <w:p>
            <w:pPr>
              <w:tabs>
                <w:tab w:val="clear" w:pos="426"/>
              </w:tabs>
              <w:spacing w:line="240" w:lineRule="auto"/>
              <w:jc w:val="center"/>
              <w:rPr>
                <w:highlight w:val="none"/>
              </w:rPr>
            </w:pPr>
            <w:r>
              <w:rPr>
                <w:rFonts w:hint="eastAsia"/>
                <w:highlight w:val="none"/>
              </w:rPr>
              <w:t>其他</w:t>
            </w:r>
          </w:p>
        </w:tc>
        <w:tc>
          <w:tcPr>
            <w:tcW w:w="7120" w:type="dxa"/>
            <w:gridSpan w:val="3"/>
            <w:tcBorders>
              <w:left w:val="single" w:color="auto" w:sz="4" w:space="0"/>
            </w:tcBorders>
            <w:vAlign w:val="center"/>
          </w:tcPr>
          <w:p>
            <w:pPr>
              <w:tabs>
                <w:tab w:val="clear" w:pos="426"/>
              </w:tabs>
              <w:spacing w:line="240" w:lineRule="auto"/>
              <w:rPr>
                <w:highlight w:val="none"/>
              </w:rPr>
            </w:pPr>
            <w:r>
              <w:rPr>
                <w:rFonts w:hint="eastAsia"/>
                <w:highlight w:val="none"/>
              </w:rPr>
              <w:t xml:space="preserve">评价内容为：                    </w:t>
            </w:r>
          </w:p>
          <w:p>
            <w:pPr>
              <w:tabs>
                <w:tab w:val="clear" w:pos="426"/>
              </w:tabs>
              <w:spacing w:line="240" w:lineRule="auto"/>
              <w:rPr>
                <w:highlight w:val="none"/>
              </w:rPr>
            </w:pPr>
            <w:r>
              <w:rPr>
                <w:rFonts w:hint="eastAsia"/>
                <w:highlight w:val="none"/>
              </w:rPr>
              <w:t>评价等级为：  □ 优       □ 良        □ 中         □ 差</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994" w:hRule="atLeast"/>
          <w:jc w:val="center"/>
        </w:trPr>
        <w:tc>
          <w:tcPr>
            <w:tcW w:w="1677" w:type="dxa"/>
            <w:gridSpan w:val="2"/>
            <w:vAlign w:val="center"/>
          </w:tcPr>
          <w:p>
            <w:pPr>
              <w:tabs>
                <w:tab w:val="clear" w:pos="426"/>
              </w:tabs>
              <w:spacing w:line="240" w:lineRule="auto"/>
              <w:rPr>
                <w:highlight w:val="none"/>
              </w:rPr>
            </w:pPr>
            <w:r>
              <w:rPr>
                <w:rFonts w:hint="eastAsia"/>
                <w:highlight w:val="none"/>
              </w:rPr>
              <w:t>具体情况说明</w:t>
            </w:r>
          </w:p>
        </w:tc>
        <w:tc>
          <w:tcPr>
            <w:tcW w:w="7893" w:type="dxa"/>
            <w:gridSpan w:val="4"/>
          </w:tcPr>
          <w:p>
            <w:pPr>
              <w:tabs>
                <w:tab w:val="clear" w:pos="426"/>
              </w:tabs>
              <w:spacing w:line="240" w:lineRule="auto"/>
              <w:rPr>
                <w:highlight w:val="none"/>
              </w:rPr>
            </w:pPr>
          </w:p>
          <w:p>
            <w:pPr>
              <w:tabs>
                <w:tab w:val="clear" w:pos="426"/>
              </w:tabs>
              <w:spacing w:line="240" w:lineRule="auto"/>
              <w:rPr>
                <w:highlight w:val="none"/>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141" w:hRule="atLeast"/>
          <w:jc w:val="center"/>
        </w:trPr>
        <w:tc>
          <w:tcPr>
            <w:tcW w:w="1677" w:type="dxa"/>
            <w:gridSpan w:val="2"/>
            <w:vAlign w:val="center"/>
          </w:tcPr>
          <w:p>
            <w:pPr>
              <w:tabs>
                <w:tab w:val="clear" w:pos="426"/>
              </w:tabs>
              <w:spacing w:line="240" w:lineRule="auto"/>
              <w:rPr>
                <w:highlight w:val="none"/>
              </w:rPr>
            </w:pPr>
            <w:r>
              <w:rPr>
                <w:rFonts w:hint="eastAsia"/>
                <w:highlight w:val="none"/>
              </w:rPr>
              <w:t>采购单位意见</w:t>
            </w:r>
          </w:p>
          <w:p>
            <w:pPr>
              <w:tabs>
                <w:tab w:val="clear" w:pos="426"/>
              </w:tabs>
              <w:spacing w:line="240" w:lineRule="auto"/>
              <w:rPr>
                <w:highlight w:val="none"/>
              </w:rPr>
            </w:pPr>
            <w:r>
              <w:rPr>
                <w:rFonts w:hint="eastAsia"/>
                <w:highlight w:val="none"/>
              </w:rPr>
              <w:t>（公章）</w:t>
            </w:r>
          </w:p>
        </w:tc>
        <w:tc>
          <w:tcPr>
            <w:tcW w:w="7893" w:type="dxa"/>
            <w:gridSpan w:val="4"/>
            <w:vAlign w:val="center"/>
          </w:tcPr>
          <w:p>
            <w:pPr>
              <w:tabs>
                <w:tab w:val="clear" w:pos="426"/>
              </w:tabs>
              <w:spacing w:line="240" w:lineRule="auto"/>
              <w:rPr>
                <w:highlight w:val="none"/>
              </w:rPr>
            </w:pPr>
          </w:p>
          <w:p>
            <w:pPr>
              <w:tabs>
                <w:tab w:val="clear" w:pos="426"/>
              </w:tabs>
              <w:spacing w:line="240" w:lineRule="auto"/>
              <w:rPr>
                <w:highlight w:val="none"/>
              </w:rPr>
            </w:pPr>
          </w:p>
          <w:p>
            <w:pPr>
              <w:tabs>
                <w:tab w:val="clear" w:pos="426"/>
              </w:tabs>
              <w:spacing w:line="240" w:lineRule="auto"/>
              <w:rPr>
                <w:highlight w:val="none"/>
              </w:rPr>
            </w:pPr>
          </w:p>
          <w:p>
            <w:pPr>
              <w:tabs>
                <w:tab w:val="clear" w:pos="426"/>
              </w:tabs>
              <w:spacing w:line="240" w:lineRule="auto"/>
              <w:rPr>
                <w:highlight w:val="none"/>
              </w:rPr>
            </w:pPr>
            <w:r>
              <w:rPr>
                <w:rFonts w:hint="eastAsia"/>
                <w:highlight w:val="none"/>
              </w:rPr>
              <w:t>日期：   年   月   日</w:t>
            </w:r>
          </w:p>
        </w:tc>
      </w:tr>
    </w:tbl>
    <w:p>
      <w:pPr>
        <w:tabs>
          <w:tab w:val="clear" w:pos="426"/>
        </w:tabs>
        <w:rPr>
          <w:highlight w:val="none"/>
        </w:rPr>
      </w:pPr>
      <w:r>
        <w:rPr>
          <w:rFonts w:hint="eastAsia"/>
          <w:highlight w:val="none"/>
        </w:rPr>
        <w:t>说明：</w:t>
      </w:r>
    </w:p>
    <w:p>
      <w:pPr>
        <w:tabs>
          <w:tab w:val="clear" w:pos="426"/>
        </w:tabs>
        <w:ind w:firstLine="424" w:firstLineChars="202"/>
        <w:rPr>
          <w:highlight w:val="none"/>
        </w:rPr>
      </w:pPr>
      <w:r>
        <w:rPr>
          <w:rFonts w:hint="eastAsia"/>
          <w:highlight w:val="none"/>
        </w:rPr>
        <w:t>1、本表为采购单位向深圳市政府采购中心反映政府采购项目履约情况时所用；</w:t>
      </w:r>
    </w:p>
    <w:p>
      <w:pPr>
        <w:tabs>
          <w:tab w:val="clear" w:pos="426"/>
        </w:tabs>
        <w:ind w:firstLine="424" w:firstLineChars="202"/>
        <w:rPr>
          <w:highlight w:val="none"/>
        </w:rPr>
      </w:pPr>
      <w:r>
        <w:rPr>
          <w:rFonts w:hint="eastAsia"/>
          <w:highlight w:val="none"/>
        </w:rPr>
        <w:t>2、履约情况评价分为优、良、中、差四个等级，请在对应的框前打“√”，然后在“具体情况说明”一栏详细说明有关情况。</w:t>
      </w:r>
    </w:p>
    <w:p>
      <w:pPr>
        <w:pStyle w:val="33"/>
        <w:tabs>
          <w:tab w:val="clear" w:pos="426"/>
        </w:tabs>
        <w:rPr>
          <w:highlight w:val="none"/>
        </w:rPr>
      </w:pPr>
      <w:r>
        <w:rPr>
          <w:highlight w:val="none"/>
        </w:rPr>
        <w:br w:type="page"/>
      </w:r>
      <w:bookmarkStart w:id="45" w:name="_Toc12610128"/>
      <w:r>
        <w:rPr>
          <w:rFonts w:hint="eastAsia"/>
          <w:highlight w:val="none"/>
        </w:rPr>
        <w:t>第五章投标文件格式、附件</w:t>
      </w:r>
      <w:bookmarkEnd w:id="42"/>
      <w:bookmarkEnd w:id="43"/>
      <w:bookmarkEnd w:id="45"/>
    </w:p>
    <w:p>
      <w:pPr>
        <w:tabs>
          <w:tab w:val="clear" w:pos="426"/>
        </w:tabs>
        <w:rPr>
          <w:highlight w:val="none"/>
        </w:rPr>
      </w:pPr>
      <w:r>
        <w:rPr>
          <w:rStyle w:val="59"/>
          <w:rFonts w:hint="eastAsia" w:ascii="宋体" w:eastAsia="宋体"/>
          <w:sz w:val="24"/>
          <w:highlight w:val="none"/>
        </w:rPr>
        <w:t>特别提醒：</w:t>
      </w:r>
      <w:r>
        <w:rPr>
          <w:rFonts w:hint="eastAsia"/>
          <w:highlight w:val="none"/>
        </w:rPr>
        <w:t>投标人在编辑投标文件时，应严格按照招标文件提供的格式进行编写，因未按要求编写导致投标文件不予受理、无效标或废标的，一切后果由供应商自行承担。</w:t>
      </w:r>
    </w:p>
    <w:p>
      <w:pPr>
        <w:tabs>
          <w:tab w:val="clear" w:pos="426"/>
        </w:tabs>
        <w:rPr>
          <w:highlight w:val="none"/>
        </w:rPr>
      </w:pPr>
    </w:p>
    <w:p>
      <w:pPr>
        <w:tabs>
          <w:tab w:val="clear" w:pos="426"/>
        </w:tabs>
        <w:rPr>
          <w:highlight w:val="none"/>
        </w:rPr>
      </w:pPr>
    </w:p>
    <w:p>
      <w:pPr>
        <w:tabs>
          <w:tab w:val="clear" w:pos="426"/>
        </w:tabs>
        <w:rPr>
          <w:highlight w:val="none"/>
        </w:rPr>
      </w:pPr>
      <w:r>
        <w:rPr>
          <w:rFonts w:hint="eastAsia"/>
          <w:highlight w:val="none"/>
        </w:rPr>
        <w:t>投标文件组成：</w:t>
      </w:r>
    </w:p>
    <w:p>
      <w:pPr>
        <w:tabs>
          <w:tab w:val="clear" w:pos="426"/>
        </w:tabs>
        <w:rPr>
          <w:highlight w:val="none"/>
        </w:rPr>
      </w:pPr>
    </w:p>
    <w:p>
      <w:pPr>
        <w:tabs>
          <w:tab w:val="clear" w:pos="426"/>
        </w:tabs>
        <w:spacing w:line="240" w:lineRule="auto"/>
        <w:rPr>
          <w:highlight w:val="none"/>
        </w:rPr>
      </w:pPr>
      <w:r>
        <w:rPr>
          <w:rFonts w:hint="eastAsia"/>
          <w:highlight w:val="none"/>
        </w:rPr>
        <w:t>密封袋封条格式</w:t>
      </w:r>
    </w:p>
    <w:p>
      <w:pPr>
        <w:tabs>
          <w:tab w:val="clear" w:pos="426"/>
        </w:tabs>
        <w:spacing w:line="240" w:lineRule="auto"/>
        <w:rPr>
          <w:highlight w:val="none"/>
        </w:rPr>
      </w:pPr>
      <w:r>
        <w:rPr>
          <w:rFonts w:hint="eastAsia"/>
          <w:highlight w:val="none"/>
        </w:rPr>
        <w:t>投标文件封面格式</w:t>
      </w:r>
    </w:p>
    <w:p>
      <w:pPr>
        <w:tabs>
          <w:tab w:val="clear" w:pos="426"/>
        </w:tabs>
        <w:spacing w:line="240" w:lineRule="auto"/>
        <w:rPr>
          <w:highlight w:val="none"/>
        </w:rPr>
      </w:pPr>
      <w:r>
        <w:rPr>
          <w:rFonts w:hint="eastAsia"/>
          <w:highlight w:val="none"/>
        </w:rPr>
        <w:t>目录（目录格式自定）</w:t>
      </w:r>
    </w:p>
    <w:p>
      <w:pPr>
        <w:tabs>
          <w:tab w:val="clear" w:pos="426"/>
        </w:tabs>
        <w:spacing w:line="240" w:lineRule="auto"/>
        <w:rPr>
          <w:highlight w:val="none"/>
        </w:rPr>
      </w:pPr>
      <w:r>
        <w:rPr>
          <w:rFonts w:hint="eastAsia"/>
          <w:highlight w:val="none"/>
        </w:rPr>
        <w:t>评标指引表</w:t>
      </w:r>
    </w:p>
    <w:p>
      <w:pPr>
        <w:pStyle w:val="280"/>
        <w:numPr>
          <w:ilvl w:val="0"/>
          <w:numId w:val="24"/>
        </w:numPr>
        <w:spacing w:line="240" w:lineRule="auto"/>
        <w:ind w:left="567" w:leftChars="270" w:firstLineChars="0"/>
        <w:rPr>
          <w:highlight w:val="none"/>
        </w:rPr>
      </w:pPr>
      <w:r>
        <w:rPr>
          <w:rFonts w:hint="eastAsia"/>
          <w:highlight w:val="none"/>
        </w:rPr>
        <w:t>投标函</w:t>
      </w:r>
    </w:p>
    <w:p>
      <w:pPr>
        <w:pStyle w:val="280"/>
        <w:numPr>
          <w:ilvl w:val="0"/>
          <w:numId w:val="24"/>
        </w:numPr>
        <w:spacing w:line="240" w:lineRule="auto"/>
        <w:ind w:left="567" w:leftChars="270" w:firstLineChars="0"/>
        <w:rPr>
          <w:highlight w:val="none"/>
        </w:rPr>
      </w:pPr>
      <w:r>
        <w:rPr>
          <w:rFonts w:hint="eastAsia"/>
          <w:highlight w:val="none"/>
        </w:rPr>
        <w:t>政府采购投标及履约承诺函</w:t>
      </w:r>
    </w:p>
    <w:p>
      <w:pPr>
        <w:pStyle w:val="280"/>
        <w:numPr>
          <w:ilvl w:val="0"/>
          <w:numId w:val="24"/>
        </w:numPr>
        <w:spacing w:line="240" w:lineRule="auto"/>
        <w:ind w:left="567" w:leftChars="270" w:firstLineChars="0"/>
        <w:rPr>
          <w:highlight w:val="none"/>
        </w:rPr>
      </w:pPr>
      <w:r>
        <w:rPr>
          <w:rFonts w:hint="eastAsia"/>
          <w:highlight w:val="none"/>
        </w:rPr>
        <w:t>法定代表人授权委托书、法定代表人证明书</w:t>
      </w:r>
    </w:p>
    <w:p>
      <w:pPr>
        <w:pStyle w:val="280"/>
        <w:numPr>
          <w:ilvl w:val="0"/>
          <w:numId w:val="24"/>
        </w:numPr>
        <w:spacing w:line="240" w:lineRule="auto"/>
        <w:ind w:left="567" w:leftChars="270" w:firstLineChars="0"/>
        <w:rPr>
          <w:highlight w:val="none"/>
        </w:rPr>
      </w:pPr>
      <w:r>
        <w:rPr>
          <w:rFonts w:hint="eastAsia"/>
          <w:highlight w:val="none"/>
        </w:rPr>
        <w:t>投标人基本情况表</w:t>
      </w:r>
    </w:p>
    <w:p>
      <w:pPr>
        <w:pStyle w:val="280"/>
        <w:numPr>
          <w:ilvl w:val="0"/>
          <w:numId w:val="24"/>
        </w:numPr>
        <w:spacing w:line="240" w:lineRule="auto"/>
        <w:ind w:left="567" w:leftChars="270" w:firstLineChars="0"/>
        <w:rPr>
          <w:highlight w:val="none"/>
        </w:rPr>
      </w:pPr>
      <w:r>
        <w:rPr>
          <w:rFonts w:hint="eastAsia"/>
          <w:highlight w:val="none"/>
        </w:rPr>
        <w:t>开标一览表（报价表）</w:t>
      </w:r>
    </w:p>
    <w:p>
      <w:pPr>
        <w:pStyle w:val="280"/>
        <w:numPr>
          <w:ilvl w:val="0"/>
          <w:numId w:val="24"/>
        </w:numPr>
        <w:spacing w:line="240" w:lineRule="auto"/>
        <w:ind w:left="567" w:leftChars="270" w:firstLineChars="0"/>
        <w:rPr>
          <w:highlight w:val="none"/>
        </w:rPr>
      </w:pPr>
      <w:r>
        <w:rPr>
          <w:rFonts w:hint="eastAsia"/>
          <w:highlight w:val="none"/>
        </w:rPr>
        <w:t>投标分项报价表</w:t>
      </w:r>
    </w:p>
    <w:p>
      <w:pPr>
        <w:pStyle w:val="280"/>
        <w:numPr>
          <w:ilvl w:val="0"/>
          <w:numId w:val="24"/>
        </w:numPr>
        <w:spacing w:line="240" w:lineRule="auto"/>
        <w:ind w:left="567" w:leftChars="270" w:firstLineChars="0"/>
        <w:rPr>
          <w:highlight w:val="none"/>
        </w:rPr>
      </w:pPr>
      <w:r>
        <w:rPr>
          <w:rFonts w:hint="eastAsia"/>
          <w:highlight w:val="none"/>
        </w:rPr>
        <w:t>货物说明一览表</w:t>
      </w:r>
    </w:p>
    <w:p>
      <w:pPr>
        <w:pStyle w:val="280"/>
        <w:numPr>
          <w:ilvl w:val="0"/>
          <w:numId w:val="24"/>
        </w:numPr>
        <w:spacing w:line="240" w:lineRule="auto"/>
        <w:ind w:left="567" w:leftChars="270" w:firstLineChars="0"/>
        <w:rPr>
          <w:highlight w:val="none"/>
        </w:rPr>
      </w:pPr>
      <w:r>
        <w:rPr>
          <w:rFonts w:hint="eastAsia"/>
          <w:highlight w:val="none"/>
        </w:rPr>
        <w:t>项目团队实力</w:t>
      </w:r>
    </w:p>
    <w:p>
      <w:pPr>
        <w:pStyle w:val="280"/>
        <w:numPr>
          <w:ilvl w:val="0"/>
          <w:numId w:val="24"/>
        </w:numPr>
        <w:spacing w:line="240" w:lineRule="auto"/>
        <w:ind w:left="567" w:leftChars="270" w:firstLineChars="0"/>
        <w:rPr>
          <w:highlight w:val="none"/>
        </w:rPr>
      </w:pPr>
      <w:r>
        <w:rPr>
          <w:rFonts w:hint="eastAsia"/>
          <w:highlight w:val="none"/>
        </w:rPr>
        <w:t>技术规格偏离表</w:t>
      </w:r>
    </w:p>
    <w:p>
      <w:pPr>
        <w:pStyle w:val="280"/>
        <w:numPr>
          <w:ilvl w:val="0"/>
          <w:numId w:val="24"/>
        </w:numPr>
        <w:spacing w:line="240" w:lineRule="auto"/>
        <w:ind w:left="567" w:leftChars="270" w:firstLineChars="0"/>
        <w:rPr>
          <w:highlight w:val="none"/>
        </w:rPr>
      </w:pPr>
      <w:r>
        <w:rPr>
          <w:rFonts w:hint="eastAsia"/>
          <w:highlight w:val="none"/>
          <w:lang w:eastAsia="zh-CN"/>
        </w:rPr>
        <w:t>公司实力</w:t>
      </w:r>
    </w:p>
    <w:p>
      <w:pPr>
        <w:pStyle w:val="280"/>
        <w:numPr>
          <w:ilvl w:val="0"/>
          <w:numId w:val="24"/>
        </w:numPr>
        <w:spacing w:line="240" w:lineRule="auto"/>
        <w:ind w:left="567" w:leftChars="270" w:firstLineChars="0"/>
        <w:rPr>
          <w:highlight w:val="none"/>
        </w:rPr>
      </w:pPr>
      <w:r>
        <w:rPr>
          <w:rFonts w:hint="eastAsia"/>
          <w:highlight w:val="none"/>
        </w:rPr>
        <w:t>商务需求偏离</w:t>
      </w:r>
      <w:r>
        <w:rPr>
          <w:rFonts w:hint="eastAsia"/>
          <w:highlight w:val="none"/>
          <w:lang w:eastAsia="zh-CN"/>
        </w:rPr>
        <w:t>情况</w:t>
      </w:r>
    </w:p>
    <w:p>
      <w:pPr>
        <w:pStyle w:val="280"/>
        <w:numPr>
          <w:ilvl w:val="0"/>
          <w:numId w:val="24"/>
        </w:numPr>
        <w:spacing w:line="240" w:lineRule="auto"/>
        <w:ind w:left="567" w:leftChars="270" w:firstLineChars="0"/>
        <w:rPr>
          <w:highlight w:val="none"/>
        </w:rPr>
      </w:pPr>
      <w:r>
        <w:rPr>
          <w:rFonts w:hint="eastAsia"/>
          <w:highlight w:val="none"/>
        </w:rPr>
        <w:t>同类业绩情况一览表</w:t>
      </w:r>
    </w:p>
    <w:p>
      <w:pPr>
        <w:pStyle w:val="280"/>
        <w:numPr>
          <w:ilvl w:val="0"/>
          <w:numId w:val="24"/>
        </w:numPr>
        <w:spacing w:line="240" w:lineRule="auto"/>
        <w:ind w:left="567" w:leftChars="270" w:firstLineChars="0"/>
        <w:rPr>
          <w:highlight w:val="none"/>
        </w:rPr>
      </w:pPr>
      <w:r>
        <w:rPr>
          <w:rFonts w:hint="eastAsia"/>
          <w:highlight w:val="none"/>
        </w:rPr>
        <w:t>中小企业声明函及残疾人福利性单位声明函（或省级以上监狱管理局、戒毒管理局（含新疆生产建设兵团）出具的属于监狱企业的证明文件）（可选）</w:t>
      </w:r>
    </w:p>
    <w:p>
      <w:pPr>
        <w:pStyle w:val="280"/>
        <w:numPr>
          <w:ilvl w:val="0"/>
          <w:numId w:val="24"/>
        </w:numPr>
        <w:spacing w:line="240" w:lineRule="auto"/>
        <w:ind w:left="567" w:leftChars="270" w:firstLineChars="0"/>
        <w:rPr>
          <w:highlight w:val="none"/>
        </w:rPr>
      </w:pPr>
      <w:r>
        <w:rPr>
          <w:rFonts w:hint="eastAsia"/>
          <w:highlight w:val="none"/>
        </w:rPr>
        <w:t>招标代理服务费承诺书</w:t>
      </w:r>
    </w:p>
    <w:p>
      <w:pPr>
        <w:pStyle w:val="280"/>
        <w:numPr>
          <w:ilvl w:val="0"/>
          <w:numId w:val="24"/>
        </w:numPr>
        <w:spacing w:line="240" w:lineRule="auto"/>
        <w:ind w:left="567" w:leftChars="270" w:firstLineChars="0"/>
        <w:rPr>
          <w:highlight w:val="none"/>
        </w:rPr>
      </w:pPr>
      <w:r>
        <w:rPr>
          <w:rFonts w:hint="eastAsia"/>
          <w:highlight w:val="none"/>
        </w:rPr>
        <w:t>项目实施方案</w:t>
      </w:r>
    </w:p>
    <w:p>
      <w:pPr>
        <w:pStyle w:val="280"/>
        <w:numPr>
          <w:ilvl w:val="0"/>
          <w:numId w:val="24"/>
        </w:numPr>
        <w:spacing w:line="240" w:lineRule="auto"/>
        <w:ind w:left="567" w:leftChars="270" w:firstLineChars="0"/>
        <w:rPr>
          <w:highlight w:val="none"/>
        </w:rPr>
      </w:pPr>
      <w:r>
        <w:rPr>
          <w:rFonts w:hint="eastAsia"/>
          <w:highlight w:val="none"/>
        </w:rPr>
        <w:t>售后服务方案</w:t>
      </w:r>
    </w:p>
    <w:p>
      <w:pPr>
        <w:pStyle w:val="280"/>
        <w:numPr>
          <w:ilvl w:val="0"/>
          <w:numId w:val="24"/>
        </w:numPr>
        <w:spacing w:line="240" w:lineRule="auto"/>
        <w:ind w:left="567" w:leftChars="270" w:firstLineChars="0"/>
        <w:rPr>
          <w:bCs/>
          <w:highlight w:val="none"/>
        </w:rPr>
      </w:pPr>
      <w:r>
        <w:rPr>
          <w:rFonts w:hint="eastAsia"/>
          <w:bCs/>
          <w:highlight w:val="none"/>
        </w:rPr>
        <w:t>招标文件要求的其他内容及投标人认为需要加以说明的其他内容</w:t>
      </w:r>
    </w:p>
    <w:p>
      <w:pPr>
        <w:adjustRightInd/>
        <w:snapToGrid/>
        <w:spacing w:before="280" w:after="290" w:line="377" w:lineRule="auto"/>
        <w:jc w:val="center"/>
        <w:outlineLvl w:val="2"/>
        <w:rPr>
          <w:b/>
          <w:sz w:val="24"/>
          <w:highlight w:val="none"/>
        </w:rPr>
      </w:pPr>
      <w:r>
        <w:rPr>
          <w:highlight w:val="none"/>
        </w:rPr>
        <w:br w:type="page"/>
      </w:r>
      <w:bookmarkStart w:id="46" w:name="_Toc398220528"/>
      <w:r>
        <w:rPr>
          <w:rFonts w:hint="eastAsia"/>
          <w:b/>
          <w:sz w:val="24"/>
          <w:highlight w:val="none"/>
        </w:rPr>
        <w:t>密封袋封条格式</w:t>
      </w:r>
    </w:p>
    <w:p>
      <w:pPr>
        <w:tabs>
          <w:tab w:val="clear" w:pos="426"/>
        </w:tabs>
        <w:jc w:val="center"/>
        <w:rPr>
          <w:sz w:val="44"/>
          <w:szCs w:val="44"/>
          <w:highlight w:val="none"/>
          <w:u w:val="single"/>
        </w:rPr>
      </w:pPr>
    </w:p>
    <w:p>
      <w:pPr>
        <w:tabs>
          <w:tab w:val="clear" w:pos="426"/>
        </w:tabs>
        <w:jc w:val="center"/>
        <w:rPr>
          <w:sz w:val="44"/>
          <w:szCs w:val="44"/>
          <w:highlight w:val="none"/>
        </w:rPr>
      </w:pPr>
      <w:r>
        <w:rPr>
          <w:rFonts w:hint="eastAsia"/>
          <w:sz w:val="44"/>
          <w:szCs w:val="44"/>
          <w:highlight w:val="none"/>
          <w:u w:val="single"/>
        </w:rPr>
        <w:t>（项目名称全称）</w:t>
      </w:r>
      <w:r>
        <w:rPr>
          <w:rFonts w:hint="eastAsia"/>
          <w:sz w:val="44"/>
          <w:szCs w:val="44"/>
          <w:highlight w:val="none"/>
        </w:rPr>
        <w:t>项目</w:t>
      </w:r>
    </w:p>
    <w:p>
      <w:pPr>
        <w:tabs>
          <w:tab w:val="clear" w:pos="426"/>
        </w:tabs>
        <w:jc w:val="center"/>
        <w:rPr>
          <w:highlight w:val="none"/>
        </w:rPr>
      </w:pPr>
    </w:p>
    <w:p>
      <w:pPr>
        <w:tabs>
          <w:tab w:val="clear" w:pos="426"/>
        </w:tabs>
        <w:jc w:val="center"/>
        <w:rPr>
          <w:highlight w:val="none"/>
        </w:rPr>
      </w:pPr>
    </w:p>
    <w:p>
      <w:pPr>
        <w:tabs>
          <w:tab w:val="clear" w:pos="426"/>
        </w:tabs>
        <w:jc w:val="center"/>
        <w:rPr>
          <w:sz w:val="52"/>
          <w:szCs w:val="52"/>
          <w:highlight w:val="none"/>
        </w:rPr>
      </w:pPr>
      <w:r>
        <w:rPr>
          <w:rFonts w:hint="eastAsia"/>
          <w:sz w:val="52"/>
          <w:szCs w:val="52"/>
          <w:highlight w:val="none"/>
        </w:rPr>
        <w:t>□投标文件</w:t>
      </w:r>
    </w:p>
    <w:p>
      <w:pPr>
        <w:tabs>
          <w:tab w:val="clear" w:pos="426"/>
        </w:tabs>
        <w:jc w:val="center"/>
        <w:rPr>
          <w:sz w:val="52"/>
          <w:szCs w:val="52"/>
          <w:highlight w:val="none"/>
        </w:rPr>
      </w:pPr>
      <w:r>
        <w:rPr>
          <w:rFonts w:hint="eastAsia"/>
          <w:sz w:val="52"/>
          <w:szCs w:val="52"/>
          <w:highlight w:val="none"/>
        </w:rPr>
        <w:t>□开标信封</w:t>
      </w:r>
    </w:p>
    <w:p>
      <w:pPr>
        <w:tabs>
          <w:tab w:val="clear" w:pos="426"/>
        </w:tabs>
        <w:rPr>
          <w:highlight w:val="none"/>
        </w:rPr>
      </w:pPr>
    </w:p>
    <w:p>
      <w:pPr>
        <w:tabs>
          <w:tab w:val="clear" w:pos="426"/>
        </w:tabs>
        <w:rPr>
          <w:highlight w:val="none"/>
        </w:rPr>
      </w:pPr>
    </w:p>
    <w:p>
      <w:pPr>
        <w:tabs>
          <w:tab w:val="clear" w:pos="426"/>
        </w:tabs>
        <w:rPr>
          <w:highlight w:val="none"/>
        </w:rPr>
      </w:pPr>
    </w:p>
    <w:p>
      <w:pPr>
        <w:tabs>
          <w:tab w:val="clear" w:pos="426"/>
        </w:tabs>
        <w:rPr>
          <w:highlight w:val="none"/>
        </w:rPr>
      </w:pPr>
    </w:p>
    <w:p>
      <w:pPr>
        <w:tabs>
          <w:tab w:val="clear" w:pos="426"/>
        </w:tabs>
        <w:rPr>
          <w:highlight w:val="none"/>
        </w:rPr>
      </w:pPr>
    </w:p>
    <w:p>
      <w:pPr>
        <w:tabs>
          <w:tab w:val="clear" w:pos="426"/>
        </w:tabs>
        <w:rPr>
          <w:highlight w:val="none"/>
        </w:rPr>
      </w:pPr>
    </w:p>
    <w:p>
      <w:pPr>
        <w:tabs>
          <w:tab w:val="clear" w:pos="426"/>
        </w:tabs>
        <w:rPr>
          <w:highlight w:val="none"/>
        </w:rPr>
      </w:pPr>
    </w:p>
    <w:p>
      <w:pPr>
        <w:tabs>
          <w:tab w:val="clear" w:pos="426"/>
        </w:tabs>
        <w:ind w:left="708" w:leftChars="337" w:right="706" w:rightChars="336"/>
        <w:rPr>
          <w:sz w:val="28"/>
          <w:szCs w:val="28"/>
          <w:highlight w:val="none"/>
        </w:rPr>
      </w:pPr>
      <w:r>
        <w:rPr>
          <w:rFonts w:hint="eastAsia"/>
          <w:sz w:val="28"/>
          <w:szCs w:val="28"/>
          <w:highlight w:val="none"/>
        </w:rPr>
        <w:t>项目编号：</w:t>
      </w:r>
    </w:p>
    <w:p>
      <w:pPr>
        <w:tabs>
          <w:tab w:val="clear" w:pos="426"/>
        </w:tabs>
        <w:ind w:left="708" w:leftChars="337"/>
        <w:rPr>
          <w:sz w:val="28"/>
          <w:szCs w:val="28"/>
          <w:highlight w:val="none"/>
        </w:rPr>
      </w:pPr>
      <w:r>
        <w:rPr>
          <w:rFonts w:hint="eastAsia"/>
          <w:sz w:val="28"/>
          <w:szCs w:val="28"/>
          <w:highlight w:val="none"/>
        </w:rPr>
        <w:t>投标人名称（公章)：</w:t>
      </w:r>
    </w:p>
    <w:p>
      <w:pPr>
        <w:tabs>
          <w:tab w:val="clear" w:pos="426"/>
        </w:tabs>
        <w:ind w:left="708" w:leftChars="337"/>
        <w:rPr>
          <w:sz w:val="28"/>
          <w:szCs w:val="28"/>
          <w:highlight w:val="none"/>
        </w:rPr>
      </w:pPr>
      <w:r>
        <w:rPr>
          <w:rFonts w:hint="eastAsia"/>
          <w:sz w:val="28"/>
          <w:szCs w:val="28"/>
          <w:highlight w:val="none"/>
        </w:rPr>
        <w:t>投标人代表（签名）：</w:t>
      </w:r>
    </w:p>
    <w:p>
      <w:pPr>
        <w:tabs>
          <w:tab w:val="clear" w:pos="426"/>
        </w:tabs>
        <w:ind w:left="708" w:leftChars="337"/>
        <w:rPr>
          <w:sz w:val="28"/>
          <w:szCs w:val="28"/>
          <w:highlight w:val="none"/>
        </w:rPr>
      </w:pPr>
      <w:r>
        <w:rPr>
          <w:rFonts w:hint="eastAsia"/>
          <w:sz w:val="28"/>
          <w:szCs w:val="28"/>
          <w:highlight w:val="none"/>
        </w:rPr>
        <w:t>投标截止日期：</w:t>
      </w:r>
      <w:r>
        <w:rPr>
          <w:rFonts w:hint="eastAsia"/>
          <w:sz w:val="28"/>
          <w:szCs w:val="28"/>
          <w:highlight w:val="none"/>
          <w:u w:val="single"/>
        </w:rPr>
        <w:t>年月日</w:t>
      </w:r>
      <w:r>
        <w:rPr>
          <w:sz w:val="28"/>
          <w:szCs w:val="28"/>
          <w:highlight w:val="none"/>
          <w:u w:val="single"/>
        </w:rPr>
        <w:t>时分</w:t>
      </w:r>
      <w:r>
        <w:rPr>
          <w:rFonts w:hint="eastAsia"/>
          <w:sz w:val="28"/>
          <w:szCs w:val="28"/>
          <w:highlight w:val="none"/>
          <w:u w:val="single"/>
        </w:rPr>
        <w:t>（</w:t>
      </w:r>
      <w:r>
        <w:rPr>
          <w:sz w:val="28"/>
          <w:szCs w:val="28"/>
          <w:highlight w:val="none"/>
          <w:u w:val="single"/>
        </w:rPr>
        <w:t>前不得开封</w:t>
      </w:r>
      <w:r>
        <w:rPr>
          <w:rFonts w:hint="eastAsia"/>
          <w:sz w:val="28"/>
          <w:szCs w:val="28"/>
          <w:highlight w:val="none"/>
          <w:u w:val="single"/>
        </w:rPr>
        <w:t>）</w:t>
      </w:r>
    </w:p>
    <w:p>
      <w:pPr>
        <w:adjustRightInd/>
        <w:snapToGrid/>
        <w:spacing w:before="280" w:after="290" w:line="377" w:lineRule="auto"/>
        <w:jc w:val="center"/>
        <w:outlineLvl w:val="2"/>
        <w:rPr>
          <w:b/>
          <w:sz w:val="24"/>
          <w:highlight w:val="none"/>
        </w:rPr>
      </w:pPr>
      <w:r>
        <w:rPr>
          <w:highlight w:val="none"/>
        </w:rPr>
        <w:br w:type="page"/>
      </w:r>
      <w:r>
        <w:rPr>
          <w:rFonts w:hint="eastAsia"/>
          <w:b/>
          <w:sz w:val="24"/>
          <w:highlight w:val="none"/>
        </w:rPr>
        <w:t>投标文件封面格式</w:t>
      </w:r>
    </w:p>
    <w:p>
      <w:pPr>
        <w:tabs>
          <w:tab w:val="clear" w:pos="426"/>
        </w:tabs>
        <w:jc w:val="right"/>
        <w:rPr>
          <w:sz w:val="44"/>
          <w:szCs w:val="44"/>
          <w:highlight w:val="none"/>
          <w:u w:val="single"/>
        </w:rPr>
      </w:pPr>
      <w:r>
        <w:rPr>
          <w:rFonts w:hint="eastAsia"/>
          <w:sz w:val="44"/>
          <w:szCs w:val="44"/>
          <w:highlight w:val="none"/>
          <w:u w:val="single"/>
        </w:rPr>
        <w:t>正/副本</w:t>
      </w:r>
    </w:p>
    <w:p>
      <w:pPr>
        <w:tabs>
          <w:tab w:val="clear" w:pos="426"/>
        </w:tabs>
        <w:jc w:val="center"/>
        <w:rPr>
          <w:sz w:val="44"/>
          <w:szCs w:val="44"/>
          <w:highlight w:val="none"/>
          <w:u w:val="single"/>
        </w:rPr>
      </w:pPr>
    </w:p>
    <w:p>
      <w:pPr>
        <w:tabs>
          <w:tab w:val="clear" w:pos="426"/>
        </w:tabs>
        <w:jc w:val="center"/>
        <w:rPr>
          <w:sz w:val="44"/>
          <w:szCs w:val="44"/>
          <w:highlight w:val="none"/>
        </w:rPr>
      </w:pPr>
      <w:r>
        <w:rPr>
          <w:rFonts w:hint="eastAsia"/>
          <w:sz w:val="44"/>
          <w:szCs w:val="44"/>
          <w:highlight w:val="none"/>
          <w:u w:val="single"/>
        </w:rPr>
        <w:t>（项目名称全称）</w:t>
      </w:r>
      <w:r>
        <w:rPr>
          <w:rFonts w:hint="eastAsia"/>
          <w:sz w:val="44"/>
          <w:szCs w:val="44"/>
          <w:highlight w:val="none"/>
        </w:rPr>
        <w:t>项目</w:t>
      </w:r>
    </w:p>
    <w:p>
      <w:pPr>
        <w:tabs>
          <w:tab w:val="clear" w:pos="426"/>
        </w:tabs>
        <w:jc w:val="center"/>
        <w:rPr>
          <w:highlight w:val="none"/>
        </w:rPr>
      </w:pPr>
    </w:p>
    <w:p>
      <w:pPr>
        <w:tabs>
          <w:tab w:val="clear" w:pos="426"/>
        </w:tabs>
        <w:jc w:val="center"/>
        <w:rPr>
          <w:highlight w:val="none"/>
        </w:rPr>
      </w:pPr>
    </w:p>
    <w:p>
      <w:pPr>
        <w:tabs>
          <w:tab w:val="clear" w:pos="426"/>
        </w:tabs>
        <w:jc w:val="center"/>
        <w:rPr>
          <w:sz w:val="52"/>
          <w:szCs w:val="52"/>
          <w:highlight w:val="none"/>
        </w:rPr>
      </w:pPr>
      <w:r>
        <w:rPr>
          <w:rFonts w:hint="eastAsia"/>
          <w:sz w:val="52"/>
          <w:szCs w:val="52"/>
          <w:highlight w:val="none"/>
        </w:rPr>
        <w:t>投标文件</w:t>
      </w:r>
    </w:p>
    <w:p>
      <w:pPr>
        <w:tabs>
          <w:tab w:val="clear" w:pos="426"/>
        </w:tabs>
        <w:rPr>
          <w:sz w:val="52"/>
          <w:szCs w:val="52"/>
          <w:highlight w:val="none"/>
        </w:rPr>
      </w:pPr>
    </w:p>
    <w:p>
      <w:pPr>
        <w:tabs>
          <w:tab w:val="clear" w:pos="426"/>
        </w:tabs>
        <w:rPr>
          <w:highlight w:val="none"/>
        </w:rPr>
      </w:pPr>
    </w:p>
    <w:p>
      <w:pPr>
        <w:tabs>
          <w:tab w:val="clear" w:pos="426"/>
        </w:tabs>
        <w:rPr>
          <w:highlight w:val="none"/>
        </w:rPr>
      </w:pPr>
    </w:p>
    <w:p>
      <w:pPr>
        <w:tabs>
          <w:tab w:val="clear" w:pos="426"/>
        </w:tabs>
        <w:rPr>
          <w:highlight w:val="none"/>
        </w:rPr>
      </w:pPr>
    </w:p>
    <w:p>
      <w:pPr>
        <w:tabs>
          <w:tab w:val="clear" w:pos="426"/>
        </w:tabs>
        <w:rPr>
          <w:highlight w:val="none"/>
        </w:rPr>
      </w:pPr>
    </w:p>
    <w:p>
      <w:pPr>
        <w:tabs>
          <w:tab w:val="clear" w:pos="426"/>
        </w:tabs>
        <w:rPr>
          <w:highlight w:val="none"/>
        </w:rPr>
      </w:pPr>
    </w:p>
    <w:p>
      <w:pPr>
        <w:tabs>
          <w:tab w:val="clear" w:pos="426"/>
        </w:tabs>
        <w:rPr>
          <w:highlight w:val="none"/>
        </w:rPr>
      </w:pPr>
    </w:p>
    <w:p>
      <w:pPr>
        <w:tabs>
          <w:tab w:val="clear" w:pos="426"/>
        </w:tabs>
        <w:rPr>
          <w:highlight w:val="none"/>
        </w:rPr>
      </w:pPr>
    </w:p>
    <w:p>
      <w:pPr>
        <w:tabs>
          <w:tab w:val="clear" w:pos="426"/>
        </w:tabs>
        <w:ind w:left="1275" w:leftChars="607"/>
        <w:rPr>
          <w:sz w:val="28"/>
          <w:szCs w:val="28"/>
          <w:highlight w:val="none"/>
        </w:rPr>
      </w:pPr>
      <w:r>
        <w:rPr>
          <w:rFonts w:hint="eastAsia"/>
          <w:sz w:val="28"/>
          <w:szCs w:val="28"/>
          <w:highlight w:val="none"/>
        </w:rPr>
        <w:t>项目编号：</w:t>
      </w:r>
    </w:p>
    <w:p>
      <w:pPr>
        <w:tabs>
          <w:tab w:val="clear" w:pos="426"/>
        </w:tabs>
        <w:ind w:left="1275" w:leftChars="607"/>
        <w:rPr>
          <w:sz w:val="28"/>
          <w:szCs w:val="28"/>
          <w:highlight w:val="none"/>
        </w:rPr>
      </w:pPr>
      <w:r>
        <w:rPr>
          <w:rFonts w:hint="eastAsia"/>
          <w:sz w:val="28"/>
          <w:szCs w:val="28"/>
          <w:highlight w:val="none"/>
        </w:rPr>
        <w:t>投标人名称（公章)：</w:t>
      </w:r>
    </w:p>
    <w:p>
      <w:pPr>
        <w:tabs>
          <w:tab w:val="clear" w:pos="426"/>
        </w:tabs>
        <w:ind w:left="1275" w:leftChars="607"/>
        <w:rPr>
          <w:sz w:val="28"/>
          <w:szCs w:val="28"/>
          <w:highlight w:val="none"/>
        </w:rPr>
      </w:pPr>
      <w:r>
        <w:rPr>
          <w:rFonts w:hint="eastAsia"/>
          <w:sz w:val="28"/>
          <w:szCs w:val="28"/>
          <w:highlight w:val="none"/>
        </w:rPr>
        <w:t>投标人代表（签名）：</w:t>
      </w:r>
    </w:p>
    <w:p>
      <w:pPr>
        <w:tabs>
          <w:tab w:val="clear" w:pos="426"/>
        </w:tabs>
        <w:ind w:left="1275" w:leftChars="607"/>
        <w:rPr>
          <w:sz w:val="28"/>
          <w:szCs w:val="28"/>
          <w:highlight w:val="none"/>
        </w:rPr>
      </w:pPr>
      <w:r>
        <w:rPr>
          <w:rFonts w:hint="eastAsia"/>
          <w:sz w:val="28"/>
          <w:szCs w:val="28"/>
          <w:highlight w:val="none"/>
        </w:rPr>
        <w:t>投标日期：</w:t>
      </w:r>
      <w:r>
        <w:rPr>
          <w:rFonts w:hint="eastAsia"/>
          <w:sz w:val="28"/>
          <w:szCs w:val="28"/>
          <w:highlight w:val="none"/>
          <w:u w:val="single"/>
        </w:rPr>
        <w:t xml:space="preserve">                  年     月      日</w:t>
      </w:r>
    </w:p>
    <w:p>
      <w:pPr>
        <w:tabs>
          <w:tab w:val="clear" w:pos="426"/>
        </w:tabs>
        <w:rPr>
          <w:highlight w:val="none"/>
        </w:rPr>
      </w:pPr>
    </w:p>
    <w:p>
      <w:pPr>
        <w:adjustRightInd/>
        <w:snapToGrid/>
        <w:spacing w:before="280" w:after="290" w:line="377" w:lineRule="auto"/>
        <w:jc w:val="center"/>
        <w:outlineLvl w:val="2"/>
        <w:rPr>
          <w:b/>
          <w:sz w:val="24"/>
          <w:highlight w:val="none"/>
        </w:rPr>
      </w:pPr>
      <w:r>
        <w:rPr>
          <w:highlight w:val="none"/>
        </w:rPr>
        <w:br w:type="page"/>
      </w:r>
      <w:r>
        <w:rPr>
          <w:rFonts w:hint="eastAsia"/>
          <w:b/>
          <w:sz w:val="24"/>
          <w:highlight w:val="none"/>
        </w:rPr>
        <w:t>投标文件目录（目录格式自定）</w:t>
      </w:r>
    </w:p>
    <w:p>
      <w:pPr>
        <w:tabs>
          <w:tab w:val="clear" w:pos="426"/>
        </w:tabs>
        <w:rPr>
          <w:highlight w:val="none"/>
        </w:rPr>
      </w:pPr>
      <w:r>
        <w:rPr>
          <w:rFonts w:hint="eastAsia"/>
          <w:highlight w:val="none"/>
        </w:rPr>
        <w:t>按照招标文件的要求编制投标文件相应内容，请标明各部分内容的页码。</w:t>
      </w:r>
    </w:p>
    <w:p>
      <w:pPr>
        <w:tabs>
          <w:tab w:val="clear" w:pos="426"/>
        </w:tabs>
        <w:rPr>
          <w:highlight w:val="none"/>
        </w:rPr>
      </w:pPr>
    </w:p>
    <w:p>
      <w:pPr>
        <w:tabs>
          <w:tab w:val="clear" w:pos="426"/>
        </w:tabs>
        <w:rPr>
          <w:highlight w:val="none"/>
        </w:rPr>
      </w:pPr>
    </w:p>
    <w:p>
      <w:pPr>
        <w:tabs>
          <w:tab w:val="clear" w:pos="426"/>
        </w:tabs>
        <w:adjustRightInd/>
        <w:snapToGrid/>
        <w:spacing w:before="280" w:after="290" w:line="377" w:lineRule="auto"/>
        <w:jc w:val="center"/>
        <w:outlineLvl w:val="2"/>
        <w:rPr>
          <w:b/>
          <w:sz w:val="24"/>
          <w:highlight w:val="none"/>
        </w:rPr>
      </w:pPr>
      <w:r>
        <w:rPr>
          <w:highlight w:val="none"/>
        </w:rPr>
        <w:br w:type="page"/>
      </w:r>
      <w:r>
        <w:rPr>
          <w:rFonts w:hint="eastAsia"/>
          <w:b/>
          <w:sz w:val="24"/>
          <w:highlight w:val="none"/>
        </w:rPr>
        <w:t>评标指引表</w:t>
      </w:r>
    </w:p>
    <w:p>
      <w:pPr>
        <w:tabs>
          <w:tab w:val="clear" w:pos="426"/>
        </w:tabs>
        <w:jc w:val="center"/>
        <w:rPr>
          <w:b/>
          <w:highlight w:val="none"/>
        </w:rPr>
      </w:pPr>
      <w:r>
        <w:rPr>
          <w:rFonts w:hint="eastAsia"/>
          <w:b/>
          <w:highlight w:val="none"/>
        </w:rPr>
        <w:t>（置于投标文件的首页）</w:t>
      </w:r>
    </w:p>
    <w:p>
      <w:pPr>
        <w:tabs>
          <w:tab w:val="clear" w:pos="426"/>
        </w:tabs>
        <w:ind w:firstLine="420" w:firstLineChars="200"/>
        <w:rPr>
          <w:highlight w:val="none"/>
        </w:rPr>
      </w:pPr>
      <w:r>
        <w:rPr>
          <w:rFonts w:hint="eastAsia"/>
          <w:szCs w:val="21"/>
          <w:highlight w:val="none"/>
        </w:rPr>
        <w:t>为方便参与该项目的评委专家的评标，快速找到评标事项与该项目投标文件所对应的位置，请投标人参照下表格式，编制本项目评标指引表。</w:t>
      </w:r>
    </w:p>
    <w:p>
      <w:pPr>
        <w:pStyle w:val="7"/>
        <w:tabs>
          <w:tab w:val="clear" w:pos="426"/>
        </w:tabs>
        <w:ind w:firstLine="0"/>
        <w:rPr>
          <w:highlight w:val="none"/>
        </w:rPr>
      </w:pPr>
      <w:r>
        <w:rPr>
          <w:rFonts w:hint="eastAsia"/>
          <w:highlight w:val="none"/>
        </w:rPr>
        <w:t>项目名称：</w:t>
      </w:r>
    </w:p>
    <w:p>
      <w:pPr>
        <w:pStyle w:val="7"/>
        <w:tabs>
          <w:tab w:val="clear" w:pos="426"/>
        </w:tabs>
        <w:ind w:firstLine="0"/>
        <w:rPr>
          <w:highlight w:val="none"/>
        </w:rPr>
      </w:pPr>
      <w:r>
        <w:rPr>
          <w:rFonts w:hint="eastAsia"/>
          <w:highlight w:val="none"/>
        </w:rPr>
        <w:t>项目编号：</w:t>
      </w:r>
    </w:p>
    <w:p>
      <w:pPr>
        <w:tabs>
          <w:tab w:val="clear" w:pos="426"/>
        </w:tabs>
        <w:jc w:val="center"/>
        <w:rPr>
          <w:b/>
          <w:highlight w:val="none"/>
        </w:rPr>
      </w:pPr>
      <w:r>
        <w:rPr>
          <w:rFonts w:hint="eastAsia"/>
          <w:b/>
          <w:highlight w:val="none"/>
        </w:rPr>
        <w:t>项目评标指引表</w:t>
      </w:r>
    </w:p>
    <w:tbl>
      <w:tblPr>
        <w:tblStyle w:val="44"/>
        <w:tblW w:w="95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5"/>
        <w:gridCol w:w="346"/>
        <w:gridCol w:w="3857"/>
        <w:gridCol w:w="1642"/>
        <w:gridCol w:w="98"/>
        <w:gridCol w:w="1365"/>
        <w:gridCol w:w="13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70" w:type="dxa"/>
            <w:gridSpan w:val="7"/>
            <w:vAlign w:val="center"/>
          </w:tcPr>
          <w:p>
            <w:pPr>
              <w:tabs>
                <w:tab w:val="clear" w:pos="426"/>
              </w:tabs>
              <w:adjustRightInd/>
              <w:snapToGrid/>
              <w:spacing w:line="240" w:lineRule="auto"/>
              <w:jc w:val="center"/>
              <w:rPr>
                <w:b/>
                <w:highlight w:val="none"/>
              </w:rPr>
            </w:pPr>
            <w:r>
              <w:rPr>
                <w:rFonts w:hint="eastAsia"/>
                <w:b/>
                <w:highlight w:val="none"/>
              </w:rPr>
              <w:t>一、资格性审查指引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5" w:type="dxa"/>
            <w:vAlign w:val="center"/>
          </w:tcPr>
          <w:p>
            <w:pPr>
              <w:tabs>
                <w:tab w:val="clear" w:pos="426"/>
              </w:tabs>
              <w:adjustRightInd/>
              <w:snapToGrid/>
              <w:spacing w:line="240" w:lineRule="auto"/>
              <w:jc w:val="center"/>
              <w:rPr>
                <w:b/>
                <w:highlight w:val="none"/>
              </w:rPr>
            </w:pPr>
            <w:r>
              <w:rPr>
                <w:rFonts w:hint="eastAsia"/>
                <w:b/>
                <w:highlight w:val="none"/>
              </w:rPr>
              <w:t>序号</w:t>
            </w:r>
          </w:p>
        </w:tc>
        <w:tc>
          <w:tcPr>
            <w:tcW w:w="4203" w:type="dxa"/>
            <w:gridSpan w:val="2"/>
            <w:vAlign w:val="center"/>
          </w:tcPr>
          <w:p>
            <w:pPr>
              <w:tabs>
                <w:tab w:val="clear" w:pos="426"/>
              </w:tabs>
              <w:adjustRightInd/>
              <w:snapToGrid/>
              <w:spacing w:line="240" w:lineRule="auto"/>
              <w:jc w:val="center"/>
              <w:rPr>
                <w:b/>
                <w:highlight w:val="none"/>
              </w:rPr>
            </w:pPr>
            <w:r>
              <w:rPr>
                <w:rFonts w:hint="eastAsia"/>
                <w:b/>
                <w:highlight w:val="none"/>
              </w:rPr>
              <w:t>资格性审查项目</w:t>
            </w:r>
          </w:p>
        </w:tc>
        <w:tc>
          <w:tcPr>
            <w:tcW w:w="3105" w:type="dxa"/>
            <w:gridSpan w:val="3"/>
            <w:vAlign w:val="center"/>
          </w:tcPr>
          <w:p>
            <w:pPr>
              <w:tabs>
                <w:tab w:val="clear" w:pos="426"/>
              </w:tabs>
              <w:adjustRightInd/>
              <w:snapToGrid/>
              <w:spacing w:line="240" w:lineRule="auto"/>
              <w:jc w:val="center"/>
              <w:rPr>
                <w:b/>
                <w:highlight w:val="none"/>
              </w:rPr>
            </w:pPr>
            <w:r>
              <w:rPr>
                <w:rFonts w:hint="eastAsia"/>
                <w:b/>
                <w:highlight w:val="none"/>
              </w:rPr>
              <w:t>证明文件</w:t>
            </w:r>
          </w:p>
        </w:tc>
        <w:tc>
          <w:tcPr>
            <w:tcW w:w="1397" w:type="dxa"/>
            <w:vAlign w:val="center"/>
          </w:tcPr>
          <w:p>
            <w:pPr>
              <w:tabs>
                <w:tab w:val="clear" w:pos="426"/>
              </w:tabs>
              <w:adjustRightInd/>
              <w:snapToGrid/>
              <w:spacing w:line="240" w:lineRule="auto"/>
              <w:jc w:val="center"/>
              <w:rPr>
                <w:b/>
                <w:highlight w:val="none"/>
              </w:rPr>
            </w:pPr>
            <w:r>
              <w:rPr>
                <w:rFonts w:hint="eastAsia"/>
                <w:b/>
                <w:highlight w:val="none"/>
              </w:rPr>
              <w:t>起止页码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5" w:type="dxa"/>
            <w:vMerge w:val="restart"/>
            <w:vAlign w:val="center"/>
          </w:tcPr>
          <w:p>
            <w:pPr>
              <w:tabs>
                <w:tab w:val="clear" w:pos="426"/>
              </w:tabs>
              <w:adjustRightInd/>
              <w:snapToGrid/>
              <w:spacing w:line="240" w:lineRule="auto"/>
              <w:jc w:val="center"/>
              <w:rPr>
                <w:b/>
                <w:highlight w:val="none"/>
              </w:rPr>
            </w:pPr>
            <w:r>
              <w:rPr>
                <w:rFonts w:hint="eastAsia"/>
                <w:b/>
                <w:highlight w:val="none"/>
              </w:rPr>
              <w:t>1</w:t>
            </w:r>
          </w:p>
        </w:tc>
        <w:tc>
          <w:tcPr>
            <w:tcW w:w="4203" w:type="dxa"/>
            <w:gridSpan w:val="2"/>
            <w:vMerge w:val="restart"/>
            <w:vAlign w:val="center"/>
          </w:tcPr>
          <w:p>
            <w:pPr>
              <w:tabs>
                <w:tab w:val="clear" w:pos="426"/>
              </w:tabs>
              <w:adjustRightInd/>
              <w:snapToGrid/>
              <w:spacing w:line="240" w:lineRule="auto"/>
              <w:jc w:val="center"/>
              <w:rPr>
                <w:b/>
                <w:highlight w:val="none"/>
              </w:rPr>
            </w:pPr>
            <w:r>
              <w:rPr>
                <w:rFonts w:hint="eastAsia"/>
                <w:color w:val="000000"/>
                <w:highlight w:val="none"/>
              </w:rPr>
              <w:t>投标人资质要求</w:t>
            </w:r>
          </w:p>
        </w:tc>
        <w:tc>
          <w:tcPr>
            <w:tcW w:w="3105" w:type="dxa"/>
            <w:gridSpan w:val="3"/>
            <w:vAlign w:val="center"/>
          </w:tcPr>
          <w:p>
            <w:pPr>
              <w:tabs>
                <w:tab w:val="clear" w:pos="426"/>
              </w:tabs>
              <w:adjustRightInd/>
              <w:snapToGrid/>
              <w:spacing w:line="240" w:lineRule="auto"/>
              <w:jc w:val="center"/>
              <w:rPr>
                <w:highlight w:val="none"/>
              </w:rPr>
            </w:pPr>
            <w:r>
              <w:rPr>
                <w:rFonts w:hint="eastAsia"/>
                <w:highlight w:val="none"/>
              </w:rPr>
              <w:t>营业执照</w:t>
            </w:r>
          </w:p>
        </w:tc>
        <w:tc>
          <w:tcPr>
            <w:tcW w:w="1397" w:type="dxa"/>
            <w:shd w:val="clear" w:color="auto" w:fill="auto"/>
            <w:vAlign w:val="center"/>
          </w:tcPr>
          <w:p>
            <w:pPr>
              <w:tabs>
                <w:tab w:val="clear" w:pos="426"/>
              </w:tabs>
              <w:adjustRightInd/>
              <w:snapToGrid/>
              <w:spacing w:line="240" w:lineRule="auto"/>
              <w:jc w:val="center"/>
              <w:rPr>
                <w:b/>
                <w:highlight w:val="none"/>
              </w:rPr>
            </w:pPr>
            <w:r>
              <w:rPr>
                <w:rFonts w:hint="eastAsia"/>
                <w:b/>
                <w:highlight w:val="none"/>
              </w:rPr>
              <w:t xml:space="preserve">P  -P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5" w:type="dxa"/>
            <w:vMerge w:val="continue"/>
            <w:vAlign w:val="center"/>
          </w:tcPr>
          <w:p>
            <w:pPr>
              <w:tabs>
                <w:tab w:val="clear" w:pos="426"/>
              </w:tabs>
              <w:adjustRightInd/>
              <w:snapToGrid/>
              <w:spacing w:line="240" w:lineRule="auto"/>
              <w:jc w:val="center"/>
              <w:rPr>
                <w:b/>
                <w:highlight w:val="none"/>
              </w:rPr>
            </w:pPr>
          </w:p>
        </w:tc>
        <w:tc>
          <w:tcPr>
            <w:tcW w:w="4203" w:type="dxa"/>
            <w:gridSpan w:val="2"/>
            <w:vMerge w:val="continue"/>
            <w:vAlign w:val="center"/>
          </w:tcPr>
          <w:p>
            <w:pPr>
              <w:tabs>
                <w:tab w:val="clear" w:pos="426"/>
              </w:tabs>
              <w:adjustRightInd/>
              <w:snapToGrid/>
              <w:spacing w:line="240" w:lineRule="auto"/>
              <w:jc w:val="center"/>
              <w:rPr>
                <w:color w:val="000000"/>
                <w:highlight w:val="none"/>
              </w:rPr>
            </w:pPr>
          </w:p>
        </w:tc>
        <w:tc>
          <w:tcPr>
            <w:tcW w:w="3105" w:type="dxa"/>
            <w:gridSpan w:val="3"/>
            <w:vAlign w:val="center"/>
          </w:tcPr>
          <w:p>
            <w:pPr>
              <w:tabs>
                <w:tab w:val="clear" w:pos="426"/>
              </w:tabs>
              <w:adjustRightInd/>
              <w:snapToGrid/>
              <w:spacing w:line="240" w:lineRule="auto"/>
              <w:jc w:val="center"/>
              <w:rPr>
                <w:highlight w:val="none"/>
              </w:rPr>
            </w:pPr>
            <w:r>
              <w:rPr>
                <w:rFonts w:hint="eastAsia"/>
                <w:highlight w:val="none"/>
              </w:rPr>
              <w:t>……</w:t>
            </w:r>
          </w:p>
        </w:tc>
        <w:tc>
          <w:tcPr>
            <w:tcW w:w="1397" w:type="dxa"/>
            <w:shd w:val="clear" w:color="auto" w:fill="auto"/>
            <w:vAlign w:val="center"/>
          </w:tcPr>
          <w:p>
            <w:pPr>
              <w:tabs>
                <w:tab w:val="clear" w:pos="426"/>
              </w:tabs>
              <w:adjustRightInd/>
              <w:snapToGrid/>
              <w:spacing w:line="240" w:lineRule="auto"/>
              <w:jc w:val="center"/>
              <w:rPr>
                <w:b/>
                <w:highlight w:val="none"/>
              </w:rPr>
            </w:pPr>
            <w:r>
              <w:rPr>
                <w:rFonts w:hint="eastAsia"/>
                <w:b/>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5" w:type="dxa"/>
            <w:vMerge w:val="continue"/>
            <w:vAlign w:val="center"/>
          </w:tcPr>
          <w:p>
            <w:pPr>
              <w:tabs>
                <w:tab w:val="clear" w:pos="426"/>
              </w:tabs>
              <w:adjustRightInd/>
              <w:snapToGrid/>
              <w:spacing w:line="240" w:lineRule="auto"/>
              <w:jc w:val="center"/>
              <w:rPr>
                <w:b/>
                <w:highlight w:val="none"/>
              </w:rPr>
            </w:pPr>
          </w:p>
        </w:tc>
        <w:tc>
          <w:tcPr>
            <w:tcW w:w="4203" w:type="dxa"/>
            <w:gridSpan w:val="2"/>
            <w:vMerge w:val="continue"/>
            <w:vAlign w:val="center"/>
          </w:tcPr>
          <w:p>
            <w:pPr>
              <w:tabs>
                <w:tab w:val="clear" w:pos="426"/>
              </w:tabs>
              <w:adjustRightInd/>
              <w:snapToGrid/>
              <w:spacing w:line="240" w:lineRule="auto"/>
              <w:jc w:val="center"/>
              <w:rPr>
                <w:color w:val="000000"/>
                <w:highlight w:val="none"/>
              </w:rPr>
            </w:pPr>
          </w:p>
        </w:tc>
        <w:tc>
          <w:tcPr>
            <w:tcW w:w="3105" w:type="dxa"/>
            <w:gridSpan w:val="3"/>
            <w:vAlign w:val="center"/>
          </w:tcPr>
          <w:p>
            <w:pPr>
              <w:tabs>
                <w:tab w:val="clear" w:pos="426"/>
              </w:tabs>
              <w:adjustRightInd/>
              <w:snapToGrid/>
              <w:spacing w:line="240" w:lineRule="auto"/>
              <w:jc w:val="center"/>
              <w:rPr>
                <w:highlight w:val="none"/>
              </w:rPr>
            </w:pPr>
            <w:r>
              <w:rPr>
                <w:rFonts w:hint="eastAsia"/>
                <w:highlight w:val="none"/>
              </w:rPr>
              <w:t>……</w:t>
            </w:r>
          </w:p>
        </w:tc>
        <w:tc>
          <w:tcPr>
            <w:tcW w:w="1397" w:type="dxa"/>
            <w:vAlign w:val="center"/>
          </w:tcPr>
          <w:p>
            <w:pPr>
              <w:tabs>
                <w:tab w:val="clear" w:pos="426"/>
              </w:tabs>
              <w:adjustRightInd/>
              <w:snapToGrid/>
              <w:spacing w:line="240" w:lineRule="auto"/>
              <w:jc w:val="center"/>
              <w:rPr>
                <w:b/>
                <w:highlight w:val="none"/>
              </w:rPr>
            </w:pPr>
            <w:r>
              <w:rPr>
                <w:rFonts w:hint="eastAsia"/>
                <w:b/>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5" w:type="dxa"/>
            <w:vMerge w:val="continue"/>
            <w:vAlign w:val="center"/>
          </w:tcPr>
          <w:p>
            <w:pPr>
              <w:tabs>
                <w:tab w:val="clear" w:pos="426"/>
              </w:tabs>
              <w:adjustRightInd/>
              <w:snapToGrid/>
              <w:spacing w:line="240" w:lineRule="auto"/>
              <w:jc w:val="center"/>
              <w:rPr>
                <w:b/>
                <w:highlight w:val="none"/>
              </w:rPr>
            </w:pPr>
          </w:p>
        </w:tc>
        <w:tc>
          <w:tcPr>
            <w:tcW w:w="4203" w:type="dxa"/>
            <w:gridSpan w:val="2"/>
            <w:vMerge w:val="continue"/>
            <w:vAlign w:val="center"/>
          </w:tcPr>
          <w:p>
            <w:pPr>
              <w:tabs>
                <w:tab w:val="clear" w:pos="426"/>
              </w:tabs>
              <w:adjustRightInd/>
              <w:snapToGrid/>
              <w:spacing w:line="240" w:lineRule="auto"/>
              <w:jc w:val="center"/>
              <w:rPr>
                <w:color w:val="000000"/>
                <w:highlight w:val="none"/>
              </w:rPr>
            </w:pPr>
          </w:p>
        </w:tc>
        <w:tc>
          <w:tcPr>
            <w:tcW w:w="3105" w:type="dxa"/>
            <w:gridSpan w:val="3"/>
            <w:vAlign w:val="center"/>
          </w:tcPr>
          <w:p>
            <w:pPr>
              <w:tabs>
                <w:tab w:val="clear" w:pos="426"/>
              </w:tabs>
              <w:adjustRightInd/>
              <w:snapToGrid/>
              <w:spacing w:line="240" w:lineRule="auto"/>
              <w:jc w:val="center"/>
              <w:rPr>
                <w:b/>
                <w:highlight w:val="none"/>
              </w:rPr>
            </w:pPr>
          </w:p>
        </w:tc>
        <w:tc>
          <w:tcPr>
            <w:tcW w:w="1397" w:type="dxa"/>
            <w:vAlign w:val="center"/>
          </w:tcPr>
          <w:p>
            <w:pPr>
              <w:tabs>
                <w:tab w:val="clear" w:pos="426"/>
              </w:tabs>
              <w:adjustRightInd/>
              <w:snapToGrid/>
              <w:spacing w:line="240" w:lineRule="auto"/>
              <w:jc w:val="center"/>
              <w:rPr>
                <w:b/>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5" w:type="dxa"/>
            <w:vMerge w:val="continue"/>
            <w:vAlign w:val="center"/>
          </w:tcPr>
          <w:p>
            <w:pPr>
              <w:tabs>
                <w:tab w:val="clear" w:pos="426"/>
              </w:tabs>
              <w:adjustRightInd/>
              <w:snapToGrid/>
              <w:spacing w:line="240" w:lineRule="auto"/>
              <w:jc w:val="center"/>
              <w:rPr>
                <w:b/>
                <w:highlight w:val="none"/>
              </w:rPr>
            </w:pPr>
          </w:p>
        </w:tc>
        <w:tc>
          <w:tcPr>
            <w:tcW w:w="4203" w:type="dxa"/>
            <w:gridSpan w:val="2"/>
            <w:vMerge w:val="continue"/>
            <w:vAlign w:val="center"/>
          </w:tcPr>
          <w:p>
            <w:pPr>
              <w:tabs>
                <w:tab w:val="clear" w:pos="426"/>
              </w:tabs>
              <w:adjustRightInd/>
              <w:snapToGrid/>
              <w:spacing w:line="240" w:lineRule="auto"/>
              <w:jc w:val="center"/>
              <w:rPr>
                <w:color w:val="000000"/>
                <w:highlight w:val="none"/>
              </w:rPr>
            </w:pPr>
          </w:p>
        </w:tc>
        <w:tc>
          <w:tcPr>
            <w:tcW w:w="3105" w:type="dxa"/>
            <w:gridSpan w:val="3"/>
            <w:vAlign w:val="center"/>
          </w:tcPr>
          <w:p>
            <w:pPr>
              <w:tabs>
                <w:tab w:val="clear" w:pos="426"/>
              </w:tabs>
              <w:adjustRightInd/>
              <w:snapToGrid/>
              <w:spacing w:line="240" w:lineRule="auto"/>
              <w:jc w:val="center"/>
              <w:rPr>
                <w:b/>
                <w:highlight w:val="none"/>
              </w:rPr>
            </w:pPr>
          </w:p>
        </w:tc>
        <w:tc>
          <w:tcPr>
            <w:tcW w:w="1397" w:type="dxa"/>
            <w:vAlign w:val="center"/>
          </w:tcPr>
          <w:p>
            <w:pPr>
              <w:tabs>
                <w:tab w:val="clear" w:pos="426"/>
              </w:tabs>
              <w:adjustRightInd/>
              <w:snapToGrid/>
              <w:spacing w:line="240" w:lineRule="auto"/>
              <w:jc w:val="center"/>
              <w:rPr>
                <w:b/>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5" w:type="dxa"/>
            <w:vMerge w:val="continue"/>
            <w:vAlign w:val="center"/>
          </w:tcPr>
          <w:p>
            <w:pPr>
              <w:tabs>
                <w:tab w:val="clear" w:pos="426"/>
              </w:tabs>
              <w:adjustRightInd/>
              <w:snapToGrid/>
              <w:spacing w:line="240" w:lineRule="auto"/>
              <w:jc w:val="center"/>
              <w:rPr>
                <w:b/>
                <w:highlight w:val="none"/>
              </w:rPr>
            </w:pPr>
          </w:p>
        </w:tc>
        <w:tc>
          <w:tcPr>
            <w:tcW w:w="4203" w:type="dxa"/>
            <w:gridSpan w:val="2"/>
            <w:vMerge w:val="continue"/>
            <w:vAlign w:val="center"/>
          </w:tcPr>
          <w:p>
            <w:pPr>
              <w:tabs>
                <w:tab w:val="clear" w:pos="426"/>
              </w:tabs>
              <w:adjustRightInd/>
              <w:snapToGrid/>
              <w:spacing w:line="240" w:lineRule="auto"/>
              <w:jc w:val="center"/>
              <w:rPr>
                <w:color w:val="000000"/>
                <w:highlight w:val="none"/>
              </w:rPr>
            </w:pPr>
          </w:p>
        </w:tc>
        <w:tc>
          <w:tcPr>
            <w:tcW w:w="3105" w:type="dxa"/>
            <w:gridSpan w:val="3"/>
            <w:vAlign w:val="center"/>
          </w:tcPr>
          <w:p>
            <w:pPr>
              <w:tabs>
                <w:tab w:val="clear" w:pos="426"/>
              </w:tabs>
              <w:adjustRightInd/>
              <w:snapToGrid/>
              <w:spacing w:line="240" w:lineRule="auto"/>
              <w:jc w:val="center"/>
              <w:rPr>
                <w:b/>
                <w:highlight w:val="none"/>
              </w:rPr>
            </w:pPr>
          </w:p>
        </w:tc>
        <w:tc>
          <w:tcPr>
            <w:tcW w:w="1397" w:type="dxa"/>
            <w:vAlign w:val="center"/>
          </w:tcPr>
          <w:p>
            <w:pPr>
              <w:tabs>
                <w:tab w:val="clear" w:pos="426"/>
              </w:tabs>
              <w:adjustRightInd/>
              <w:snapToGrid/>
              <w:spacing w:line="240" w:lineRule="auto"/>
              <w:jc w:val="center"/>
              <w:rPr>
                <w:b/>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70" w:type="dxa"/>
            <w:gridSpan w:val="7"/>
            <w:vAlign w:val="center"/>
          </w:tcPr>
          <w:p>
            <w:pPr>
              <w:tabs>
                <w:tab w:val="clear" w:pos="426"/>
              </w:tabs>
              <w:adjustRightInd/>
              <w:snapToGrid/>
              <w:spacing w:line="240" w:lineRule="auto"/>
              <w:jc w:val="center"/>
              <w:rPr>
                <w:b/>
                <w:highlight w:val="none"/>
              </w:rPr>
            </w:pPr>
            <w:r>
              <w:rPr>
                <w:rFonts w:hint="eastAsia"/>
                <w:b/>
                <w:highlight w:val="none"/>
              </w:rPr>
              <w:t>二、符合性审查指引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5" w:type="dxa"/>
            <w:vAlign w:val="center"/>
          </w:tcPr>
          <w:p>
            <w:pPr>
              <w:tabs>
                <w:tab w:val="clear" w:pos="426"/>
              </w:tabs>
              <w:adjustRightInd/>
              <w:snapToGrid/>
              <w:spacing w:line="240" w:lineRule="auto"/>
              <w:jc w:val="center"/>
              <w:rPr>
                <w:b/>
                <w:highlight w:val="none"/>
              </w:rPr>
            </w:pPr>
            <w:r>
              <w:rPr>
                <w:rFonts w:hint="eastAsia"/>
                <w:b/>
                <w:highlight w:val="none"/>
              </w:rPr>
              <w:t>序号</w:t>
            </w:r>
          </w:p>
        </w:tc>
        <w:tc>
          <w:tcPr>
            <w:tcW w:w="5943" w:type="dxa"/>
            <w:gridSpan w:val="4"/>
            <w:vAlign w:val="center"/>
          </w:tcPr>
          <w:p>
            <w:pPr>
              <w:tabs>
                <w:tab w:val="clear" w:pos="426"/>
              </w:tabs>
              <w:adjustRightInd/>
              <w:snapToGrid/>
              <w:spacing w:line="240" w:lineRule="auto"/>
              <w:jc w:val="center"/>
              <w:rPr>
                <w:b/>
                <w:highlight w:val="none"/>
              </w:rPr>
            </w:pPr>
            <w:r>
              <w:rPr>
                <w:rFonts w:hint="eastAsia"/>
                <w:b/>
                <w:highlight w:val="none"/>
              </w:rPr>
              <w:t>符合性审查项目</w:t>
            </w:r>
          </w:p>
        </w:tc>
        <w:tc>
          <w:tcPr>
            <w:tcW w:w="2762" w:type="dxa"/>
            <w:gridSpan w:val="2"/>
            <w:vAlign w:val="center"/>
          </w:tcPr>
          <w:p>
            <w:pPr>
              <w:tabs>
                <w:tab w:val="clear" w:pos="426"/>
              </w:tabs>
              <w:adjustRightInd/>
              <w:snapToGrid/>
              <w:spacing w:line="240" w:lineRule="auto"/>
              <w:jc w:val="center"/>
              <w:rPr>
                <w:b/>
                <w:highlight w:val="none"/>
              </w:rPr>
            </w:pPr>
            <w:r>
              <w:rPr>
                <w:rFonts w:hint="eastAsia"/>
                <w:b/>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5" w:type="dxa"/>
            <w:vAlign w:val="center"/>
          </w:tcPr>
          <w:p>
            <w:pPr>
              <w:widowControl w:val="0"/>
              <w:shd w:val="clear" w:color="auto" w:fill="auto"/>
              <w:tabs>
                <w:tab w:val="clear" w:pos="426"/>
              </w:tabs>
              <w:adjustRightInd/>
              <w:snapToGrid/>
              <w:spacing w:line="240" w:lineRule="auto"/>
              <w:jc w:val="center"/>
              <w:rPr>
                <w:highlight w:val="none"/>
              </w:rPr>
            </w:pPr>
            <w:r>
              <w:rPr>
                <w:rFonts w:hint="eastAsia"/>
                <w:highlight w:val="none"/>
              </w:rPr>
              <w:t>1</w:t>
            </w:r>
          </w:p>
        </w:tc>
        <w:tc>
          <w:tcPr>
            <w:tcW w:w="5943" w:type="dxa"/>
            <w:gridSpan w:val="4"/>
            <w:vAlign w:val="center"/>
          </w:tcPr>
          <w:p>
            <w:pPr>
              <w:tabs>
                <w:tab w:val="clear" w:pos="426"/>
              </w:tabs>
              <w:adjustRightInd/>
              <w:snapToGrid/>
              <w:spacing w:line="240" w:lineRule="auto"/>
              <w:rPr>
                <w:highlight w:val="none"/>
              </w:rPr>
            </w:pPr>
            <w:r>
              <w:rPr>
                <w:rFonts w:hint="eastAsia"/>
                <w:highlight w:val="none"/>
              </w:rPr>
              <w:t>未出现将一个包中的内容拆开投标；</w:t>
            </w:r>
          </w:p>
        </w:tc>
        <w:tc>
          <w:tcPr>
            <w:tcW w:w="2762" w:type="dxa"/>
            <w:gridSpan w:val="2"/>
            <w:vAlign w:val="center"/>
          </w:tcPr>
          <w:p>
            <w:pPr>
              <w:tabs>
                <w:tab w:val="clear" w:pos="426"/>
              </w:tabs>
              <w:adjustRightInd/>
              <w:snapToGrid/>
              <w:spacing w:line="240" w:lineRule="auto"/>
              <w:jc w:val="cente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5" w:type="dxa"/>
            <w:vAlign w:val="center"/>
          </w:tcPr>
          <w:p>
            <w:pPr>
              <w:widowControl w:val="0"/>
              <w:shd w:val="clear" w:color="auto" w:fill="auto"/>
              <w:tabs>
                <w:tab w:val="clear" w:pos="426"/>
              </w:tabs>
              <w:adjustRightInd/>
              <w:snapToGrid/>
              <w:spacing w:line="240" w:lineRule="auto"/>
              <w:jc w:val="center"/>
              <w:rPr>
                <w:highlight w:val="none"/>
              </w:rPr>
            </w:pPr>
            <w:r>
              <w:rPr>
                <w:rFonts w:hint="eastAsia"/>
                <w:highlight w:val="none"/>
              </w:rPr>
              <w:t>2</w:t>
            </w:r>
          </w:p>
        </w:tc>
        <w:tc>
          <w:tcPr>
            <w:tcW w:w="5943" w:type="dxa"/>
            <w:gridSpan w:val="4"/>
            <w:vAlign w:val="center"/>
          </w:tcPr>
          <w:p>
            <w:pPr>
              <w:tabs>
                <w:tab w:val="clear" w:pos="426"/>
              </w:tabs>
              <w:adjustRightInd/>
              <w:snapToGrid/>
              <w:spacing w:line="240" w:lineRule="auto"/>
              <w:rPr>
                <w:highlight w:val="none"/>
              </w:rPr>
            </w:pPr>
            <w:r>
              <w:rPr>
                <w:rFonts w:hint="eastAsia"/>
                <w:highlight w:val="none"/>
              </w:rPr>
              <w:t>投标文件及开标一览表按规定密封、签字、盖章</w:t>
            </w:r>
          </w:p>
        </w:tc>
        <w:tc>
          <w:tcPr>
            <w:tcW w:w="2762" w:type="dxa"/>
            <w:gridSpan w:val="2"/>
            <w:vAlign w:val="center"/>
          </w:tcPr>
          <w:p>
            <w:pPr>
              <w:tabs>
                <w:tab w:val="clear" w:pos="426"/>
              </w:tabs>
              <w:adjustRightInd/>
              <w:snapToGrid/>
              <w:spacing w:line="240" w:lineRule="auto"/>
              <w:jc w:val="cente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5" w:type="dxa"/>
            <w:vAlign w:val="center"/>
          </w:tcPr>
          <w:p>
            <w:pPr>
              <w:widowControl w:val="0"/>
              <w:shd w:val="clear" w:color="auto" w:fill="auto"/>
              <w:tabs>
                <w:tab w:val="clear" w:pos="426"/>
              </w:tabs>
              <w:adjustRightInd/>
              <w:snapToGrid/>
              <w:spacing w:line="240" w:lineRule="auto"/>
              <w:jc w:val="center"/>
              <w:rPr>
                <w:highlight w:val="none"/>
              </w:rPr>
            </w:pPr>
            <w:r>
              <w:rPr>
                <w:rFonts w:hint="eastAsia"/>
                <w:highlight w:val="none"/>
              </w:rPr>
              <w:t>3</w:t>
            </w:r>
          </w:p>
        </w:tc>
        <w:tc>
          <w:tcPr>
            <w:tcW w:w="5943" w:type="dxa"/>
            <w:gridSpan w:val="4"/>
            <w:vAlign w:val="center"/>
          </w:tcPr>
          <w:p>
            <w:pPr>
              <w:tabs>
                <w:tab w:val="clear" w:pos="426"/>
              </w:tabs>
              <w:adjustRightInd/>
              <w:snapToGrid/>
              <w:spacing w:line="240" w:lineRule="auto"/>
              <w:rPr>
                <w:highlight w:val="none"/>
              </w:rPr>
            </w:pPr>
            <w:r>
              <w:rPr>
                <w:rFonts w:hint="eastAsia"/>
                <w:highlight w:val="none"/>
              </w:rPr>
              <w:t>除招标文件规定允许有替代方案外，对同一项目投标时，未提供两套或两套以上的投标方案；</w:t>
            </w:r>
          </w:p>
        </w:tc>
        <w:tc>
          <w:tcPr>
            <w:tcW w:w="2762" w:type="dxa"/>
            <w:gridSpan w:val="2"/>
            <w:vAlign w:val="center"/>
          </w:tcPr>
          <w:p>
            <w:pPr>
              <w:tabs>
                <w:tab w:val="clear" w:pos="426"/>
              </w:tabs>
              <w:adjustRightInd/>
              <w:snapToGrid/>
              <w:spacing w:line="240" w:lineRule="auto"/>
              <w:jc w:val="cente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5" w:type="dxa"/>
            <w:vAlign w:val="center"/>
          </w:tcPr>
          <w:p>
            <w:pPr>
              <w:widowControl w:val="0"/>
              <w:shd w:val="clear" w:color="auto" w:fill="auto"/>
              <w:tabs>
                <w:tab w:val="clear" w:pos="426"/>
              </w:tabs>
              <w:adjustRightInd/>
              <w:snapToGrid/>
              <w:spacing w:line="240" w:lineRule="auto"/>
              <w:jc w:val="center"/>
              <w:rPr>
                <w:highlight w:val="none"/>
              </w:rPr>
            </w:pPr>
            <w:r>
              <w:rPr>
                <w:rFonts w:hint="eastAsia"/>
                <w:highlight w:val="none"/>
              </w:rPr>
              <w:t>4</w:t>
            </w:r>
          </w:p>
        </w:tc>
        <w:tc>
          <w:tcPr>
            <w:tcW w:w="5943" w:type="dxa"/>
            <w:gridSpan w:val="4"/>
            <w:vAlign w:val="center"/>
          </w:tcPr>
          <w:p>
            <w:pPr>
              <w:tabs>
                <w:tab w:val="clear" w:pos="426"/>
              </w:tabs>
              <w:adjustRightInd/>
              <w:snapToGrid/>
              <w:spacing w:line="240" w:lineRule="auto"/>
              <w:rPr>
                <w:highlight w:val="none"/>
              </w:rPr>
            </w:pPr>
            <w:r>
              <w:rPr>
                <w:rFonts w:hint="eastAsia"/>
                <w:highlight w:val="none"/>
              </w:rPr>
              <w:t>按招标文件所提供的样式填写</w:t>
            </w:r>
            <w:r>
              <w:rPr>
                <w:highlight w:val="none"/>
              </w:rPr>
              <w:t>《</w:t>
            </w:r>
            <w:r>
              <w:rPr>
                <w:rFonts w:hint="eastAsia"/>
                <w:highlight w:val="none"/>
              </w:rPr>
              <w:t>投标函》；按招标文件所提供的《政府采购投标及履约承诺函》进行承诺；</w:t>
            </w:r>
          </w:p>
        </w:tc>
        <w:tc>
          <w:tcPr>
            <w:tcW w:w="2762" w:type="dxa"/>
            <w:gridSpan w:val="2"/>
            <w:vAlign w:val="center"/>
          </w:tcPr>
          <w:p>
            <w:pPr>
              <w:tabs>
                <w:tab w:val="clear" w:pos="426"/>
              </w:tabs>
              <w:adjustRightInd/>
              <w:snapToGrid/>
              <w:spacing w:line="240" w:lineRule="auto"/>
              <w:jc w:val="cente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trPr>
        <w:tc>
          <w:tcPr>
            <w:tcW w:w="865" w:type="dxa"/>
            <w:vAlign w:val="center"/>
          </w:tcPr>
          <w:p>
            <w:pPr>
              <w:widowControl w:val="0"/>
              <w:shd w:val="clear" w:color="auto" w:fill="auto"/>
              <w:tabs>
                <w:tab w:val="clear" w:pos="426"/>
              </w:tabs>
              <w:adjustRightInd/>
              <w:snapToGrid/>
              <w:spacing w:line="240" w:lineRule="auto"/>
              <w:jc w:val="center"/>
              <w:rPr>
                <w:highlight w:val="none"/>
              </w:rPr>
            </w:pPr>
            <w:r>
              <w:rPr>
                <w:rFonts w:hint="eastAsia"/>
                <w:highlight w:val="none"/>
              </w:rPr>
              <w:t>5</w:t>
            </w:r>
          </w:p>
        </w:tc>
        <w:tc>
          <w:tcPr>
            <w:tcW w:w="5943" w:type="dxa"/>
            <w:gridSpan w:val="4"/>
            <w:vAlign w:val="center"/>
          </w:tcPr>
          <w:p>
            <w:pPr>
              <w:tabs>
                <w:tab w:val="clear" w:pos="426"/>
              </w:tabs>
              <w:adjustRightInd/>
              <w:snapToGrid/>
              <w:spacing w:line="240" w:lineRule="auto"/>
              <w:rPr>
                <w:highlight w:val="none"/>
              </w:rPr>
            </w:pPr>
            <w:r>
              <w:rPr>
                <w:rFonts w:hint="eastAsia"/>
                <w:highlight w:val="none"/>
              </w:rPr>
              <w:t>按照招标文件规定要求签署、盖章；投标文件有法定代表人签字，签字人有法定代表人有效授权书；</w:t>
            </w:r>
          </w:p>
        </w:tc>
        <w:tc>
          <w:tcPr>
            <w:tcW w:w="2762" w:type="dxa"/>
            <w:gridSpan w:val="2"/>
            <w:vAlign w:val="center"/>
          </w:tcPr>
          <w:p>
            <w:pPr>
              <w:tabs>
                <w:tab w:val="clear" w:pos="426"/>
              </w:tabs>
              <w:adjustRightInd/>
              <w:snapToGrid/>
              <w:spacing w:line="240" w:lineRule="auto"/>
              <w:jc w:val="center"/>
              <w:rPr>
                <w:b/>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5" w:type="dxa"/>
            <w:vAlign w:val="center"/>
          </w:tcPr>
          <w:p>
            <w:pPr>
              <w:widowControl w:val="0"/>
              <w:shd w:val="clear" w:color="auto" w:fill="auto"/>
              <w:tabs>
                <w:tab w:val="clear" w:pos="426"/>
              </w:tabs>
              <w:adjustRightInd/>
              <w:snapToGrid/>
              <w:spacing w:line="240" w:lineRule="auto"/>
              <w:jc w:val="center"/>
              <w:rPr>
                <w:highlight w:val="none"/>
              </w:rPr>
            </w:pPr>
            <w:r>
              <w:rPr>
                <w:rFonts w:hint="eastAsia"/>
                <w:highlight w:val="none"/>
              </w:rPr>
              <w:t>6</w:t>
            </w:r>
          </w:p>
        </w:tc>
        <w:tc>
          <w:tcPr>
            <w:tcW w:w="5943" w:type="dxa"/>
            <w:gridSpan w:val="4"/>
            <w:vAlign w:val="center"/>
          </w:tcPr>
          <w:p>
            <w:pPr>
              <w:tabs>
                <w:tab w:val="clear" w:pos="426"/>
              </w:tabs>
              <w:adjustRightInd/>
              <w:snapToGrid/>
              <w:spacing w:line="240" w:lineRule="auto"/>
              <w:rPr>
                <w:highlight w:val="none"/>
              </w:rPr>
            </w:pPr>
            <w:r>
              <w:rPr>
                <w:rFonts w:hint="eastAsia"/>
                <w:highlight w:val="none"/>
              </w:rPr>
              <w:t>投标总价或分项报价不高于财政预算限额（最高投标限价）；</w:t>
            </w:r>
          </w:p>
        </w:tc>
        <w:tc>
          <w:tcPr>
            <w:tcW w:w="2762" w:type="dxa"/>
            <w:gridSpan w:val="2"/>
            <w:vAlign w:val="center"/>
          </w:tcPr>
          <w:p>
            <w:pPr>
              <w:tabs>
                <w:tab w:val="clear" w:pos="426"/>
              </w:tabs>
              <w:adjustRightInd/>
              <w:snapToGrid/>
              <w:spacing w:line="240" w:lineRule="auto"/>
              <w:jc w:val="cente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5" w:type="dxa"/>
            <w:vAlign w:val="center"/>
          </w:tcPr>
          <w:p>
            <w:pPr>
              <w:widowControl w:val="0"/>
              <w:shd w:val="clear" w:color="auto" w:fill="auto"/>
              <w:tabs>
                <w:tab w:val="clear" w:pos="426"/>
              </w:tabs>
              <w:adjustRightInd/>
              <w:snapToGrid/>
              <w:spacing w:line="240" w:lineRule="auto"/>
              <w:jc w:val="center"/>
              <w:rPr>
                <w:highlight w:val="none"/>
              </w:rPr>
            </w:pPr>
            <w:r>
              <w:rPr>
                <w:rFonts w:hint="eastAsia"/>
                <w:highlight w:val="none"/>
              </w:rPr>
              <w:t>7</w:t>
            </w:r>
          </w:p>
        </w:tc>
        <w:tc>
          <w:tcPr>
            <w:tcW w:w="5943" w:type="dxa"/>
            <w:gridSpan w:val="4"/>
            <w:vAlign w:val="center"/>
          </w:tcPr>
          <w:p>
            <w:pPr>
              <w:tabs>
                <w:tab w:val="clear" w:pos="426"/>
              </w:tabs>
              <w:adjustRightInd/>
              <w:snapToGrid/>
              <w:spacing w:line="240" w:lineRule="auto"/>
              <w:rPr>
                <w:highlight w:val="none"/>
              </w:rPr>
            </w:pPr>
            <w:r>
              <w:rPr>
                <w:rFonts w:hint="eastAsia"/>
                <w:highlight w:val="none"/>
              </w:rPr>
              <w:t>不存在以下情形：</w:t>
            </w:r>
            <w:r>
              <w:rPr>
                <w:szCs w:val="21"/>
                <w:highlight w:val="none"/>
              </w:rPr>
              <w:t>同一项目出现两个及以上报价，且按规定无法确定哪个是有效报价；</w:t>
            </w:r>
          </w:p>
        </w:tc>
        <w:tc>
          <w:tcPr>
            <w:tcW w:w="2762" w:type="dxa"/>
            <w:gridSpan w:val="2"/>
            <w:vAlign w:val="center"/>
          </w:tcPr>
          <w:p>
            <w:pPr>
              <w:tabs>
                <w:tab w:val="clear" w:pos="426"/>
              </w:tabs>
              <w:adjustRightInd/>
              <w:snapToGrid/>
              <w:spacing w:line="240" w:lineRule="auto"/>
              <w:jc w:val="center"/>
              <w:rPr>
                <w:b/>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5" w:type="dxa"/>
            <w:vAlign w:val="center"/>
          </w:tcPr>
          <w:p>
            <w:pPr>
              <w:widowControl w:val="0"/>
              <w:shd w:val="clear" w:color="auto" w:fill="auto"/>
              <w:tabs>
                <w:tab w:val="clear" w:pos="426"/>
              </w:tabs>
              <w:adjustRightInd/>
              <w:snapToGrid/>
              <w:spacing w:line="240" w:lineRule="auto"/>
              <w:jc w:val="center"/>
              <w:rPr>
                <w:highlight w:val="none"/>
              </w:rPr>
            </w:pPr>
            <w:r>
              <w:rPr>
                <w:rFonts w:hint="eastAsia"/>
                <w:highlight w:val="none"/>
              </w:rPr>
              <w:t>8</w:t>
            </w:r>
          </w:p>
        </w:tc>
        <w:tc>
          <w:tcPr>
            <w:tcW w:w="5943" w:type="dxa"/>
            <w:gridSpan w:val="4"/>
            <w:vAlign w:val="center"/>
          </w:tcPr>
          <w:p>
            <w:pPr>
              <w:tabs>
                <w:tab w:val="clear" w:pos="426"/>
              </w:tabs>
              <w:adjustRightInd/>
              <w:snapToGrid/>
              <w:spacing w:line="240" w:lineRule="auto"/>
              <w:rPr>
                <w:highlight w:val="none"/>
              </w:rPr>
            </w:pPr>
            <w:r>
              <w:rPr>
                <w:rFonts w:hint="eastAsia"/>
                <w:highlight w:val="none"/>
              </w:rPr>
              <w:t>不存在以下情形：评标委员会认为投标人的报价明显低于其他通过符合性审查投标人的报价，有可能影响产品质量或者不能诚信履约的，且不能在合理的时间内提供书面说明，或无法提交相关证明材料，投标人不能证明其报价合理性的；</w:t>
            </w:r>
          </w:p>
        </w:tc>
        <w:tc>
          <w:tcPr>
            <w:tcW w:w="2762" w:type="dxa"/>
            <w:gridSpan w:val="2"/>
            <w:vAlign w:val="center"/>
          </w:tcPr>
          <w:p>
            <w:pPr>
              <w:tabs>
                <w:tab w:val="clear" w:pos="426"/>
              </w:tabs>
              <w:adjustRightInd/>
              <w:snapToGrid/>
              <w:spacing w:line="240" w:lineRule="auto"/>
              <w:jc w:val="center"/>
              <w:rPr>
                <w:b/>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5" w:type="dxa"/>
            <w:vAlign w:val="center"/>
          </w:tcPr>
          <w:p>
            <w:pPr>
              <w:widowControl w:val="0"/>
              <w:shd w:val="clear" w:color="auto" w:fill="auto"/>
              <w:tabs>
                <w:tab w:val="clear" w:pos="426"/>
              </w:tabs>
              <w:adjustRightInd/>
              <w:snapToGrid/>
              <w:spacing w:line="240" w:lineRule="auto"/>
              <w:jc w:val="center"/>
              <w:rPr>
                <w:highlight w:val="none"/>
              </w:rPr>
            </w:pPr>
            <w:r>
              <w:rPr>
                <w:rFonts w:hint="eastAsia"/>
                <w:highlight w:val="none"/>
              </w:rPr>
              <w:t>9</w:t>
            </w:r>
          </w:p>
        </w:tc>
        <w:tc>
          <w:tcPr>
            <w:tcW w:w="5943" w:type="dxa"/>
            <w:gridSpan w:val="4"/>
            <w:vAlign w:val="center"/>
          </w:tcPr>
          <w:p>
            <w:pPr>
              <w:tabs>
                <w:tab w:val="clear" w:pos="426"/>
              </w:tabs>
              <w:adjustRightInd/>
              <w:snapToGrid/>
              <w:spacing w:line="240" w:lineRule="auto"/>
              <w:rPr>
                <w:highlight w:val="none"/>
              </w:rPr>
            </w:pPr>
            <w:r>
              <w:rPr>
                <w:rFonts w:hint="eastAsia"/>
                <w:highlight w:val="none"/>
              </w:rPr>
              <w:t>投标文件载明的交货期未超过招标文件规定的期限；</w:t>
            </w:r>
          </w:p>
        </w:tc>
        <w:tc>
          <w:tcPr>
            <w:tcW w:w="2762" w:type="dxa"/>
            <w:gridSpan w:val="2"/>
            <w:vAlign w:val="center"/>
          </w:tcPr>
          <w:p>
            <w:pPr>
              <w:tabs>
                <w:tab w:val="clear" w:pos="426"/>
              </w:tabs>
              <w:adjustRightInd/>
              <w:snapToGrid/>
              <w:spacing w:line="240" w:lineRule="auto"/>
              <w:jc w:val="cente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5" w:type="dxa"/>
            <w:vAlign w:val="center"/>
          </w:tcPr>
          <w:p>
            <w:pPr>
              <w:widowControl w:val="0"/>
              <w:shd w:val="clear" w:color="auto" w:fill="auto"/>
              <w:tabs>
                <w:tab w:val="clear" w:pos="426"/>
              </w:tabs>
              <w:adjustRightInd/>
              <w:snapToGrid/>
              <w:spacing w:line="240" w:lineRule="auto"/>
              <w:jc w:val="center"/>
              <w:rPr>
                <w:highlight w:val="none"/>
              </w:rPr>
            </w:pPr>
            <w:r>
              <w:rPr>
                <w:rFonts w:hint="eastAsia"/>
                <w:highlight w:val="none"/>
              </w:rPr>
              <w:t>10</w:t>
            </w:r>
          </w:p>
        </w:tc>
        <w:tc>
          <w:tcPr>
            <w:tcW w:w="5943" w:type="dxa"/>
            <w:gridSpan w:val="4"/>
            <w:vAlign w:val="center"/>
          </w:tcPr>
          <w:p>
            <w:pPr>
              <w:tabs>
                <w:tab w:val="clear" w:pos="426"/>
              </w:tabs>
              <w:adjustRightInd/>
              <w:snapToGrid/>
              <w:spacing w:line="240" w:lineRule="auto"/>
              <w:rPr>
                <w:highlight w:val="none"/>
              </w:rPr>
            </w:pPr>
            <w:r>
              <w:rPr>
                <w:rFonts w:hint="eastAsia"/>
                <w:highlight w:val="none"/>
              </w:rPr>
              <w:t>投标文件载明的免费保修期未低于招标文件规定的期限；</w:t>
            </w:r>
          </w:p>
        </w:tc>
        <w:tc>
          <w:tcPr>
            <w:tcW w:w="2762" w:type="dxa"/>
            <w:gridSpan w:val="2"/>
            <w:vAlign w:val="center"/>
          </w:tcPr>
          <w:p>
            <w:pPr>
              <w:tabs>
                <w:tab w:val="clear" w:pos="426"/>
              </w:tabs>
              <w:adjustRightInd/>
              <w:snapToGrid/>
              <w:spacing w:line="240" w:lineRule="auto"/>
              <w:jc w:val="center"/>
              <w:rPr>
                <w:b/>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5" w:type="dxa"/>
            <w:vAlign w:val="center"/>
          </w:tcPr>
          <w:p>
            <w:pPr>
              <w:widowControl w:val="0"/>
              <w:shd w:val="clear" w:color="auto" w:fill="auto"/>
              <w:tabs>
                <w:tab w:val="clear" w:pos="426"/>
              </w:tabs>
              <w:adjustRightInd/>
              <w:snapToGrid/>
              <w:spacing w:line="240" w:lineRule="auto"/>
              <w:jc w:val="center"/>
              <w:rPr>
                <w:highlight w:val="none"/>
              </w:rPr>
            </w:pPr>
            <w:r>
              <w:rPr>
                <w:rFonts w:hint="eastAsia"/>
                <w:highlight w:val="none"/>
              </w:rPr>
              <w:t>11</w:t>
            </w:r>
          </w:p>
        </w:tc>
        <w:tc>
          <w:tcPr>
            <w:tcW w:w="5943" w:type="dxa"/>
            <w:gridSpan w:val="4"/>
            <w:vAlign w:val="center"/>
          </w:tcPr>
          <w:p>
            <w:pPr>
              <w:tabs>
                <w:tab w:val="clear" w:pos="426"/>
              </w:tabs>
              <w:adjustRightInd/>
              <w:snapToGrid/>
              <w:spacing w:line="240" w:lineRule="auto"/>
              <w:rPr>
                <w:highlight w:val="none"/>
              </w:rPr>
            </w:pPr>
            <w:r>
              <w:rPr>
                <w:rFonts w:hint="eastAsia"/>
                <w:highlight w:val="none"/>
              </w:rPr>
              <w:t>所投产品、工程、服务在质量、技术、方案等方面实质性满足招标文件要求；</w:t>
            </w:r>
          </w:p>
        </w:tc>
        <w:tc>
          <w:tcPr>
            <w:tcW w:w="2762" w:type="dxa"/>
            <w:gridSpan w:val="2"/>
            <w:vAlign w:val="center"/>
          </w:tcPr>
          <w:p>
            <w:pPr>
              <w:tabs>
                <w:tab w:val="clear" w:pos="426"/>
              </w:tabs>
              <w:adjustRightInd/>
              <w:snapToGrid/>
              <w:spacing w:line="240" w:lineRule="auto"/>
              <w:jc w:val="center"/>
              <w:rPr>
                <w:b/>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5" w:type="dxa"/>
            <w:vAlign w:val="center"/>
          </w:tcPr>
          <w:p>
            <w:pPr>
              <w:widowControl w:val="0"/>
              <w:shd w:val="clear" w:color="auto" w:fill="auto"/>
              <w:tabs>
                <w:tab w:val="clear" w:pos="426"/>
              </w:tabs>
              <w:adjustRightInd/>
              <w:snapToGrid/>
              <w:spacing w:line="240" w:lineRule="auto"/>
              <w:jc w:val="center"/>
              <w:rPr>
                <w:highlight w:val="none"/>
              </w:rPr>
            </w:pPr>
            <w:r>
              <w:rPr>
                <w:rFonts w:hint="eastAsia"/>
                <w:highlight w:val="none"/>
              </w:rPr>
              <w:t>12</w:t>
            </w:r>
          </w:p>
        </w:tc>
        <w:tc>
          <w:tcPr>
            <w:tcW w:w="5943" w:type="dxa"/>
            <w:gridSpan w:val="4"/>
            <w:vAlign w:val="center"/>
          </w:tcPr>
          <w:p>
            <w:pPr>
              <w:tabs>
                <w:tab w:val="clear" w:pos="426"/>
              </w:tabs>
              <w:adjustRightInd/>
              <w:snapToGrid/>
              <w:spacing w:line="240" w:lineRule="auto"/>
              <w:rPr>
                <w:highlight w:val="none"/>
              </w:rPr>
            </w:pPr>
            <w:r>
              <w:rPr>
                <w:rFonts w:hint="eastAsia"/>
                <w:highlight w:val="none"/>
              </w:rPr>
              <w:t>未出现《技术规格偏离表》或《商务需求偏离表》填写不全、不明或不实；</w:t>
            </w:r>
          </w:p>
        </w:tc>
        <w:tc>
          <w:tcPr>
            <w:tcW w:w="2762" w:type="dxa"/>
            <w:gridSpan w:val="2"/>
            <w:vAlign w:val="center"/>
          </w:tcPr>
          <w:p>
            <w:pPr>
              <w:tabs>
                <w:tab w:val="clear" w:pos="426"/>
              </w:tabs>
              <w:adjustRightInd/>
              <w:snapToGrid/>
              <w:spacing w:line="240" w:lineRule="auto"/>
              <w:jc w:val="center"/>
              <w:rPr>
                <w:b/>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5" w:type="dxa"/>
            <w:vAlign w:val="center"/>
          </w:tcPr>
          <w:p>
            <w:pPr>
              <w:widowControl w:val="0"/>
              <w:shd w:val="clear" w:color="auto" w:fill="auto"/>
              <w:tabs>
                <w:tab w:val="clear" w:pos="426"/>
              </w:tabs>
              <w:adjustRightInd/>
              <w:snapToGrid/>
              <w:spacing w:line="240" w:lineRule="auto"/>
              <w:jc w:val="center"/>
              <w:rPr>
                <w:highlight w:val="none"/>
              </w:rPr>
            </w:pPr>
            <w:r>
              <w:rPr>
                <w:rFonts w:hint="eastAsia"/>
                <w:highlight w:val="none"/>
              </w:rPr>
              <w:t>13</w:t>
            </w:r>
          </w:p>
        </w:tc>
        <w:tc>
          <w:tcPr>
            <w:tcW w:w="5943" w:type="dxa"/>
            <w:gridSpan w:val="4"/>
            <w:vAlign w:val="center"/>
          </w:tcPr>
          <w:p>
            <w:pPr>
              <w:tabs>
                <w:tab w:val="clear" w:pos="426"/>
              </w:tabs>
              <w:adjustRightInd/>
              <w:snapToGrid/>
              <w:spacing w:line="240" w:lineRule="auto"/>
              <w:rPr>
                <w:highlight w:val="none"/>
              </w:rPr>
            </w:pPr>
            <w:r>
              <w:rPr>
                <w:rFonts w:hint="eastAsia"/>
                <w:highlight w:val="none"/>
              </w:rPr>
              <w:t>投标文件不存在招标文件中规定的其它无效投标条款的；</w:t>
            </w:r>
          </w:p>
        </w:tc>
        <w:tc>
          <w:tcPr>
            <w:tcW w:w="2762" w:type="dxa"/>
            <w:gridSpan w:val="2"/>
            <w:vAlign w:val="center"/>
          </w:tcPr>
          <w:p>
            <w:pPr>
              <w:tabs>
                <w:tab w:val="clear" w:pos="426"/>
              </w:tabs>
              <w:adjustRightInd/>
              <w:snapToGrid/>
              <w:spacing w:line="240" w:lineRule="auto"/>
              <w:jc w:val="cente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5" w:type="dxa"/>
            <w:vAlign w:val="center"/>
          </w:tcPr>
          <w:p>
            <w:pPr>
              <w:widowControl w:val="0"/>
              <w:shd w:val="clear" w:color="auto" w:fill="auto"/>
              <w:tabs>
                <w:tab w:val="clear" w:pos="426"/>
              </w:tabs>
              <w:adjustRightInd/>
              <w:snapToGrid/>
              <w:spacing w:line="240" w:lineRule="auto"/>
              <w:jc w:val="center"/>
              <w:rPr>
                <w:highlight w:val="none"/>
              </w:rPr>
            </w:pPr>
            <w:r>
              <w:rPr>
                <w:rFonts w:hint="eastAsia"/>
                <w:highlight w:val="none"/>
              </w:rPr>
              <w:t>14</w:t>
            </w:r>
          </w:p>
        </w:tc>
        <w:tc>
          <w:tcPr>
            <w:tcW w:w="5943" w:type="dxa"/>
            <w:gridSpan w:val="4"/>
            <w:vAlign w:val="center"/>
          </w:tcPr>
          <w:p>
            <w:pPr>
              <w:tabs>
                <w:tab w:val="clear" w:pos="426"/>
              </w:tabs>
              <w:adjustRightInd/>
              <w:snapToGrid/>
              <w:spacing w:line="240" w:lineRule="auto"/>
              <w:rPr>
                <w:highlight w:val="none"/>
              </w:rPr>
            </w:pPr>
            <w:r>
              <w:rPr>
                <w:rFonts w:hint="eastAsia"/>
                <w:highlight w:val="none"/>
              </w:rPr>
              <w:t>不属于法律、法规规定的投标无效的其他情形。</w:t>
            </w:r>
          </w:p>
        </w:tc>
        <w:tc>
          <w:tcPr>
            <w:tcW w:w="2762" w:type="dxa"/>
            <w:gridSpan w:val="2"/>
            <w:vAlign w:val="center"/>
          </w:tcPr>
          <w:p>
            <w:pPr>
              <w:tabs>
                <w:tab w:val="clear" w:pos="426"/>
              </w:tabs>
              <w:adjustRightInd/>
              <w:snapToGrid/>
              <w:spacing w:line="240" w:lineRule="auto"/>
              <w:jc w:val="cente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70" w:type="dxa"/>
            <w:gridSpan w:val="7"/>
            <w:vAlign w:val="center"/>
          </w:tcPr>
          <w:p>
            <w:pPr>
              <w:tabs>
                <w:tab w:val="clear" w:pos="426"/>
              </w:tabs>
              <w:adjustRightInd/>
              <w:snapToGrid/>
              <w:spacing w:line="240" w:lineRule="auto"/>
              <w:jc w:val="center"/>
              <w:rPr>
                <w:b/>
                <w:highlight w:val="none"/>
              </w:rPr>
            </w:pPr>
            <w:r>
              <w:rPr>
                <w:rFonts w:hint="eastAsia"/>
                <w:b/>
                <w:highlight w:val="none"/>
              </w:rPr>
              <w:t>三、综合评分指引（请根据项目评分表内容调整）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11" w:type="dxa"/>
            <w:gridSpan w:val="2"/>
            <w:vAlign w:val="center"/>
          </w:tcPr>
          <w:p>
            <w:pPr>
              <w:tabs>
                <w:tab w:val="clear" w:pos="426"/>
              </w:tabs>
              <w:adjustRightInd/>
              <w:snapToGrid/>
              <w:spacing w:line="240" w:lineRule="auto"/>
              <w:jc w:val="center"/>
              <w:rPr>
                <w:b/>
                <w:highlight w:val="none"/>
              </w:rPr>
            </w:pPr>
            <w:r>
              <w:rPr>
                <w:rFonts w:hint="eastAsia"/>
                <w:b/>
                <w:highlight w:val="none"/>
              </w:rPr>
              <w:t>评分类别</w:t>
            </w:r>
          </w:p>
        </w:tc>
        <w:tc>
          <w:tcPr>
            <w:tcW w:w="5499" w:type="dxa"/>
            <w:gridSpan w:val="2"/>
            <w:vAlign w:val="center"/>
          </w:tcPr>
          <w:p>
            <w:pPr>
              <w:tabs>
                <w:tab w:val="clear" w:pos="426"/>
              </w:tabs>
              <w:adjustRightInd/>
              <w:snapToGrid/>
              <w:spacing w:line="240" w:lineRule="auto"/>
              <w:jc w:val="center"/>
              <w:rPr>
                <w:b/>
                <w:highlight w:val="none"/>
              </w:rPr>
            </w:pPr>
            <w:r>
              <w:rPr>
                <w:rFonts w:hint="eastAsia"/>
                <w:b/>
                <w:highlight w:val="none"/>
              </w:rPr>
              <w:t>评分项目</w:t>
            </w:r>
          </w:p>
        </w:tc>
        <w:tc>
          <w:tcPr>
            <w:tcW w:w="1463" w:type="dxa"/>
            <w:gridSpan w:val="2"/>
            <w:vAlign w:val="center"/>
          </w:tcPr>
          <w:p>
            <w:pPr>
              <w:tabs>
                <w:tab w:val="clear" w:pos="426"/>
              </w:tabs>
              <w:adjustRightInd/>
              <w:snapToGrid/>
              <w:spacing w:line="240" w:lineRule="auto"/>
              <w:jc w:val="center"/>
              <w:rPr>
                <w:b/>
                <w:highlight w:val="none"/>
              </w:rPr>
            </w:pPr>
            <w:r>
              <w:rPr>
                <w:rFonts w:hint="eastAsia"/>
                <w:b/>
                <w:highlight w:val="none"/>
              </w:rPr>
              <w:t>对应章节</w:t>
            </w:r>
          </w:p>
        </w:tc>
        <w:tc>
          <w:tcPr>
            <w:tcW w:w="1397" w:type="dxa"/>
            <w:vAlign w:val="center"/>
          </w:tcPr>
          <w:p>
            <w:pPr>
              <w:tabs>
                <w:tab w:val="clear" w:pos="426"/>
              </w:tabs>
              <w:adjustRightInd/>
              <w:snapToGrid/>
              <w:spacing w:line="240" w:lineRule="auto"/>
              <w:jc w:val="center"/>
              <w:rPr>
                <w:b/>
                <w:highlight w:val="none"/>
              </w:rPr>
            </w:pPr>
            <w:r>
              <w:rPr>
                <w:rFonts w:hint="eastAsia"/>
                <w:b/>
                <w:highlight w:val="none"/>
              </w:rPr>
              <w:t>起止页码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11" w:type="dxa"/>
            <w:gridSpan w:val="2"/>
            <w:vAlign w:val="center"/>
          </w:tcPr>
          <w:p>
            <w:pPr>
              <w:tabs>
                <w:tab w:val="clear" w:pos="426"/>
              </w:tabs>
              <w:adjustRightInd/>
              <w:snapToGrid/>
              <w:spacing w:line="240" w:lineRule="auto"/>
              <w:jc w:val="center"/>
              <w:rPr>
                <w:b/>
                <w:highlight w:val="none"/>
              </w:rPr>
            </w:pPr>
            <w:r>
              <w:rPr>
                <w:rFonts w:hint="eastAsia"/>
                <w:b/>
                <w:highlight w:val="none"/>
              </w:rPr>
              <w:t>价格部分</w:t>
            </w:r>
          </w:p>
        </w:tc>
        <w:tc>
          <w:tcPr>
            <w:tcW w:w="5499" w:type="dxa"/>
            <w:gridSpan w:val="2"/>
            <w:vAlign w:val="center"/>
          </w:tcPr>
          <w:p>
            <w:pPr>
              <w:tabs>
                <w:tab w:val="clear" w:pos="426"/>
              </w:tabs>
              <w:adjustRightInd/>
              <w:snapToGrid/>
              <w:spacing w:line="240" w:lineRule="auto"/>
              <w:jc w:val="center"/>
              <w:rPr>
                <w:b/>
                <w:highlight w:val="none"/>
              </w:rPr>
            </w:pPr>
          </w:p>
        </w:tc>
        <w:tc>
          <w:tcPr>
            <w:tcW w:w="1463" w:type="dxa"/>
            <w:gridSpan w:val="2"/>
            <w:vAlign w:val="center"/>
          </w:tcPr>
          <w:p>
            <w:pPr>
              <w:tabs>
                <w:tab w:val="clear" w:pos="426"/>
              </w:tabs>
              <w:adjustRightInd/>
              <w:snapToGrid/>
              <w:spacing w:line="240" w:lineRule="auto"/>
              <w:jc w:val="center"/>
              <w:rPr>
                <w:b/>
                <w:highlight w:val="none"/>
              </w:rPr>
            </w:pPr>
          </w:p>
        </w:tc>
        <w:tc>
          <w:tcPr>
            <w:tcW w:w="1397" w:type="dxa"/>
            <w:vAlign w:val="center"/>
          </w:tcPr>
          <w:p>
            <w:pPr>
              <w:tabs>
                <w:tab w:val="clear" w:pos="426"/>
              </w:tabs>
              <w:adjustRightInd/>
              <w:snapToGrid/>
              <w:spacing w:line="240" w:lineRule="auto"/>
              <w:jc w:val="center"/>
              <w:rPr>
                <w:b/>
                <w:highlight w:val="none"/>
              </w:rPr>
            </w:pPr>
            <w:r>
              <w:rPr>
                <w:rFonts w:hint="eastAsia"/>
                <w:b/>
                <w:highlight w:val="none"/>
              </w:rPr>
              <w:t>P  -P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11" w:type="dxa"/>
            <w:gridSpan w:val="2"/>
            <w:vMerge w:val="restart"/>
            <w:vAlign w:val="center"/>
          </w:tcPr>
          <w:p>
            <w:pPr>
              <w:tabs>
                <w:tab w:val="clear" w:pos="426"/>
              </w:tabs>
              <w:adjustRightInd/>
              <w:snapToGrid/>
              <w:spacing w:line="240" w:lineRule="auto"/>
              <w:jc w:val="center"/>
              <w:rPr>
                <w:b/>
                <w:highlight w:val="none"/>
              </w:rPr>
            </w:pPr>
            <w:r>
              <w:rPr>
                <w:rFonts w:hint="eastAsia"/>
                <w:b/>
                <w:highlight w:val="none"/>
              </w:rPr>
              <w:t>技术部分</w:t>
            </w:r>
          </w:p>
        </w:tc>
        <w:tc>
          <w:tcPr>
            <w:tcW w:w="5499" w:type="dxa"/>
            <w:gridSpan w:val="2"/>
            <w:shd w:val="clear" w:color="auto" w:fill="auto"/>
            <w:vAlign w:val="center"/>
          </w:tcPr>
          <w:p>
            <w:pPr>
              <w:tabs>
                <w:tab w:val="clear" w:pos="426"/>
              </w:tabs>
              <w:adjustRightInd/>
              <w:snapToGrid/>
              <w:spacing w:line="240" w:lineRule="auto"/>
              <w:jc w:val="center"/>
              <w:rPr>
                <w:highlight w:val="none"/>
              </w:rPr>
            </w:pPr>
          </w:p>
        </w:tc>
        <w:tc>
          <w:tcPr>
            <w:tcW w:w="1463" w:type="dxa"/>
            <w:gridSpan w:val="2"/>
            <w:vAlign w:val="center"/>
          </w:tcPr>
          <w:p>
            <w:pPr>
              <w:tabs>
                <w:tab w:val="clear" w:pos="426"/>
              </w:tabs>
              <w:adjustRightInd/>
              <w:snapToGrid/>
              <w:spacing w:line="240" w:lineRule="auto"/>
              <w:jc w:val="center"/>
              <w:rPr>
                <w:b/>
                <w:highlight w:val="none"/>
              </w:rPr>
            </w:pPr>
          </w:p>
        </w:tc>
        <w:tc>
          <w:tcPr>
            <w:tcW w:w="1397" w:type="dxa"/>
            <w:vAlign w:val="center"/>
          </w:tcPr>
          <w:p>
            <w:pPr>
              <w:tabs>
                <w:tab w:val="clear" w:pos="426"/>
              </w:tabs>
              <w:adjustRightInd/>
              <w:snapToGrid/>
              <w:spacing w:line="240" w:lineRule="auto"/>
              <w:jc w:val="center"/>
              <w:rPr>
                <w:b/>
                <w:highlight w:val="none"/>
              </w:rPr>
            </w:pPr>
            <w:r>
              <w:rPr>
                <w:rFonts w:hint="eastAsia"/>
                <w:b/>
                <w:highlight w:val="none"/>
              </w:rPr>
              <w:t xml:space="preserve">P  -P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11" w:type="dxa"/>
            <w:gridSpan w:val="2"/>
            <w:vMerge w:val="continue"/>
            <w:vAlign w:val="center"/>
          </w:tcPr>
          <w:p>
            <w:pPr>
              <w:tabs>
                <w:tab w:val="clear" w:pos="426"/>
              </w:tabs>
              <w:adjustRightInd/>
              <w:snapToGrid/>
              <w:spacing w:line="240" w:lineRule="auto"/>
              <w:jc w:val="center"/>
              <w:rPr>
                <w:b/>
                <w:highlight w:val="none"/>
              </w:rPr>
            </w:pPr>
          </w:p>
        </w:tc>
        <w:tc>
          <w:tcPr>
            <w:tcW w:w="5499" w:type="dxa"/>
            <w:gridSpan w:val="2"/>
            <w:shd w:val="clear" w:color="auto" w:fill="auto"/>
            <w:vAlign w:val="center"/>
          </w:tcPr>
          <w:p>
            <w:pPr>
              <w:tabs>
                <w:tab w:val="clear" w:pos="426"/>
              </w:tabs>
              <w:adjustRightInd/>
              <w:snapToGrid/>
              <w:spacing w:line="240" w:lineRule="auto"/>
              <w:jc w:val="center"/>
              <w:rPr>
                <w:highlight w:val="none"/>
              </w:rPr>
            </w:pPr>
          </w:p>
        </w:tc>
        <w:tc>
          <w:tcPr>
            <w:tcW w:w="1463" w:type="dxa"/>
            <w:gridSpan w:val="2"/>
            <w:vAlign w:val="center"/>
          </w:tcPr>
          <w:p>
            <w:pPr>
              <w:tabs>
                <w:tab w:val="clear" w:pos="426"/>
              </w:tabs>
              <w:adjustRightInd/>
              <w:snapToGrid/>
              <w:spacing w:line="240" w:lineRule="auto"/>
              <w:jc w:val="center"/>
              <w:rPr>
                <w:b/>
                <w:highlight w:val="none"/>
              </w:rPr>
            </w:pPr>
          </w:p>
        </w:tc>
        <w:tc>
          <w:tcPr>
            <w:tcW w:w="1397" w:type="dxa"/>
            <w:vAlign w:val="center"/>
          </w:tcPr>
          <w:p>
            <w:pPr>
              <w:tabs>
                <w:tab w:val="clear" w:pos="426"/>
              </w:tabs>
              <w:adjustRightInd/>
              <w:snapToGrid/>
              <w:spacing w:line="240" w:lineRule="auto"/>
              <w:jc w:val="center"/>
              <w:rPr>
                <w:b/>
                <w:highlight w:val="none"/>
              </w:rPr>
            </w:pPr>
            <w:r>
              <w:rPr>
                <w:rFonts w:hint="eastAsia"/>
                <w:b/>
                <w:highlight w:val="none"/>
              </w:rPr>
              <w:t xml:space="preserve">P  -P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11" w:type="dxa"/>
            <w:gridSpan w:val="2"/>
            <w:vMerge w:val="continue"/>
            <w:vAlign w:val="center"/>
          </w:tcPr>
          <w:p>
            <w:pPr>
              <w:tabs>
                <w:tab w:val="clear" w:pos="426"/>
              </w:tabs>
              <w:adjustRightInd/>
              <w:snapToGrid/>
              <w:spacing w:line="240" w:lineRule="auto"/>
              <w:jc w:val="center"/>
              <w:rPr>
                <w:b/>
                <w:highlight w:val="none"/>
              </w:rPr>
            </w:pPr>
          </w:p>
        </w:tc>
        <w:tc>
          <w:tcPr>
            <w:tcW w:w="5499" w:type="dxa"/>
            <w:gridSpan w:val="2"/>
            <w:shd w:val="clear" w:color="auto" w:fill="auto"/>
            <w:vAlign w:val="center"/>
          </w:tcPr>
          <w:p>
            <w:pPr>
              <w:tabs>
                <w:tab w:val="clear" w:pos="426"/>
              </w:tabs>
              <w:adjustRightInd/>
              <w:snapToGrid/>
              <w:spacing w:line="240" w:lineRule="auto"/>
              <w:jc w:val="center"/>
              <w:rPr>
                <w:b/>
                <w:highlight w:val="none"/>
              </w:rPr>
            </w:pPr>
          </w:p>
        </w:tc>
        <w:tc>
          <w:tcPr>
            <w:tcW w:w="1463" w:type="dxa"/>
            <w:gridSpan w:val="2"/>
            <w:vAlign w:val="center"/>
          </w:tcPr>
          <w:p>
            <w:pPr>
              <w:tabs>
                <w:tab w:val="clear" w:pos="426"/>
              </w:tabs>
              <w:adjustRightInd/>
              <w:snapToGrid/>
              <w:spacing w:line="240" w:lineRule="auto"/>
              <w:jc w:val="center"/>
              <w:rPr>
                <w:b/>
                <w:highlight w:val="none"/>
              </w:rPr>
            </w:pPr>
          </w:p>
        </w:tc>
        <w:tc>
          <w:tcPr>
            <w:tcW w:w="1397" w:type="dxa"/>
            <w:vAlign w:val="center"/>
          </w:tcPr>
          <w:p>
            <w:pPr>
              <w:tabs>
                <w:tab w:val="clear" w:pos="426"/>
              </w:tabs>
              <w:adjustRightInd/>
              <w:snapToGrid/>
              <w:spacing w:line="240" w:lineRule="auto"/>
              <w:jc w:val="center"/>
              <w:rPr>
                <w:b/>
                <w:highlight w:val="none"/>
              </w:rPr>
            </w:pPr>
            <w:r>
              <w:rPr>
                <w:rFonts w:hint="eastAsia"/>
                <w:b/>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11" w:type="dxa"/>
            <w:gridSpan w:val="2"/>
            <w:vMerge w:val="restart"/>
            <w:vAlign w:val="center"/>
          </w:tcPr>
          <w:p>
            <w:pPr>
              <w:tabs>
                <w:tab w:val="clear" w:pos="426"/>
              </w:tabs>
              <w:adjustRightInd/>
              <w:snapToGrid/>
              <w:spacing w:line="240" w:lineRule="auto"/>
              <w:jc w:val="center"/>
              <w:rPr>
                <w:b/>
                <w:highlight w:val="none"/>
              </w:rPr>
            </w:pPr>
            <w:r>
              <w:rPr>
                <w:rFonts w:hint="eastAsia"/>
                <w:b/>
                <w:highlight w:val="none"/>
              </w:rPr>
              <w:t>商务部分</w:t>
            </w:r>
          </w:p>
        </w:tc>
        <w:tc>
          <w:tcPr>
            <w:tcW w:w="5499" w:type="dxa"/>
            <w:gridSpan w:val="2"/>
            <w:shd w:val="clear" w:color="auto" w:fill="auto"/>
            <w:vAlign w:val="center"/>
          </w:tcPr>
          <w:p>
            <w:pPr>
              <w:tabs>
                <w:tab w:val="clear" w:pos="426"/>
              </w:tabs>
              <w:adjustRightInd/>
              <w:snapToGrid/>
              <w:spacing w:line="240" w:lineRule="auto"/>
              <w:jc w:val="center"/>
              <w:rPr>
                <w:b/>
                <w:highlight w:val="none"/>
              </w:rPr>
            </w:pPr>
          </w:p>
        </w:tc>
        <w:tc>
          <w:tcPr>
            <w:tcW w:w="1463" w:type="dxa"/>
            <w:gridSpan w:val="2"/>
            <w:vAlign w:val="center"/>
          </w:tcPr>
          <w:p>
            <w:pPr>
              <w:tabs>
                <w:tab w:val="clear" w:pos="426"/>
              </w:tabs>
              <w:adjustRightInd/>
              <w:snapToGrid/>
              <w:spacing w:line="240" w:lineRule="auto"/>
              <w:jc w:val="center"/>
              <w:rPr>
                <w:b/>
                <w:highlight w:val="none"/>
              </w:rPr>
            </w:pPr>
          </w:p>
        </w:tc>
        <w:tc>
          <w:tcPr>
            <w:tcW w:w="1397" w:type="dxa"/>
            <w:vAlign w:val="center"/>
          </w:tcPr>
          <w:p>
            <w:pPr>
              <w:tabs>
                <w:tab w:val="clear" w:pos="426"/>
              </w:tabs>
              <w:adjustRightInd/>
              <w:snapToGrid/>
              <w:spacing w:line="240" w:lineRule="auto"/>
              <w:jc w:val="center"/>
              <w:rPr>
                <w:b/>
                <w:highlight w:val="none"/>
              </w:rPr>
            </w:pPr>
            <w:r>
              <w:rPr>
                <w:rFonts w:hint="eastAsia"/>
                <w:b/>
                <w:highlight w:val="none"/>
              </w:rPr>
              <w:t xml:space="preserve">P  -P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11" w:type="dxa"/>
            <w:gridSpan w:val="2"/>
            <w:vMerge w:val="continue"/>
            <w:vAlign w:val="center"/>
          </w:tcPr>
          <w:p>
            <w:pPr>
              <w:tabs>
                <w:tab w:val="clear" w:pos="426"/>
              </w:tabs>
              <w:adjustRightInd/>
              <w:snapToGrid/>
              <w:spacing w:line="240" w:lineRule="auto"/>
              <w:jc w:val="center"/>
              <w:rPr>
                <w:b/>
                <w:highlight w:val="none"/>
              </w:rPr>
            </w:pPr>
          </w:p>
        </w:tc>
        <w:tc>
          <w:tcPr>
            <w:tcW w:w="5499" w:type="dxa"/>
            <w:gridSpan w:val="2"/>
            <w:shd w:val="clear" w:color="auto" w:fill="auto"/>
            <w:vAlign w:val="center"/>
          </w:tcPr>
          <w:p>
            <w:pPr>
              <w:tabs>
                <w:tab w:val="clear" w:pos="426"/>
              </w:tabs>
              <w:adjustRightInd/>
              <w:snapToGrid/>
              <w:spacing w:line="240" w:lineRule="auto"/>
              <w:jc w:val="center"/>
              <w:rPr>
                <w:b/>
                <w:highlight w:val="none"/>
              </w:rPr>
            </w:pPr>
          </w:p>
        </w:tc>
        <w:tc>
          <w:tcPr>
            <w:tcW w:w="1463" w:type="dxa"/>
            <w:gridSpan w:val="2"/>
            <w:vAlign w:val="center"/>
          </w:tcPr>
          <w:p>
            <w:pPr>
              <w:tabs>
                <w:tab w:val="clear" w:pos="426"/>
              </w:tabs>
              <w:adjustRightInd/>
              <w:snapToGrid/>
              <w:spacing w:line="240" w:lineRule="auto"/>
              <w:jc w:val="center"/>
              <w:rPr>
                <w:b/>
                <w:highlight w:val="none"/>
              </w:rPr>
            </w:pPr>
          </w:p>
        </w:tc>
        <w:tc>
          <w:tcPr>
            <w:tcW w:w="1397" w:type="dxa"/>
            <w:vAlign w:val="center"/>
          </w:tcPr>
          <w:p>
            <w:pPr>
              <w:tabs>
                <w:tab w:val="clear" w:pos="426"/>
              </w:tabs>
              <w:adjustRightInd/>
              <w:snapToGrid/>
              <w:spacing w:line="240" w:lineRule="auto"/>
              <w:jc w:val="center"/>
              <w:rPr>
                <w:b/>
                <w:highlight w:val="none"/>
              </w:rPr>
            </w:pPr>
            <w:r>
              <w:rPr>
                <w:rFonts w:hint="eastAsia"/>
                <w:b/>
                <w:highlight w:val="none"/>
              </w:rPr>
              <w:t xml:space="preserve">P  -P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11" w:type="dxa"/>
            <w:gridSpan w:val="2"/>
            <w:vMerge w:val="continue"/>
            <w:vAlign w:val="center"/>
          </w:tcPr>
          <w:p>
            <w:pPr>
              <w:tabs>
                <w:tab w:val="clear" w:pos="426"/>
              </w:tabs>
              <w:adjustRightInd/>
              <w:snapToGrid/>
              <w:spacing w:line="240" w:lineRule="auto"/>
              <w:jc w:val="center"/>
              <w:rPr>
                <w:b/>
                <w:highlight w:val="none"/>
              </w:rPr>
            </w:pPr>
          </w:p>
        </w:tc>
        <w:tc>
          <w:tcPr>
            <w:tcW w:w="5499" w:type="dxa"/>
            <w:gridSpan w:val="2"/>
            <w:shd w:val="clear" w:color="auto" w:fill="auto"/>
            <w:vAlign w:val="center"/>
          </w:tcPr>
          <w:p>
            <w:pPr>
              <w:tabs>
                <w:tab w:val="clear" w:pos="426"/>
              </w:tabs>
              <w:adjustRightInd/>
              <w:snapToGrid/>
              <w:spacing w:line="240" w:lineRule="auto"/>
              <w:jc w:val="center"/>
              <w:rPr>
                <w:b/>
                <w:highlight w:val="none"/>
              </w:rPr>
            </w:pPr>
          </w:p>
        </w:tc>
        <w:tc>
          <w:tcPr>
            <w:tcW w:w="1463" w:type="dxa"/>
            <w:gridSpan w:val="2"/>
            <w:vAlign w:val="center"/>
          </w:tcPr>
          <w:p>
            <w:pPr>
              <w:tabs>
                <w:tab w:val="clear" w:pos="426"/>
              </w:tabs>
              <w:adjustRightInd/>
              <w:snapToGrid/>
              <w:spacing w:line="240" w:lineRule="auto"/>
              <w:jc w:val="center"/>
              <w:rPr>
                <w:b/>
                <w:highlight w:val="none"/>
              </w:rPr>
            </w:pPr>
          </w:p>
        </w:tc>
        <w:tc>
          <w:tcPr>
            <w:tcW w:w="1397" w:type="dxa"/>
            <w:vAlign w:val="center"/>
          </w:tcPr>
          <w:p>
            <w:pPr>
              <w:tabs>
                <w:tab w:val="clear" w:pos="426"/>
              </w:tabs>
              <w:adjustRightInd/>
              <w:snapToGrid/>
              <w:spacing w:line="240" w:lineRule="auto"/>
              <w:jc w:val="center"/>
              <w:rPr>
                <w:b/>
                <w:highlight w:val="none"/>
              </w:rPr>
            </w:pPr>
            <w:r>
              <w:rPr>
                <w:rFonts w:hint="eastAsia"/>
                <w:b/>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11" w:type="dxa"/>
            <w:gridSpan w:val="2"/>
            <w:vAlign w:val="center"/>
          </w:tcPr>
          <w:p>
            <w:pPr>
              <w:tabs>
                <w:tab w:val="clear" w:pos="426"/>
              </w:tabs>
              <w:adjustRightInd/>
              <w:snapToGrid/>
              <w:spacing w:line="240" w:lineRule="auto"/>
              <w:jc w:val="center"/>
              <w:rPr>
                <w:b/>
                <w:highlight w:val="none"/>
              </w:rPr>
            </w:pPr>
            <w:r>
              <w:rPr>
                <w:rFonts w:hint="eastAsia"/>
                <w:b/>
                <w:highlight w:val="none"/>
              </w:rPr>
              <w:t>……</w:t>
            </w:r>
          </w:p>
        </w:tc>
        <w:tc>
          <w:tcPr>
            <w:tcW w:w="5499" w:type="dxa"/>
            <w:gridSpan w:val="2"/>
            <w:shd w:val="clear" w:color="auto" w:fill="auto"/>
            <w:vAlign w:val="center"/>
          </w:tcPr>
          <w:p>
            <w:pPr>
              <w:tabs>
                <w:tab w:val="clear" w:pos="426"/>
              </w:tabs>
              <w:adjustRightInd/>
              <w:snapToGrid/>
              <w:spacing w:line="240" w:lineRule="auto"/>
              <w:jc w:val="center"/>
              <w:rPr>
                <w:b/>
                <w:highlight w:val="none"/>
              </w:rPr>
            </w:pPr>
          </w:p>
        </w:tc>
        <w:tc>
          <w:tcPr>
            <w:tcW w:w="1463" w:type="dxa"/>
            <w:gridSpan w:val="2"/>
            <w:vAlign w:val="center"/>
          </w:tcPr>
          <w:p>
            <w:pPr>
              <w:tabs>
                <w:tab w:val="clear" w:pos="426"/>
              </w:tabs>
              <w:adjustRightInd/>
              <w:snapToGrid/>
              <w:spacing w:line="240" w:lineRule="auto"/>
              <w:jc w:val="center"/>
              <w:rPr>
                <w:b/>
                <w:highlight w:val="none"/>
              </w:rPr>
            </w:pPr>
          </w:p>
        </w:tc>
        <w:tc>
          <w:tcPr>
            <w:tcW w:w="1397" w:type="dxa"/>
            <w:vAlign w:val="center"/>
          </w:tcPr>
          <w:p>
            <w:pPr>
              <w:tabs>
                <w:tab w:val="clear" w:pos="426"/>
              </w:tabs>
              <w:adjustRightInd/>
              <w:snapToGrid/>
              <w:spacing w:line="240" w:lineRule="auto"/>
              <w:jc w:val="center"/>
              <w:rPr>
                <w:b/>
                <w:highlight w:val="none"/>
              </w:rPr>
            </w:pPr>
            <w:r>
              <w:rPr>
                <w:rFonts w:hint="eastAsia"/>
                <w:b/>
                <w:highlight w:val="none"/>
              </w:rPr>
              <w:t xml:space="preserve">P  -P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11" w:type="dxa"/>
            <w:gridSpan w:val="2"/>
            <w:vAlign w:val="center"/>
          </w:tcPr>
          <w:p>
            <w:pPr>
              <w:tabs>
                <w:tab w:val="clear" w:pos="426"/>
              </w:tabs>
              <w:adjustRightInd/>
              <w:snapToGrid/>
              <w:spacing w:line="240" w:lineRule="auto"/>
              <w:jc w:val="center"/>
              <w:rPr>
                <w:b/>
                <w:highlight w:val="none"/>
              </w:rPr>
            </w:pPr>
            <w:r>
              <w:rPr>
                <w:rFonts w:hint="eastAsia"/>
                <w:b/>
                <w:highlight w:val="none"/>
              </w:rPr>
              <w:t>……</w:t>
            </w:r>
          </w:p>
        </w:tc>
        <w:tc>
          <w:tcPr>
            <w:tcW w:w="5499" w:type="dxa"/>
            <w:gridSpan w:val="2"/>
            <w:shd w:val="clear" w:color="auto" w:fill="auto"/>
            <w:vAlign w:val="center"/>
          </w:tcPr>
          <w:p>
            <w:pPr>
              <w:tabs>
                <w:tab w:val="clear" w:pos="426"/>
              </w:tabs>
              <w:adjustRightInd/>
              <w:snapToGrid/>
              <w:spacing w:line="240" w:lineRule="auto"/>
              <w:jc w:val="center"/>
              <w:rPr>
                <w:b/>
                <w:highlight w:val="none"/>
              </w:rPr>
            </w:pPr>
          </w:p>
        </w:tc>
        <w:tc>
          <w:tcPr>
            <w:tcW w:w="1463" w:type="dxa"/>
            <w:gridSpan w:val="2"/>
            <w:vAlign w:val="center"/>
          </w:tcPr>
          <w:p>
            <w:pPr>
              <w:tabs>
                <w:tab w:val="clear" w:pos="426"/>
              </w:tabs>
              <w:adjustRightInd/>
              <w:snapToGrid/>
              <w:spacing w:line="240" w:lineRule="auto"/>
              <w:jc w:val="center"/>
              <w:rPr>
                <w:b/>
                <w:highlight w:val="none"/>
              </w:rPr>
            </w:pPr>
          </w:p>
        </w:tc>
        <w:tc>
          <w:tcPr>
            <w:tcW w:w="1397" w:type="dxa"/>
            <w:vAlign w:val="center"/>
          </w:tcPr>
          <w:p>
            <w:pPr>
              <w:tabs>
                <w:tab w:val="clear" w:pos="426"/>
              </w:tabs>
              <w:adjustRightInd/>
              <w:snapToGrid/>
              <w:spacing w:line="240" w:lineRule="auto"/>
              <w:jc w:val="center"/>
              <w:rPr>
                <w:b/>
                <w:highlight w:val="none"/>
              </w:rPr>
            </w:pPr>
            <w:r>
              <w:rPr>
                <w:rFonts w:hint="eastAsia"/>
                <w:b/>
                <w:highlight w:val="none"/>
              </w:rPr>
              <w:t xml:space="preserve">P  -P  </w:t>
            </w:r>
          </w:p>
        </w:tc>
      </w:tr>
    </w:tbl>
    <w:p>
      <w:pPr>
        <w:tabs>
          <w:tab w:val="clear" w:pos="426"/>
        </w:tabs>
        <w:rPr>
          <w:highlight w:val="none"/>
        </w:rPr>
      </w:pPr>
      <w:r>
        <w:rPr>
          <w:rFonts w:hint="eastAsia"/>
          <w:szCs w:val="21"/>
          <w:highlight w:val="none"/>
        </w:rPr>
        <w:t>备注：对于“</w:t>
      </w:r>
      <w:r>
        <w:rPr>
          <w:rFonts w:hint="eastAsia"/>
          <w:b/>
          <w:highlight w:val="none"/>
        </w:rPr>
        <w:t>综合评分指引”</w:t>
      </w:r>
      <w:r>
        <w:rPr>
          <w:rFonts w:hint="eastAsia"/>
          <w:szCs w:val="21"/>
          <w:highlight w:val="none"/>
        </w:rPr>
        <w:t>请投标人按照</w:t>
      </w:r>
      <w:r>
        <w:rPr>
          <w:rFonts w:hint="eastAsia"/>
          <w:b/>
          <w:szCs w:val="21"/>
          <w:highlight w:val="none"/>
        </w:rPr>
        <w:t>评分细则表</w:t>
      </w:r>
      <w:r>
        <w:rPr>
          <w:rFonts w:hint="eastAsia"/>
          <w:szCs w:val="21"/>
          <w:highlight w:val="none"/>
        </w:rPr>
        <w:t>的评分要求，根据各评分项目以</w:t>
      </w:r>
      <w:r>
        <w:rPr>
          <w:rFonts w:hint="eastAsia"/>
          <w:b/>
          <w:szCs w:val="21"/>
          <w:highlight w:val="none"/>
        </w:rPr>
        <w:t>自上而下</w:t>
      </w:r>
      <w:r>
        <w:rPr>
          <w:rFonts w:hint="eastAsia"/>
          <w:szCs w:val="21"/>
          <w:highlight w:val="none"/>
        </w:rPr>
        <w:t>的顺序编制</w:t>
      </w:r>
      <w:r>
        <w:rPr>
          <w:rFonts w:hint="eastAsia"/>
          <w:highlight w:val="none"/>
        </w:rPr>
        <w:t>。因项目次序混乱而影响评标效率及评标结果者，投标人自负其责。</w:t>
      </w:r>
    </w:p>
    <w:p>
      <w:pPr>
        <w:numPr>
          <w:ilvl w:val="0"/>
          <w:numId w:val="25"/>
        </w:numPr>
        <w:adjustRightInd/>
        <w:snapToGrid/>
        <w:spacing w:before="280" w:after="290" w:line="377" w:lineRule="auto"/>
        <w:outlineLvl w:val="2"/>
        <w:rPr>
          <w:b/>
          <w:sz w:val="24"/>
          <w:highlight w:val="none"/>
        </w:rPr>
      </w:pPr>
      <w:r>
        <w:rPr>
          <w:rFonts w:ascii="黑体" w:eastAsia="黑体"/>
          <w:bCs/>
          <w:sz w:val="28"/>
          <w:highlight w:val="none"/>
        </w:rPr>
        <w:br w:type="page"/>
      </w:r>
      <w:r>
        <w:rPr>
          <w:rFonts w:hint="eastAsia"/>
          <w:b/>
          <w:sz w:val="24"/>
          <w:highlight w:val="none"/>
        </w:rPr>
        <w:t>投标函</w:t>
      </w:r>
    </w:p>
    <w:p>
      <w:pPr>
        <w:widowControl w:val="0"/>
        <w:shd w:val="clear" w:color="auto" w:fill="auto"/>
        <w:tabs>
          <w:tab w:val="clear" w:pos="426"/>
        </w:tabs>
        <w:adjustRightInd/>
        <w:snapToGrid/>
        <w:spacing w:line="300" w:lineRule="auto"/>
        <w:jc w:val="center"/>
        <w:rPr>
          <w:rFonts w:cs="Times New Roman"/>
          <w:bCs/>
          <w:kern w:val="2"/>
          <w:sz w:val="32"/>
          <w:szCs w:val="32"/>
          <w:highlight w:val="none"/>
        </w:rPr>
      </w:pPr>
      <w:bookmarkStart w:id="47" w:name="_Toc201742865"/>
      <w:bookmarkStart w:id="48" w:name="_Toc201743120"/>
      <w:bookmarkStart w:id="49" w:name="_Toc201997950"/>
      <w:bookmarkStart w:id="50" w:name="_Toc201719122"/>
      <w:r>
        <w:rPr>
          <w:rFonts w:hint="eastAsia" w:cs="Times New Roman"/>
          <w:bCs/>
          <w:kern w:val="2"/>
          <w:sz w:val="32"/>
          <w:szCs w:val="32"/>
          <w:highlight w:val="none"/>
        </w:rPr>
        <w:t>投标函</w:t>
      </w:r>
      <w:bookmarkEnd w:id="47"/>
      <w:bookmarkEnd w:id="48"/>
      <w:bookmarkEnd w:id="49"/>
      <w:bookmarkEnd w:id="50"/>
    </w:p>
    <w:p>
      <w:pPr>
        <w:tabs>
          <w:tab w:val="clear" w:pos="426"/>
        </w:tabs>
        <w:spacing w:line="300" w:lineRule="auto"/>
        <w:rPr>
          <w:szCs w:val="21"/>
          <w:highlight w:val="none"/>
        </w:rPr>
      </w:pPr>
    </w:p>
    <w:p>
      <w:pPr>
        <w:tabs>
          <w:tab w:val="clear" w:pos="426"/>
        </w:tabs>
        <w:spacing w:line="300" w:lineRule="auto"/>
        <w:rPr>
          <w:szCs w:val="21"/>
          <w:highlight w:val="none"/>
        </w:rPr>
      </w:pPr>
      <w:r>
        <w:rPr>
          <w:rFonts w:hint="eastAsia"/>
          <w:szCs w:val="21"/>
          <w:highlight w:val="none"/>
        </w:rPr>
        <w:t>致：</w:t>
      </w:r>
      <w:r>
        <w:rPr>
          <w:rFonts w:hint="eastAsia"/>
          <w:szCs w:val="21"/>
          <w:highlight w:val="none"/>
          <w:u w:val="single"/>
        </w:rPr>
        <w:t xml:space="preserve">（采购人名称)          </w:t>
      </w:r>
    </w:p>
    <w:p>
      <w:pPr>
        <w:spacing w:afterLines="50"/>
        <w:ind w:firstLine="420" w:firstLineChars="200"/>
        <w:rPr>
          <w:szCs w:val="21"/>
          <w:highlight w:val="none"/>
        </w:rPr>
      </w:pPr>
      <w:r>
        <w:rPr>
          <w:rFonts w:hint="eastAsia"/>
          <w:szCs w:val="21"/>
          <w:highlight w:val="none"/>
        </w:rPr>
        <w:t>1、根据已收到贵方的招标编号为的项目的招标文件，遵照《深圳经济特区政府采购条例》等有关规定，我单位经研究上述招标文件的专用条款及通用条款后，我方愿以投标书《开标一览表》中填写的投标报价并按招标文件要求承包上述项目并修补其任何缺陷。</w:t>
      </w:r>
    </w:p>
    <w:p>
      <w:pPr>
        <w:spacing w:afterLines="50"/>
        <w:ind w:firstLine="420" w:firstLineChars="200"/>
        <w:rPr>
          <w:szCs w:val="21"/>
          <w:highlight w:val="none"/>
        </w:rPr>
      </w:pPr>
      <w:r>
        <w:rPr>
          <w:szCs w:val="21"/>
          <w:highlight w:val="none"/>
        </w:rPr>
        <w:t>2</w:t>
      </w:r>
      <w:r>
        <w:rPr>
          <w:rFonts w:hint="eastAsia"/>
          <w:szCs w:val="21"/>
          <w:highlight w:val="none"/>
        </w:rPr>
        <w:t>、我方已认真核实了投标文件的全部资料，所有资料均为真实资料。我方对投标文件中全部投标资料的真实性负责，如被证实我方的投标文件中存在虚假资料的，则视为我方隐瞒真实情况、提供虚假资料，我方愿意接受主管部门作出的行政处罚。</w:t>
      </w:r>
    </w:p>
    <w:p>
      <w:pPr>
        <w:spacing w:afterLines="50"/>
        <w:ind w:firstLine="420" w:firstLineChars="200"/>
        <w:rPr>
          <w:szCs w:val="21"/>
          <w:highlight w:val="none"/>
        </w:rPr>
      </w:pPr>
      <w:r>
        <w:rPr>
          <w:rFonts w:hint="eastAsia"/>
          <w:szCs w:val="21"/>
          <w:highlight w:val="none"/>
        </w:rPr>
        <w:t>3、如果我方中标，我方将按照规定提交上述总价</w:t>
      </w:r>
      <w:r>
        <w:rPr>
          <w:rFonts w:hint="eastAsia"/>
          <w:szCs w:val="21"/>
          <w:highlight w:val="none"/>
          <w:u w:val="single"/>
          <w:lang w:val="en-US" w:eastAsia="zh-CN"/>
        </w:rPr>
        <w:t>/</w:t>
      </w:r>
      <w:r>
        <w:rPr>
          <w:rFonts w:hint="eastAsia"/>
          <w:szCs w:val="21"/>
          <w:highlight w:val="none"/>
        </w:rPr>
        <w:t>％（或万元）作为履约担保（可提供保函或现金）。</w:t>
      </w:r>
    </w:p>
    <w:p>
      <w:pPr>
        <w:spacing w:afterLines="50"/>
        <w:ind w:firstLine="411" w:firstLineChars="196"/>
        <w:rPr>
          <w:szCs w:val="21"/>
          <w:highlight w:val="none"/>
        </w:rPr>
      </w:pPr>
      <w:r>
        <w:rPr>
          <w:rFonts w:hint="eastAsia"/>
          <w:szCs w:val="21"/>
          <w:highlight w:val="none"/>
        </w:rPr>
        <w:t>4、我方同意所递交的投标文件在“对通用条款的补充内容”中的投标有效期内有效，在此期间内我方的投标有可能中标，我方将受此约束。</w:t>
      </w:r>
    </w:p>
    <w:p>
      <w:pPr>
        <w:spacing w:afterLines="50"/>
        <w:ind w:firstLine="411" w:firstLineChars="196"/>
        <w:rPr>
          <w:szCs w:val="21"/>
          <w:highlight w:val="none"/>
        </w:rPr>
      </w:pPr>
      <w:r>
        <w:rPr>
          <w:rFonts w:hint="eastAsia"/>
          <w:szCs w:val="21"/>
          <w:highlight w:val="none"/>
        </w:rPr>
        <w:t>5、除非另外达成协议并生效，贵方的中标通知书和本投标文件将构成约束我们双方的合同。</w:t>
      </w:r>
    </w:p>
    <w:p>
      <w:pPr>
        <w:spacing w:afterLines="50"/>
        <w:ind w:firstLine="411" w:firstLineChars="196"/>
        <w:rPr>
          <w:szCs w:val="21"/>
          <w:highlight w:val="none"/>
        </w:rPr>
      </w:pPr>
      <w:r>
        <w:rPr>
          <w:rFonts w:hint="eastAsia"/>
          <w:szCs w:val="21"/>
          <w:highlight w:val="none"/>
        </w:rPr>
        <w:t>5、我方理解贵方将不受必须接受你们所收到的最低标价或其它任何投标文件的约束。</w:t>
      </w:r>
    </w:p>
    <w:p>
      <w:pPr>
        <w:tabs>
          <w:tab w:val="clear" w:pos="426"/>
        </w:tabs>
        <w:spacing w:line="300" w:lineRule="auto"/>
        <w:rPr>
          <w:szCs w:val="21"/>
          <w:highlight w:val="none"/>
        </w:rPr>
      </w:pPr>
    </w:p>
    <w:p>
      <w:pPr>
        <w:tabs>
          <w:tab w:val="clear" w:pos="426"/>
        </w:tabs>
        <w:spacing w:line="300" w:lineRule="auto"/>
        <w:rPr>
          <w:szCs w:val="21"/>
          <w:highlight w:val="none"/>
        </w:rPr>
      </w:pPr>
    </w:p>
    <w:p>
      <w:pPr>
        <w:tabs>
          <w:tab w:val="clear" w:pos="426"/>
        </w:tabs>
        <w:spacing w:line="300" w:lineRule="auto"/>
        <w:rPr>
          <w:szCs w:val="21"/>
          <w:highlight w:val="none"/>
        </w:rPr>
      </w:pPr>
    </w:p>
    <w:p>
      <w:pPr>
        <w:tabs>
          <w:tab w:val="clear" w:pos="426"/>
        </w:tabs>
        <w:spacing w:line="300" w:lineRule="auto"/>
        <w:rPr>
          <w:szCs w:val="21"/>
          <w:highlight w:val="none"/>
        </w:rPr>
      </w:pPr>
      <w:r>
        <w:rPr>
          <w:rFonts w:hint="eastAsia"/>
          <w:szCs w:val="21"/>
          <w:highlight w:val="none"/>
        </w:rPr>
        <w:t>地址：  电话：</w:t>
      </w:r>
    </w:p>
    <w:p>
      <w:pPr>
        <w:tabs>
          <w:tab w:val="clear" w:pos="426"/>
        </w:tabs>
        <w:spacing w:line="300" w:lineRule="auto"/>
        <w:rPr>
          <w:szCs w:val="21"/>
          <w:highlight w:val="none"/>
          <w:u w:val="single"/>
        </w:rPr>
      </w:pPr>
      <w:r>
        <w:rPr>
          <w:rFonts w:hint="eastAsia"/>
          <w:szCs w:val="21"/>
          <w:highlight w:val="none"/>
        </w:rPr>
        <w:t>投标人名称（公章）：</w:t>
      </w:r>
    </w:p>
    <w:p>
      <w:pPr>
        <w:tabs>
          <w:tab w:val="clear" w:pos="426"/>
        </w:tabs>
        <w:spacing w:line="300" w:lineRule="auto"/>
        <w:rPr>
          <w:szCs w:val="21"/>
          <w:highlight w:val="none"/>
          <w:u w:val="single"/>
        </w:rPr>
      </w:pPr>
      <w:r>
        <w:rPr>
          <w:rFonts w:hint="eastAsia"/>
          <w:szCs w:val="21"/>
          <w:highlight w:val="none"/>
        </w:rPr>
        <w:t xml:space="preserve">投标人代表（签字)： </w:t>
      </w:r>
    </w:p>
    <w:p>
      <w:pPr>
        <w:tabs>
          <w:tab w:val="clear" w:pos="426"/>
        </w:tabs>
        <w:spacing w:line="300" w:lineRule="auto"/>
        <w:rPr>
          <w:szCs w:val="21"/>
          <w:highlight w:val="none"/>
          <w:u w:val="single"/>
        </w:rPr>
      </w:pPr>
      <w:r>
        <w:rPr>
          <w:rFonts w:hint="eastAsia"/>
          <w:szCs w:val="21"/>
          <w:highlight w:val="none"/>
        </w:rPr>
        <w:t>日期：</w:t>
      </w:r>
    </w:p>
    <w:p>
      <w:pPr>
        <w:tabs>
          <w:tab w:val="clear" w:pos="426"/>
        </w:tabs>
        <w:spacing w:line="300" w:lineRule="auto"/>
        <w:rPr>
          <w:highlight w:val="none"/>
        </w:rPr>
      </w:pPr>
    </w:p>
    <w:p>
      <w:pPr>
        <w:tabs>
          <w:tab w:val="clear" w:pos="426"/>
        </w:tabs>
        <w:spacing w:line="300" w:lineRule="auto"/>
        <w:rPr>
          <w:highlight w:val="none"/>
        </w:rPr>
      </w:pPr>
    </w:p>
    <w:p>
      <w:pPr>
        <w:tabs>
          <w:tab w:val="clear" w:pos="426"/>
        </w:tabs>
        <w:spacing w:line="300" w:lineRule="auto"/>
        <w:rPr>
          <w:b/>
          <w:sz w:val="24"/>
          <w:highlight w:val="none"/>
        </w:rPr>
      </w:pPr>
      <w:r>
        <w:rPr>
          <w:highlight w:val="none"/>
        </w:rPr>
        <w:br w:type="page"/>
      </w:r>
    </w:p>
    <w:p>
      <w:pPr>
        <w:tabs>
          <w:tab w:val="clear" w:pos="426"/>
        </w:tabs>
        <w:spacing w:line="500" w:lineRule="exact"/>
        <w:ind w:left="3826" w:leftChars="1822"/>
        <w:rPr>
          <w:b/>
          <w:bCs/>
          <w:highlight w:val="none"/>
          <w:u w:val="single"/>
        </w:rPr>
      </w:pPr>
    </w:p>
    <w:p>
      <w:pPr>
        <w:numPr>
          <w:ilvl w:val="0"/>
          <w:numId w:val="25"/>
        </w:numPr>
        <w:adjustRightInd/>
        <w:snapToGrid/>
        <w:spacing w:before="280" w:after="290" w:line="377" w:lineRule="auto"/>
        <w:outlineLvl w:val="2"/>
        <w:rPr>
          <w:b/>
          <w:sz w:val="24"/>
          <w:highlight w:val="none"/>
        </w:rPr>
      </w:pPr>
      <w:r>
        <w:rPr>
          <w:highlight w:val="none"/>
        </w:rPr>
        <w:br w:type="page"/>
      </w:r>
      <w:r>
        <w:rPr>
          <w:rFonts w:hint="eastAsia"/>
          <w:b/>
          <w:sz w:val="24"/>
          <w:highlight w:val="none"/>
        </w:rPr>
        <w:t>政府采购投标及履约承诺函</w:t>
      </w:r>
    </w:p>
    <w:p>
      <w:pPr>
        <w:widowControl w:val="0"/>
        <w:shd w:val="clear" w:color="auto" w:fill="auto"/>
        <w:tabs>
          <w:tab w:val="clear" w:pos="426"/>
        </w:tabs>
        <w:adjustRightInd/>
        <w:snapToGrid/>
        <w:spacing w:line="300" w:lineRule="auto"/>
        <w:jc w:val="center"/>
        <w:rPr>
          <w:rFonts w:cs="Times New Roman"/>
          <w:bCs/>
          <w:kern w:val="2"/>
          <w:sz w:val="32"/>
          <w:szCs w:val="32"/>
          <w:highlight w:val="none"/>
        </w:rPr>
      </w:pPr>
      <w:r>
        <w:rPr>
          <w:rFonts w:hint="eastAsia" w:cs="Times New Roman"/>
          <w:bCs/>
          <w:kern w:val="2"/>
          <w:sz w:val="32"/>
          <w:szCs w:val="32"/>
          <w:highlight w:val="none"/>
        </w:rPr>
        <w:t>政府采购投标及履约承诺函</w:t>
      </w:r>
    </w:p>
    <w:p>
      <w:pPr>
        <w:tabs>
          <w:tab w:val="clear" w:pos="426"/>
        </w:tabs>
        <w:rPr>
          <w:highlight w:val="none"/>
        </w:rPr>
      </w:pPr>
    </w:p>
    <w:p>
      <w:pPr>
        <w:tabs>
          <w:tab w:val="clear" w:pos="426"/>
        </w:tabs>
        <w:rPr>
          <w:highlight w:val="none"/>
        </w:rPr>
      </w:pPr>
      <w:r>
        <w:rPr>
          <w:rFonts w:hint="eastAsia"/>
          <w:highlight w:val="none"/>
        </w:rPr>
        <w:t>深圳市深水水务咨询有限公司：</w:t>
      </w:r>
    </w:p>
    <w:p>
      <w:pPr>
        <w:tabs>
          <w:tab w:val="clear" w:pos="426"/>
        </w:tabs>
        <w:spacing w:beforeLines="50" w:line="240" w:lineRule="auto"/>
        <w:ind w:firstLine="424" w:firstLineChars="202"/>
        <w:rPr>
          <w:highlight w:val="none"/>
        </w:rPr>
      </w:pPr>
      <w:r>
        <w:rPr>
          <w:rFonts w:hint="eastAsia"/>
          <w:highlight w:val="none"/>
        </w:rPr>
        <w:t>关于贵公司年月日发布</w:t>
      </w:r>
      <w:r>
        <w:rPr>
          <w:rFonts w:hint="eastAsia"/>
          <w:szCs w:val="21"/>
          <w:highlight w:val="none"/>
          <w:u w:val="single"/>
        </w:rPr>
        <w:t xml:space="preserve">（项目名称) </w:t>
      </w:r>
      <w:r>
        <w:rPr>
          <w:rFonts w:hint="eastAsia"/>
          <w:highlight w:val="none"/>
        </w:rPr>
        <w:t>项目（项目编号：</w:t>
      </w:r>
      <w:r>
        <w:rPr>
          <w:rFonts w:hint="eastAsia"/>
          <w:highlight w:val="none"/>
          <w:u w:val="single"/>
        </w:rPr>
        <w:t xml:space="preserve">（项目编号）  </w:t>
      </w:r>
      <w:r>
        <w:rPr>
          <w:rFonts w:hint="eastAsia"/>
          <w:highlight w:val="none"/>
        </w:rPr>
        <w:t>）的采购公告，本公司（企业）愿意参加投标，并声明：</w:t>
      </w:r>
    </w:p>
    <w:p>
      <w:pPr>
        <w:tabs>
          <w:tab w:val="clear" w:pos="426"/>
        </w:tabs>
        <w:spacing w:line="240" w:lineRule="auto"/>
        <w:ind w:firstLine="424" w:firstLineChars="202"/>
        <w:rPr>
          <w:highlight w:val="none"/>
        </w:rPr>
      </w:pPr>
      <w:r>
        <w:rPr>
          <w:highlight w:val="none"/>
        </w:rPr>
        <w:t>1.我公司本招标项目所提供的货物或服务未侵犯知识产权。</w:t>
      </w:r>
    </w:p>
    <w:p>
      <w:pPr>
        <w:tabs>
          <w:tab w:val="clear" w:pos="426"/>
        </w:tabs>
        <w:spacing w:line="240" w:lineRule="auto"/>
        <w:ind w:firstLine="426" w:firstLineChars="202"/>
        <w:rPr>
          <w:b/>
          <w:highlight w:val="none"/>
        </w:rPr>
      </w:pPr>
      <w:r>
        <w:rPr>
          <w:b/>
          <w:highlight w:val="none"/>
        </w:rPr>
        <w:t>2.我公司参与本项目投标前三年内，在经营活动中没有重大违法记录。</w:t>
      </w:r>
    </w:p>
    <w:p>
      <w:pPr>
        <w:tabs>
          <w:tab w:val="clear" w:pos="426"/>
        </w:tabs>
        <w:spacing w:line="240" w:lineRule="auto"/>
        <w:ind w:firstLine="426" w:firstLineChars="202"/>
        <w:rPr>
          <w:b/>
          <w:highlight w:val="none"/>
        </w:rPr>
      </w:pPr>
      <w:r>
        <w:rPr>
          <w:b/>
          <w:highlight w:val="none"/>
        </w:rPr>
        <w:t>3.我公司参与本项目政府采购活动时不存在被有关部门禁止参与政府采购活动且在有效期内的情况。</w:t>
      </w:r>
    </w:p>
    <w:p>
      <w:pPr>
        <w:tabs>
          <w:tab w:val="clear" w:pos="426"/>
        </w:tabs>
        <w:spacing w:line="240" w:lineRule="auto"/>
        <w:ind w:firstLine="426" w:firstLineChars="202"/>
        <w:rPr>
          <w:b/>
          <w:highlight w:val="none"/>
        </w:rPr>
      </w:pPr>
      <w:r>
        <w:rPr>
          <w:b/>
          <w:highlight w:val="none"/>
        </w:rPr>
        <w:t>4.我公司具备《中华人民共和国政府采购法》第二十二条规定的资质。</w:t>
      </w:r>
    </w:p>
    <w:p>
      <w:pPr>
        <w:tabs>
          <w:tab w:val="clear" w:pos="426"/>
        </w:tabs>
        <w:spacing w:line="240" w:lineRule="auto"/>
        <w:ind w:firstLine="426" w:firstLineChars="202"/>
        <w:rPr>
          <w:b/>
          <w:highlight w:val="none"/>
        </w:rPr>
      </w:pPr>
      <w:r>
        <w:rPr>
          <w:b/>
          <w:highlight w:val="none"/>
        </w:rPr>
        <w:t>5.我公司未被列入失信被执行人、重大税收违法案件当事人名单、政府采购严重违法失信行为记录名单</w:t>
      </w:r>
    </w:p>
    <w:p>
      <w:pPr>
        <w:tabs>
          <w:tab w:val="clear" w:pos="426"/>
        </w:tabs>
        <w:spacing w:line="240" w:lineRule="auto"/>
        <w:ind w:firstLine="424" w:firstLineChars="202"/>
        <w:rPr>
          <w:highlight w:val="none"/>
        </w:rPr>
      </w:pPr>
      <w:r>
        <w:rPr>
          <w:highlight w:val="none"/>
        </w:rPr>
        <w:t>6.我公司参与该项目投标，严格遵守政府采购相关法律，投标做到诚实，不造假，不围标、串标、陪标。我公司已清楚，如违反上述要求，其投标将作废，被没收投标保证金，被列入不良记录名单并在网上曝光，同时将被提请政府采购监督管理部门给予一定年限内禁止参与政府采购活动或其他处罚。</w:t>
      </w:r>
    </w:p>
    <w:p>
      <w:pPr>
        <w:tabs>
          <w:tab w:val="clear" w:pos="426"/>
        </w:tabs>
        <w:spacing w:line="240" w:lineRule="auto"/>
        <w:ind w:firstLine="424" w:firstLineChars="202"/>
        <w:rPr>
          <w:highlight w:val="none"/>
        </w:rPr>
      </w:pPr>
      <w:r>
        <w:rPr>
          <w:highlight w:val="none"/>
        </w:rPr>
        <w:t>7.我公司如果中标，做到守信，不偷工减料，依照本项目招标文件需求内容、签署的采购合同及本公司在投标中所作的一切承诺履约。项目验收达到全部指标合格，力争优良。</w:t>
      </w:r>
    </w:p>
    <w:p>
      <w:pPr>
        <w:tabs>
          <w:tab w:val="clear" w:pos="426"/>
        </w:tabs>
        <w:spacing w:line="240" w:lineRule="auto"/>
        <w:ind w:firstLine="424" w:firstLineChars="202"/>
        <w:rPr>
          <w:highlight w:val="none"/>
        </w:rPr>
      </w:pPr>
      <w:r>
        <w:rPr>
          <w:highlight w:val="none"/>
        </w:rPr>
        <w:t>8.我公司承诺本项目的报价不低于我公司的成本价，否则，我公司清楚将面临投标无效的风险；我公司承诺不恶意低价谋取中标；我公司对本项目的报价负责，中标后将严格按照本项目招标文件需求、签署的采购合同及我公司在投标中所作的全部承诺履行。我公司清楚，若我公司以“报价太低而无法履约”为理由放弃本项目中标资格时，愿意接受主管部门的处理处罚。若我公司中标本项目，我公司的报价明显低于其他投标人的报价时，我公司清楚，本项目将成为重点监管、重点验收项目，我公司将按时保质保量完成，并全力配合有关监管、验收工</w:t>
      </w:r>
      <w:r>
        <w:rPr>
          <w:rFonts w:hint="eastAsia"/>
          <w:highlight w:val="none"/>
        </w:rPr>
        <w:t>作；若我公司未按上述要求履约，我公司愿意接受主管部门的处理处罚。</w:t>
      </w:r>
    </w:p>
    <w:p>
      <w:pPr>
        <w:tabs>
          <w:tab w:val="clear" w:pos="426"/>
        </w:tabs>
        <w:spacing w:line="240" w:lineRule="auto"/>
        <w:ind w:firstLine="424" w:firstLineChars="202"/>
        <w:rPr>
          <w:highlight w:val="none"/>
        </w:rPr>
      </w:pPr>
      <w:r>
        <w:rPr>
          <w:highlight w:val="none"/>
        </w:rPr>
        <w:t>9.我公司已认真核实了投标文件的全部内容，所有资料均为真实资料。我公司对投标文件中全部投标资料的真实性负责，如被证实我公司的投标文件中存在虚假资料的，则视为我公司隐瞒真实情况、提供虚假资料，我公司愿意接受主管部门作出的行政处罚。</w:t>
      </w:r>
    </w:p>
    <w:p>
      <w:pPr>
        <w:tabs>
          <w:tab w:val="clear" w:pos="426"/>
        </w:tabs>
        <w:spacing w:line="240" w:lineRule="auto"/>
        <w:ind w:firstLine="424" w:firstLineChars="202"/>
        <w:rPr>
          <w:highlight w:val="none"/>
        </w:rPr>
      </w:pPr>
      <w:r>
        <w:rPr>
          <w:highlight w:val="none"/>
        </w:rPr>
        <w:t>10.我公司承诺不非法转包、分包。</w:t>
      </w:r>
    </w:p>
    <w:p>
      <w:pPr>
        <w:tabs>
          <w:tab w:val="clear" w:pos="426"/>
        </w:tabs>
        <w:spacing w:line="240" w:lineRule="auto"/>
        <w:ind w:firstLine="424" w:firstLineChars="202"/>
        <w:rPr>
          <w:highlight w:val="none"/>
        </w:rPr>
      </w:pPr>
      <w:r>
        <w:rPr>
          <w:rFonts w:hint="eastAsia"/>
          <w:highlight w:val="none"/>
        </w:rPr>
        <w:t>以上承诺，如有违反，愿依照国家相关法律处理，并承担由此给采购人带来的损失。</w:t>
      </w:r>
    </w:p>
    <w:p>
      <w:pPr>
        <w:tabs>
          <w:tab w:val="clear" w:pos="426"/>
        </w:tabs>
        <w:spacing w:line="240" w:lineRule="auto"/>
        <w:ind w:firstLine="420"/>
        <w:rPr>
          <w:highlight w:val="none"/>
        </w:rPr>
      </w:pPr>
      <w:r>
        <w:rPr>
          <w:rFonts w:hint="eastAsia"/>
          <w:highlight w:val="none"/>
        </w:rPr>
        <w:t>特此声明！</w:t>
      </w:r>
    </w:p>
    <w:p>
      <w:pPr>
        <w:tabs>
          <w:tab w:val="clear" w:pos="426"/>
        </w:tabs>
        <w:spacing w:line="240" w:lineRule="auto"/>
        <w:ind w:firstLine="420"/>
        <w:rPr>
          <w:highlight w:val="none"/>
        </w:rPr>
      </w:pPr>
    </w:p>
    <w:p>
      <w:pPr>
        <w:tabs>
          <w:tab w:val="clear" w:pos="426"/>
        </w:tabs>
        <w:ind w:firstLine="420"/>
        <w:rPr>
          <w:highlight w:val="none"/>
        </w:rPr>
      </w:pPr>
    </w:p>
    <w:p>
      <w:pPr>
        <w:tabs>
          <w:tab w:val="clear" w:pos="426"/>
        </w:tabs>
        <w:ind w:firstLine="420"/>
        <w:rPr>
          <w:highlight w:val="none"/>
        </w:rPr>
      </w:pPr>
    </w:p>
    <w:p>
      <w:pPr>
        <w:tabs>
          <w:tab w:val="clear" w:pos="426"/>
        </w:tabs>
        <w:ind w:firstLine="420"/>
        <w:rPr>
          <w:highlight w:val="none"/>
          <w:u w:val="single"/>
        </w:rPr>
      </w:pPr>
      <w:r>
        <w:rPr>
          <w:rFonts w:hint="eastAsia"/>
          <w:highlight w:val="none"/>
        </w:rPr>
        <w:t>单位名称：</w:t>
      </w:r>
    </w:p>
    <w:p>
      <w:pPr>
        <w:tabs>
          <w:tab w:val="clear" w:pos="426"/>
        </w:tabs>
        <w:ind w:firstLine="420"/>
        <w:rPr>
          <w:highlight w:val="none"/>
          <w:u w:val="single"/>
        </w:rPr>
      </w:pPr>
      <w:r>
        <w:rPr>
          <w:rFonts w:hint="eastAsia"/>
          <w:highlight w:val="none"/>
        </w:rPr>
        <w:t>法定代表人或投标人授权代表（签名或盖章）：</w:t>
      </w:r>
    </w:p>
    <w:p>
      <w:pPr>
        <w:tabs>
          <w:tab w:val="clear" w:pos="426"/>
        </w:tabs>
        <w:ind w:firstLine="420"/>
        <w:rPr>
          <w:highlight w:val="none"/>
          <w:u w:val="single"/>
        </w:rPr>
      </w:pPr>
      <w:r>
        <w:rPr>
          <w:rFonts w:hint="eastAsia"/>
          <w:highlight w:val="none"/>
        </w:rPr>
        <w:t>单位地址：</w:t>
      </w:r>
    </w:p>
    <w:p>
      <w:pPr>
        <w:tabs>
          <w:tab w:val="clear" w:pos="426"/>
        </w:tabs>
        <w:ind w:firstLine="420"/>
        <w:rPr>
          <w:highlight w:val="none"/>
          <w:u w:val="single"/>
        </w:rPr>
      </w:pPr>
      <w:r>
        <w:rPr>
          <w:rFonts w:hint="eastAsia"/>
          <w:highlight w:val="none"/>
        </w:rPr>
        <w:t>单位公章：</w:t>
      </w:r>
    </w:p>
    <w:p>
      <w:pPr>
        <w:tabs>
          <w:tab w:val="clear" w:pos="426"/>
        </w:tabs>
        <w:ind w:firstLine="420"/>
        <w:rPr>
          <w:highlight w:val="none"/>
          <w:u w:val="single"/>
        </w:rPr>
      </w:pPr>
      <w:r>
        <w:rPr>
          <w:rFonts w:hint="eastAsia"/>
          <w:highlight w:val="none"/>
        </w:rPr>
        <w:t>邮政编码：日期：</w:t>
      </w:r>
    </w:p>
    <w:p>
      <w:pPr>
        <w:tabs>
          <w:tab w:val="clear" w:pos="426"/>
        </w:tabs>
        <w:ind w:firstLine="420" w:firstLineChars="200"/>
        <w:rPr>
          <w:b/>
          <w:sz w:val="24"/>
          <w:highlight w:val="none"/>
        </w:rPr>
      </w:pPr>
      <w:r>
        <w:rPr>
          <w:rFonts w:hint="eastAsia"/>
          <w:highlight w:val="none"/>
        </w:rPr>
        <w:t>联系电话：</w:t>
      </w:r>
      <w:bookmarkStart w:id="51" w:name="_Toc50736477"/>
      <w:bookmarkStart w:id="52" w:name="_Toc52165081"/>
      <w:bookmarkStart w:id="53" w:name="_Toc50737329"/>
      <w:bookmarkStart w:id="54" w:name="_Toc275865607"/>
      <w:bookmarkStart w:id="55" w:name="_Toc50737328"/>
      <w:bookmarkStart w:id="56" w:name="_Toc480754205"/>
      <w:bookmarkStart w:id="57" w:name="_Toc50737296"/>
      <w:bookmarkStart w:id="58" w:name="_Toc52165080"/>
      <w:bookmarkStart w:id="59" w:name="_Toc50691034"/>
      <w:bookmarkStart w:id="60" w:name="_Toc50736476"/>
      <w:bookmarkStart w:id="61" w:name="_Toc50737297"/>
      <w:r>
        <w:rPr>
          <w:sz w:val="28"/>
          <w:szCs w:val="28"/>
          <w:highlight w:val="none"/>
        </w:rPr>
        <w:br w:type="page"/>
      </w:r>
      <w:bookmarkEnd w:id="51"/>
      <w:bookmarkEnd w:id="52"/>
      <w:bookmarkEnd w:id="53"/>
      <w:bookmarkEnd w:id="54"/>
      <w:bookmarkEnd w:id="55"/>
      <w:bookmarkEnd w:id="56"/>
      <w:bookmarkEnd w:id="57"/>
      <w:bookmarkEnd w:id="58"/>
      <w:bookmarkEnd w:id="59"/>
      <w:bookmarkEnd w:id="60"/>
      <w:bookmarkEnd w:id="61"/>
    </w:p>
    <w:p>
      <w:pPr>
        <w:numPr>
          <w:ilvl w:val="0"/>
          <w:numId w:val="25"/>
        </w:numPr>
        <w:adjustRightInd/>
        <w:snapToGrid/>
        <w:spacing w:before="280" w:after="290" w:line="377" w:lineRule="auto"/>
        <w:outlineLvl w:val="2"/>
        <w:rPr>
          <w:b/>
          <w:sz w:val="24"/>
          <w:highlight w:val="none"/>
        </w:rPr>
      </w:pPr>
      <w:r>
        <w:rPr>
          <w:rFonts w:hint="eastAsia"/>
          <w:b/>
          <w:sz w:val="24"/>
          <w:highlight w:val="none"/>
        </w:rPr>
        <w:t>法定代表人授权委托书、法定代表人证明书</w:t>
      </w:r>
    </w:p>
    <w:p>
      <w:pPr>
        <w:widowControl w:val="0"/>
        <w:shd w:val="clear" w:color="auto" w:fill="auto"/>
        <w:tabs>
          <w:tab w:val="clear" w:pos="426"/>
        </w:tabs>
        <w:adjustRightInd/>
        <w:snapToGrid/>
        <w:spacing w:line="300" w:lineRule="auto"/>
        <w:jc w:val="center"/>
        <w:rPr>
          <w:rFonts w:cs="Times New Roman"/>
          <w:bCs/>
          <w:kern w:val="2"/>
          <w:sz w:val="32"/>
          <w:szCs w:val="32"/>
          <w:highlight w:val="none"/>
        </w:rPr>
      </w:pPr>
      <w:r>
        <w:rPr>
          <w:rFonts w:hint="eastAsia" w:cs="Times New Roman"/>
          <w:bCs/>
          <w:kern w:val="2"/>
          <w:sz w:val="32"/>
          <w:szCs w:val="32"/>
          <w:highlight w:val="none"/>
        </w:rPr>
        <w:t>法定代表人授权委托书</w:t>
      </w:r>
    </w:p>
    <w:p>
      <w:pPr>
        <w:pStyle w:val="24"/>
        <w:tabs>
          <w:tab w:val="clear" w:pos="426"/>
        </w:tabs>
        <w:ind w:firstLine="420" w:firstLineChars="200"/>
        <w:rPr>
          <w:highlight w:val="none"/>
        </w:rPr>
      </w:pPr>
    </w:p>
    <w:p>
      <w:pPr>
        <w:pStyle w:val="24"/>
        <w:tabs>
          <w:tab w:val="clear" w:pos="426"/>
        </w:tabs>
        <w:ind w:firstLine="420" w:firstLineChars="200"/>
        <w:rPr>
          <w:highlight w:val="none"/>
        </w:rPr>
      </w:pPr>
      <w:r>
        <w:rPr>
          <w:rFonts w:hint="eastAsia"/>
          <w:highlight w:val="none"/>
        </w:rPr>
        <w:t>本授权委托书声明：注册于</w:t>
      </w:r>
      <w:r>
        <w:rPr>
          <w:rFonts w:hint="eastAsia"/>
          <w:highlight w:val="none"/>
          <w:u w:val="single"/>
        </w:rPr>
        <w:t xml:space="preserve"> （投标人地址）  </w:t>
      </w:r>
      <w:r>
        <w:rPr>
          <w:rFonts w:hint="eastAsia"/>
          <w:highlight w:val="none"/>
        </w:rPr>
        <w:t>的</w:t>
      </w:r>
      <w:r>
        <w:rPr>
          <w:rFonts w:hint="eastAsia"/>
          <w:highlight w:val="none"/>
          <w:u w:val="single"/>
        </w:rPr>
        <w:t xml:space="preserve">  （投标人名称）    </w:t>
      </w:r>
      <w:r>
        <w:rPr>
          <w:rFonts w:hint="eastAsia"/>
          <w:highlight w:val="none"/>
        </w:rPr>
        <w:t>在下面签名的</w:t>
      </w:r>
      <w:r>
        <w:rPr>
          <w:rFonts w:hint="eastAsia"/>
          <w:highlight w:val="none"/>
          <w:u w:val="single"/>
        </w:rPr>
        <w:t>（法定代表人姓名、职务）</w:t>
      </w:r>
      <w:r>
        <w:rPr>
          <w:rFonts w:hint="eastAsia"/>
          <w:highlight w:val="none"/>
        </w:rPr>
        <w:t>在此授权</w:t>
      </w:r>
      <w:r>
        <w:rPr>
          <w:rFonts w:hint="eastAsia"/>
          <w:highlight w:val="none"/>
          <w:u w:val="single"/>
        </w:rPr>
        <w:t>（被授权人姓名、职务）</w:t>
      </w:r>
      <w:r>
        <w:rPr>
          <w:rFonts w:hint="eastAsia"/>
          <w:highlight w:val="none"/>
        </w:rPr>
        <w:t>作为我公司的合法代理人，就</w:t>
      </w:r>
      <w:r>
        <w:rPr>
          <w:rFonts w:hint="eastAsia"/>
          <w:highlight w:val="none"/>
          <w:u w:val="single"/>
        </w:rPr>
        <w:t>（项目名称、项目编号</w:t>
      </w:r>
      <w:r>
        <w:rPr>
          <w:rFonts w:hint="eastAsia"/>
          <w:highlight w:val="none"/>
        </w:rPr>
        <w:t>）的招投标活动，采购合同的签订、执行、完成和售后服务，作为投标人代表以我方的名义处理一切与之有关的事务。</w:t>
      </w:r>
    </w:p>
    <w:p>
      <w:pPr>
        <w:pStyle w:val="24"/>
        <w:tabs>
          <w:tab w:val="clear" w:pos="426"/>
        </w:tabs>
        <w:ind w:firstLine="420" w:firstLineChars="200"/>
        <w:rPr>
          <w:highlight w:val="none"/>
        </w:rPr>
      </w:pPr>
      <w:r>
        <w:rPr>
          <w:rFonts w:hint="eastAsia"/>
          <w:highlight w:val="none"/>
        </w:rPr>
        <w:t>被授权人（投标人授权代表）无转委托权限。</w:t>
      </w:r>
    </w:p>
    <w:p>
      <w:pPr>
        <w:tabs>
          <w:tab w:val="clear" w:pos="426"/>
        </w:tabs>
        <w:ind w:firstLine="420" w:firstLineChars="200"/>
        <w:rPr>
          <w:szCs w:val="21"/>
          <w:highlight w:val="none"/>
        </w:rPr>
      </w:pPr>
      <w:r>
        <w:rPr>
          <w:rFonts w:hint="eastAsia"/>
          <w:szCs w:val="21"/>
          <w:highlight w:val="none"/>
        </w:rPr>
        <w:t>本授权书自法定代表人签字之日起生效，特此声明。</w:t>
      </w:r>
    </w:p>
    <w:p>
      <w:pPr>
        <w:tabs>
          <w:tab w:val="clear" w:pos="426"/>
        </w:tabs>
        <w:ind w:firstLine="422" w:firstLineChars="200"/>
        <w:rPr>
          <w:b/>
          <w:szCs w:val="21"/>
          <w:highlight w:val="none"/>
        </w:rPr>
      </w:pPr>
      <w:r>
        <w:rPr>
          <w:rFonts w:hint="eastAsia"/>
          <w:b/>
          <w:szCs w:val="21"/>
          <w:highlight w:val="none"/>
        </w:rPr>
        <w:t>随附《法定代表人证明》</w:t>
      </w:r>
    </w:p>
    <w:p>
      <w:pPr>
        <w:tabs>
          <w:tab w:val="clear" w:pos="426"/>
        </w:tabs>
        <w:ind w:firstLine="422" w:firstLineChars="200"/>
        <w:rPr>
          <w:b/>
          <w:szCs w:val="21"/>
          <w:highlight w:val="none"/>
        </w:rPr>
      </w:pPr>
    </w:p>
    <w:p>
      <w:pPr>
        <w:tabs>
          <w:tab w:val="clear" w:pos="426"/>
        </w:tabs>
        <w:ind w:firstLine="422" w:firstLineChars="200"/>
        <w:rPr>
          <w:b/>
          <w:szCs w:val="21"/>
          <w:highlight w:val="none"/>
        </w:rPr>
      </w:pPr>
    </w:p>
    <w:p>
      <w:pPr>
        <w:tabs>
          <w:tab w:val="clear" w:pos="426"/>
        </w:tabs>
        <w:ind w:firstLine="422" w:firstLineChars="200"/>
        <w:rPr>
          <w:b/>
          <w:szCs w:val="21"/>
          <w:highlight w:val="none"/>
        </w:rPr>
      </w:pPr>
    </w:p>
    <w:p>
      <w:pPr>
        <w:tabs>
          <w:tab w:val="clear" w:pos="426"/>
        </w:tabs>
        <w:ind w:firstLine="424" w:firstLineChars="202"/>
        <w:rPr>
          <w:szCs w:val="21"/>
          <w:highlight w:val="none"/>
          <w:u w:val="single"/>
        </w:rPr>
      </w:pPr>
      <w:r>
        <w:rPr>
          <w:rFonts w:hint="eastAsia"/>
          <w:szCs w:val="21"/>
          <w:highlight w:val="none"/>
        </w:rPr>
        <w:t>投标人名称（单位盖</w:t>
      </w:r>
      <w:r>
        <w:rPr>
          <w:rFonts w:hint="eastAsia"/>
          <w:spacing w:val="4"/>
          <w:szCs w:val="21"/>
          <w:highlight w:val="none"/>
        </w:rPr>
        <w:t>公章</w:t>
      </w:r>
      <w:r>
        <w:rPr>
          <w:rFonts w:hint="eastAsia"/>
          <w:szCs w:val="21"/>
          <w:highlight w:val="none"/>
        </w:rPr>
        <w:t>）：</w:t>
      </w:r>
    </w:p>
    <w:p>
      <w:pPr>
        <w:tabs>
          <w:tab w:val="clear" w:pos="426"/>
        </w:tabs>
        <w:ind w:firstLine="424" w:firstLineChars="202"/>
        <w:rPr>
          <w:szCs w:val="21"/>
          <w:highlight w:val="none"/>
          <w:u w:val="single"/>
        </w:rPr>
      </w:pPr>
      <w:r>
        <w:rPr>
          <w:rFonts w:hint="eastAsia"/>
          <w:szCs w:val="21"/>
          <w:highlight w:val="none"/>
        </w:rPr>
        <w:t>地      址：</w:t>
      </w:r>
    </w:p>
    <w:p>
      <w:pPr>
        <w:tabs>
          <w:tab w:val="clear" w:pos="426"/>
        </w:tabs>
        <w:ind w:firstLine="424" w:firstLineChars="202"/>
        <w:rPr>
          <w:szCs w:val="21"/>
          <w:highlight w:val="none"/>
        </w:rPr>
      </w:pPr>
      <w:r>
        <w:rPr>
          <w:rFonts w:hint="eastAsia"/>
          <w:szCs w:val="21"/>
          <w:highlight w:val="none"/>
        </w:rPr>
        <w:t>法定代表人（签字或盖章）： 签字日期：年月日</w:t>
      </w:r>
    </w:p>
    <w:p>
      <w:pPr>
        <w:tabs>
          <w:tab w:val="clear" w:pos="426"/>
        </w:tabs>
        <w:ind w:firstLine="424" w:firstLineChars="202"/>
        <w:rPr>
          <w:szCs w:val="21"/>
          <w:highlight w:val="none"/>
        </w:rPr>
      </w:pPr>
      <w:r>
        <w:rPr>
          <w:rFonts w:hint="eastAsia"/>
          <w:szCs w:val="21"/>
          <w:highlight w:val="none"/>
        </w:rPr>
        <w:t>被授权人（投标人授权代表）（签字或盖章）：</w:t>
      </w:r>
    </w:p>
    <w:p>
      <w:pPr>
        <w:tabs>
          <w:tab w:val="clear" w:pos="426"/>
        </w:tabs>
        <w:ind w:firstLine="424" w:firstLineChars="202"/>
        <w:rPr>
          <w:szCs w:val="21"/>
          <w:highlight w:val="none"/>
        </w:rPr>
      </w:pPr>
    </w:p>
    <w:p>
      <w:pPr>
        <w:tabs>
          <w:tab w:val="clear" w:pos="426"/>
        </w:tabs>
        <w:ind w:firstLine="424" w:firstLineChars="202"/>
        <w:rPr>
          <w:szCs w:val="21"/>
          <w:highlight w:val="none"/>
        </w:rPr>
      </w:pPr>
      <w:r>
        <w:rPr>
          <w:rFonts w:hint="eastAsia"/>
          <w:szCs w:val="21"/>
          <w:highlight w:val="none"/>
        </w:rPr>
        <w:t>附：被授权人身份证复印件：</w:t>
      </w:r>
    </w:p>
    <w:p>
      <w:pPr>
        <w:tabs>
          <w:tab w:val="clear" w:pos="426"/>
        </w:tabs>
        <w:ind w:firstLine="424" w:firstLineChars="202"/>
        <w:rPr>
          <w:szCs w:val="21"/>
          <w:highlight w:val="none"/>
        </w:rPr>
      </w:pPr>
    </w:p>
    <w:p>
      <w:pPr>
        <w:tabs>
          <w:tab w:val="clear" w:pos="426"/>
        </w:tabs>
        <w:spacing w:line="300" w:lineRule="auto"/>
        <w:jc w:val="center"/>
        <w:rPr>
          <w:highlight w:val="none"/>
        </w:rPr>
      </w:pPr>
      <w:r>
        <w:rPr>
          <w:highlight w:val="none"/>
        </w:rPr>
        <w:br w:type="page"/>
      </w:r>
    </w:p>
    <w:p>
      <w:pPr>
        <w:widowControl w:val="0"/>
        <w:shd w:val="clear" w:color="auto" w:fill="auto"/>
        <w:tabs>
          <w:tab w:val="clear" w:pos="426"/>
        </w:tabs>
        <w:adjustRightInd/>
        <w:snapToGrid/>
        <w:spacing w:line="300" w:lineRule="auto"/>
        <w:jc w:val="center"/>
        <w:rPr>
          <w:rFonts w:cs="Times New Roman"/>
          <w:bCs/>
          <w:kern w:val="2"/>
          <w:sz w:val="32"/>
          <w:szCs w:val="32"/>
          <w:highlight w:val="none"/>
        </w:rPr>
      </w:pPr>
    </w:p>
    <w:p>
      <w:pPr>
        <w:widowControl w:val="0"/>
        <w:shd w:val="clear" w:color="auto" w:fill="auto"/>
        <w:tabs>
          <w:tab w:val="clear" w:pos="426"/>
        </w:tabs>
        <w:adjustRightInd/>
        <w:snapToGrid/>
        <w:spacing w:line="300" w:lineRule="auto"/>
        <w:jc w:val="center"/>
        <w:rPr>
          <w:rFonts w:cs="Times New Roman"/>
          <w:bCs/>
          <w:kern w:val="2"/>
          <w:sz w:val="32"/>
          <w:szCs w:val="32"/>
          <w:highlight w:val="none"/>
        </w:rPr>
      </w:pPr>
      <w:r>
        <w:rPr>
          <w:rFonts w:hint="eastAsia" w:cs="Times New Roman"/>
          <w:bCs/>
          <w:kern w:val="2"/>
          <w:sz w:val="32"/>
          <w:szCs w:val="32"/>
          <w:highlight w:val="none"/>
        </w:rPr>
        <w:t>法定代表人证明书</w:t>
      </w:r>
    </w:p>
    <w:p>
      <w:pPr>
        <w:tabs>
          <w:tab w:val="clear" w:pos="426"/>
        </w:tabs>
        <w:spacing w:line="480" w:lineRule="auto"/>
        <w:ind w:firstLine="424" w:firstLineChars="202"/>
        <w:rPr>
          <w:highlight w:val="none"/>
          <w:u w:val="single"/>
        </w:rPr>
      </w:pPr>
    </w:p>
    <w:p>
      <w:pPr>
        <w:tabs>
          <w:tab w:val="clear" w:pos="426"/>
        </w:tabs>
        <w:spacing w:line="480" w:lineRule="auto"/>
        <w:ind w:firstLine="424" w:firstLineChars="202"/>
        <w:rPr>
          <w:highlight w:val="none"/>
        </w:rPr>
      </w:pPr>
      <w:r>
        <w:rPr>
          <w:rFonts w:hint="eastAsia"/>
          <w:highlight w:val="none"/>
          <w:u w:val="single"/>
        </w:rPr>
        <w:t>__________</w:t>
      </w:r>
      <w:r>
        <w:rPr>
          <w:rFonts w:hint="eastAsia"/>
          <w:highlight w:val="none"/>
        </w:rPr>
        <w:t>同志，现任我单位职务，为法定代表人，特此证明。</w:t>
      </w:r>
    </w:p>
    <w:p>
      <w:pPr>
        <w:tabs>
          <w:tab w:val="clear" w:pos="426"/>
        </w:tabs>
        <w:spacing w:line="480" w:lineRule="auto"/>
        <w:ind w:firstLine="424" w:firstLineChars="202"/>
        <w:rPr>
          <w:highlight w:val="none"/>
        </w:rPr>
      </w:pPr>
      <w:r>
        <w:rPr>
          <w:rFonts w:hint="eastAsia"/>
          <w:highlight w:val="none"/>
        </w:rPr>
        <w:t>本证明书自签发之日起生效，有效期与本公司投标文件中标注的投标有效期相同。</w:t>
      </w:r>
    </w:p>
    <w:p>
      <w:pPr>
        <w:tabs>
          <w:tab w:val="clear" w:pos="426"/>
        </w:tabs>
        <w:spacing w:line="480" w:lineRule="auto"/>
        <w:ind w:firstLine="424" w:firstLineChars="202"/>
        <w:rPr>
          <w:highlight w:val="none"/>
        </w:rPr>
      </w:pPr>
      <w:r>
        <w:rPr>
          <w:rFonts w:hint="eastAsia"/>
          <w:highlight w:val="none"/>
        </w:rPr>
        <w:t>附：</w:t>
      </w:r>
    </w:p>
    <w:p>
      <w:pPr>
        <w:tabs>
          <w:tab w:val="clear" w:pos="426"/>
        </w:tabs>
        <w:spacing w:line="480" w:lineRule="auto"/>
        <w:ind w:firstLine="424" w:firstLineChars="202"/>
        <w:rPr>
          <w:highlight w:val="none"/>
        </w:rPr>
      </w:pPr>
      <w:r>
        <w:rPr>
          <w:rFonts w:hint="eastAsia"/>
          <w:highlight w:val="none"/>
        </w:rPr>
        <w:t>营业执照（注册号）：</w:t>
      </w:r>
    </w:p>
    <w:p>
      <w:pPr>
        <w:tabs>
          <w:tab w:val="clear" w:pos="426"/>
        </w:tabs>
        <w:spacing w:line="480" w:lineRule="auto"/>
        <w:ind w:firstLine="424" w:firstLineChars="202"/>
        <w:rPr>
          <w:highlight w:val="none"/>
          <w:u w:val="single"/>
        </w:rPr>
      </w:pPr>
      <w:r>
        <w:rPr>
          <w:rFonts w:hint="eastAsia"/>
          <w:highlight w:val="none"/>
        </w:rPr>
        <w:t>经济性质：</w:t>
      </w:r>
    </w:p>
    <w:p>
      <w:pPr>
        <w:tabs>
          <w:tab w:val="clear" w:pos="426"/>
        </w:tabs>
        <w:spacing w:line="480" w:lineRule="auto"/>
        <w:ind w:firstLine="424" w:firstLineChars="202"/>
        <w:rPr>
          <w:highlight w:val="none"/>
          <w:u w:val="single"/>
        </w:rPr>
      </w:pPr>
      <w:r>
        <w:rPr>
          <w:rFonts w:hint="eastAsia"/>
          <w:highlight w:val="none"/>
        </w:rPr>
        <w:t>主营（产）：</w:t>
      </w:r>
    </w:p>
    <w:p>
      <w:pPr>
        <w:tabs>
          <w:tab w:val="clear" w:pos="426"/>
        </w:tabs>
        <w:spacing w:line="480" w:lineRule="auto"/>
        <w:ind w:firstLine="424" w:firstLineChars="202"/>
        <w:rPr>
          <w:highlight w:val="none"/>
          <w:u w:val="single"/>
        </w:rPr>
      </w:pPr>
      <w:r>
        <w:rPr>
          <w:rFonts w:hint="eastAsia"/>
          <w:highlight w:val="none"/>
        </w:rPr>
        <w:t>兼营（产）：</w:t>
      </w:r>
    </w:p>
    <w:p>
      <w:pPr>
        <w:tabs>
          <w:tab w:val="clear" w:pos="426"/>
        </w:tabs>
        <w:ind w:firstLine="424" w:firstLineChars="202"/>
        <w:rPr>
          <w:highlight w:val="none"/>
        </w:rPr>
      </w:pPr>
    </w:p>
    <w:p>
      <w:pPr>
        <w:tabs>
          <w:tab w:val="clear" w:pos="426"/>
        </w:tabs>
        <w:ind w:firstLine="424" w:firstLineChars="202"/>
        <w:rPr>
          <w:szCs w:val="21"/>
          <w:highlight w:val="none"/>
        </w:rPr>
      </w:pPr>
      <w:r>
        <w:rPr>
          <w:rFonts w:hint="eastAsia"/>
          <w:szCs w:val="21"/>
          <w:highlight w:val="none"/>
        </w:rPr>
        <w:t>附：法定代表人身份证复印件：</w:t>
      </w:r>
    </w:p>
    <w:p>
      <w:pPr>
        <w:tabs>
          <w:tab w:val="clear" w:pos="426"/>
        </w:tabs>
        <w:ind w:firstLine="424" w:firstLineChars="202"/>
        <w:rPr>
          <w:szCs w:val="21"/>
          <w:highlight w:val="none"/>
        </w:rPr>
      </w:pPr>
    </w:p>
    <w:p>
      <w:pPr>
        <w:tabs>
          <w:tab w:val="clear" w:pos="426"/>
        </w:tabs>
        <w:ind w:firstLine="424" w:firstLineChars="202"/>
        <w:rPr>
          <w:szCs w:val="21"/>
          <w:highlight w:val="none"/>
        </w:rPr>
      </w:pPr>
    </w:p>
    <w:p>
      <w:pPr>
        <w:tabs>
          <w:tab w:val="clear" w:pos="426"/>
        </w:tabs>
        <w:ind w:firstLine="424" w:firstLineChars="202"/>
        <w:rPr>
          <w:szCs w:val="21"/>
          <w:highlight w:val="none"/>
        </w:rPr>
      </w:pPr>
    </w:p>
    <w:p>
      <w:pPr>
        <w:tabs>
          <w:tab w:val="clear" w:pos="426"/>
        </w:tabs>
        <w:spacing w:line="500" w:lineRule="exact"/>
        <w:ind w:left="3826" w:leftChars="1822"/>
        <w:rPr>
          <w:highlight w:val="none"/>
          <w:u w:val="single"/>
        </w:rPr>
      </w:pPr>
      <w:r>
        <w:rPr>
          <w:rFonts w:hint="eastAsia"/>
          <w:highlight w:val="none"/>
        </w:rPr>
        <w:t>投标人名称（单位盖</w:t>
      </w:r>
      <w:r>
        <w:rPr>
          <w:rFonts w:hint="eastAsia"/>
          <w:spacing w:val="4"/>
          <w:highlight w:val="none"/>
        </w:rPr>
        <w:t>公章</w:t>
      </w:r>
      <w:r>
        <w:rPr>
          <w:rFonts w:hint="eastAsia"/>
          <w:highlight w:val="none"/>
        </w:rPr>
        <w:t>）：</w:t>
      </w:r>
    </w:p>
    <w:p>
      <w:pPr>
        <w:tabs>
          <w:tab w:val="clear" w:pos="426"/>
        </w:tabs>
        <w:spacing w:line="500" w:lineRule="exact"/>
        <w:ind w:left="3826" w:leftChars="1822"/>
        <w:rPr>
          <w:highlight w:val="none"/>
          <w:u w:val="single"/>
        </w:rPr>
      </w:pPr>
      <w:r>
        <w:rPr>
          <w:rFonts w:hint="eastAsia"/>
          <w:highlight w:val="none"/>
        </w:rPr>
        <w:t>地址：</w:t>
      </w:r>
    </w:p>
    <w:p>
      <w:pPr>
        <w:tabs>
          <w:tab w:val="clear" w:pos="426"/>
        </w:tabs>
        <w:spacing w:line="500" w:lineRule="exact"/>
        <w:ind w:left="3826" w:leftChars="1822"/>
        <w:rPr>
          <w:highlight w:val="none"/>
          <w:u w:val="single"/>
        </w:rPr>
      </w:pPr>
      <w:r>
        <w:rPr>
          <w:rFonts w:hint="eastAsia"/>
          <w:highlight w:val="none"/>
        </w:rPr>
        <w:t>签发日期：</w:t>
      </w:r>
    </w:p>
    <w:p>
      <w:pPr>
        <w:numPr>
          <w:ilvl w:val="0"/>
          <w:numId w:val="25"/>
        </w:numPr>
        <w:adjustRightInd/>
        <w:snapToGrid/>
        <w:spacing w:before="280" w:after="290" w:line="377" w:lineRule="auto"/>
        <w:outlineLvl w:val="2"/>
        <w:rPr>
          <w:b/>
          <w:sz w:val="24"/>
          <w:highlight w:val="none"/>
        </w:rPr>
      </w:pPr>
      <w:r>
        <w:rPr>
          <w:rFonts w:hint="eastAsia"/>
          <w:b/>
          <w:sz w:val="24"/>
          <w:highlight w:val="none"/>
        </w:rPr>
        <w:t>投标人基本情况表</w:t>
      </w:r>
    </w:p>
    <w:p>
      <w:pPr>
        <w:widowControl w:val="0"/>
        <w:shd w:val="clear" w:color="auto" w:fill="auto"/>
        <w:tabs>
          <w:tab w:val="clear" w:pos="426"/>
        </w:tabs>
        <w:adjustRightInd/>
        <w:snapToGrid/>
        <w:spacing w:line="300" w:lineRule="auto"/>
        <w:jc w:val="center"/>
        <w:rPr>
          <w:rFonts w:cs="Times New Roman"/>
          <w:bCs/>
          <w:kern w:val="2"/>
          <w:sz w:val="32"/>
          <w:szCs w:val="32"/>
          <w:highlight w:val="none"/>
        </w:rPr>
      </w:pPr>
      <w:bookmarkStart w:id="62" w:name="_Toc480754207"/>
      <w:bookmarkStart w:id="63" w:name="_Toc173553182"/>
      <w:bookmarkStart w:id="64" w:name="_Toc275865616"/>
      <w:bookmarkStart w:id="65" w:name="_Toc480789478"/>
      <w:bookmarkStart w:id="66" w:name="_Toc480756074"/>
      <w:bookmarkStart w:id="67" w:name="_Toc480755928"/>
      <w:r>
        <w:rPr>
          <w:rFonts w:hint="eastAsia" w:cs="Times New Roman"/>
          <w:bCs/>
          <w:kern w:val="2"/>
          <w:sz w:val="32"/>
          <w:szCs w:val="32"/>
          <w:highlight w:val="none"/>
        </w:rPr>
        <w:t>投标人基本情况表</w:t>
      </w:r>
      <w:bookmarkEnd w:id="62"/>
      <w:bookmarkEnd w:id="63"/>
      <w:bookmarkEnd w:id="64"/>
      <w:bookmarkEnd w:id="65"/>
      <w:bookmarkEnd w:id="66"/>
      <w:bookmarkEnd w:id="67"/>
    </w:p>
    <w:p>
      <w:pPr>
        <w:widowControl w:val="0"/>
        <w:shd w:val="clear" w:color="auto" w:fill="auto"/>
        <w:tabs>
          <w:tab w:val="clear" w:pos="426"/>
        </w:tabs>
        <w:adjustRightInd/>
        <w:snapToGrid/>
        <w:rPr>
          <w:rFonts w:cs="Arial"/>
          <w:b/>
          <w:szCs w:val="21"/>
          <w:highlight w:val="none"/>
        </w:rPr>
      </w:pPr>
      <w:r>
        <w:rPr>
          <w:rFonts w:hint="eastAsia" w:cs="Arial"/>
          <w:b/>
          <w:szCs w:val="21"/>
          <w:highlight w:val="none"/>
        </w:rPr>
        <w:t>一、</w:t>
      </w:r>
      <w:r>
        <w:rPr>
          <w:rFonts w:cs="Arial"/>
          <w:b/>
          <w:szCs w:val="21"/>
          <w:highlight w:val="none"/>
        </w:rPr>
        <w:t>公司基本情况</w:t>
      </w:r>
    </w:p>
    <w:p>
      <w:pPr>
        <w:widowControl w:val="0"/>
        <w:numPr>
          <w:ilvl w:val="1"/>
          <w:numId w:val="26"/>
        </w:numPr>
        <w:shd w:val="clear" w:color="auto" w:fill="auto"/>
        <w:tabs>
          <w:tab w:val="clear" w:pos="426"/>
        </w:tabs>
        <w:adjustRightInd/>
        <w:snapToGrid/>
        <w:ind w:left="0" w:firstLine="426"/>
        <w:rPr>
          <w:rFonts w:cs="Arial"/>
          <w:szCs w:val="21"/>
          <w:highlight w:val="none"/>
        </w:rPr>
      </w:pPr>
      <w:r>
        <w:rPr>
          <w:rFonts w:cs="Arial"/>
          <w:szCs w:val="21"/>
          <w:highlight w:val="none"/>
        </w:rPr>
        <w:t>公司名称：  电话号码：</w:t>
      </w:r>
    </w:p>
    <w:p>
      <w:pPr>
        <w:widowControl w:val="0"/>
        <w:numPr>
          <w:ilvl w:val="1"/>
          <w:numId w:val="26"/>
        </w:numPr>
        <w:shd w:val="clear" w:color="auto" w:fill="auto"/>
        <w:tabs>
          <w:tab w:val="clear" w:pos="426"/>
        </w:tabs>
        <w:adjustRightInd/>
        <w:snapToGrid/>
        <w:ind w:left="0" w:firstLine="426"/>
        <w:rPr>
          <w:rFonts w:cs="Arial"/>
          <w:szCs w:val="21"/>
          <w:highlight w:val="none"/>
        </w:rPr>
      </w:pPr>
      <w:r>
        <w:rPr>
          <w:rFonts w:cs="Arial"/>
          <w:szCs w:val="21"/>
          <w:highlight w:val="none"/>
        </w:rPr>
        <w:t>地    址：  传    真：</w:t>
      </w:r>
    </w:p>
    <w:p>
      <w:pPr>
        <w:widowControl w:val="0"/>
        <w:numPr>
          <w:ilvl w:val="1"/>
          <w:numId w:val="26"/>
        </w:numPr>
        <w:shd w:val="clear" w:color="auto" w:fill="auto"/>
        <w:tabs>
          <w:tab w:val="clear" w:pos="426"/>
        </w:tabs>
        <w:adjustRightInd/>
        <w:snapToGrid/>
        <w:ind w:left="0" w:firstLine="426"/>
        <w:rPr>
          <w:rFonts w:cs="Arial"/>
          <w:szCs w:val="21"/>
          <w:highlight w:val="none"/>
          <w:u w:val="single"/>
        </w:rPr>
      </w:pPr>
      <w:r>
        <w:rPr>
          <w:rFonts w:cs="Arial"/>
          <w:szCs w:val="21"/>
          <w:highlight w:val="none"/>
        </w:rPr>
        <w:t>注册资金：  经济性质：</w:t>
      </w:r>
    </w:p>
    <w:p>
      <w:pPr>
        <w:widowControl w:val="0"/>
        <w:numPr>
          <w:ilvl w:val="1"/>
          <w:numId w:val="26"/>
        </w:numPr>
        <w:shd w:val="clear" w:color="auto" w:fill="auto"/>
        <w:tabs>
          <w:tab w:val="clear" w:pos="426"/>
        </w:tabs>
        <w:adjustRightInd/>
        <w:snapToGrid/>
        <w:ind w:left="0" w:firstLine="426"/>
        <w:rPr>
          <w:rFonts w:cs="Arial"/>
          <w:szCs w:val="21"/>
          <w:highlight w:val="none"/>
        </w:rPr>
      </w:pPr>
      <w:r>
        <w:rPr>
          <w:rFonts w:cs="Arial"/>
          <w:szCs w:val="21"/>
          <w:highlight w:val="none"/>
        </w:rPr>
        <w:t>公司开户银行名称及账号：</w:t>
      </w:r>
    </w:p>
    <w:p>
      <w:pPr>
        <w:widowControl w:val="0"/>
        <w:numPr>
          <w:ilvl w:val="1"/>
          <w:numId w:val="26"/>
        </w:numPr>
        <w:shd w:val="clear" w:color="auto" w:fill="auto"/>
        <w:tabs>
          <w:tab w:val="clear" w:pos="426"/>
        </w:tabs>
        <w:adjustRightInd/>
        <w:snapToGrid/>
        <w:ind w:left="0" w:firstLine="426"/>
        <w:rPr>
          <w:rFonts w:cs="Arial"/>
          <w:szCs w:val="21"/>
          <w:highlight w:val="none"/>
        </w:rPr>
      </w:pPr>
      <w:r>
        <w:rPr>
          <w:rFonts w:cs="Arial"/>
          <w:szCs w:val="21"/>
          <w:highlight w:val="none"/>
        </w:rPr>
        <w:t>营业注册执照号：</w:t>
      </w:r>
    </w:p>
    <w:p>
      <w:pPr>
        <w:widowControl w:val="0"/>
        <w:numPr>
          <w:ilvl w:val="1"/>
          <w:numId w:val="26"/>
        </w:numPr>
        <w:shd w:val="clear" w:color="auto" w:fill="auto"/>
        <w:tabs>
          <w:tab w:val="clear" w:pos="426"/>
        </w:tabs>
        <w:adjustRightInd/>
        <w:snapToGrid/>
        <w:ind w:left="0" w:firstLine="426"/>
        <w:rPr>
          <w:rFonts w:cs="Arial"/>
          <w:szCs w:val="21"/>
          <w:highlight w:val="none"/>
        </w:rPr>
      </w:pPr>
      <w:r>
        <w:rPr>
          <w:rFonts w:cs="Arial"/>
          <w:szCs w:val="21"/>
          <w:highlight w:val="none"/>
        </w:rPr>
        <w:t>公司简介</w:t>
      </w:r>
    </w:p>
    <w:p>
      <w:pPr>
        <w:tabs>
          <w:tab w:val="clear" w:pos="426"/>
        </w:tabs>
        <w:ind w:firstLine="426"/>
        <w:rPr>
          <w:highlight w:val="none"/>
        </w:rPr>
      </w:pPr>
      <w:r>
        <w:rPr>
          <w:rFonts w:hint="eastAsia"/>
          <w:highlight w:val="none"/>
        </w:rPr>
        <w:t>文字描述：</w:t>
      </w:r>
      <w:r>
        <w:rPr>
          <w:rFonts w:hint="eastAsia"/>
          <w:bCs/>
          <w:szCs w:val="21"/>
          <w:highlight w:val="none"/>
          <w:lang w:val="en-GB"/>
        </w:rPr>
        <w:t>发展历程、经营规模及服务理念</w:t>
      </w:r>
      <w:r>
        <w:rPr>
          <w:rFonts w:hint="eastAsia"/>
          <w:highlight w:val="none"/>
        </w:rPr>
        <w:t>、技术力量、财务状况、</w:t>
      </w:r>
      <w:r>
        <w:rPr>
          <w:highlight w:val="none"/>
        </w:rPr>
        <w:t>管理水平</w:t>
      </w:r>
      <w:r>
        <w:rPr>
          <w:rFonts w:hint="eastAsia"/>
          <w:highlight w:val="none"/>
        </w:rPr>
        <w:t>等方面进行阐述；</w:t>
      </w:r>
    </w:p>
    <w:p>
      <w:pPr>
        <w:tabs>
          <w:tab w:val="clear" w:pos="426"/>
        </w:tabs>
        <w:ind w:firstLine="426"/>
        <w:rPr>
          <w:rFonts w:cs="Arial"/>
          <w:szCs w:val="21"/>
          <w:highlight w:val="none"/>
        </w:rPr>
      </w:pPr>
      <w:r>
        <w:rPr>
          <w:rFonts w:hint="eastAsia"/>
          <w:highlight w:val="none"/>
        </w:rPr>
        <w:t>图片描述：</w:t>
      </w:r>
      <w:r>
        <w:rPr>
          <w:rFonts w:hint="eastAsia"/>
          <w:bCs/>
          <w:szCs w:val="21"/>
          <w:highlight w:val="none"/>
          <w:lang w:val="en-GB"/>
        </w:rPr>
        <w:t>经营场所、主要或关键产品介绍、生产场所及服务流程等。</w:t>
      </w:r>
    </w:p>
    <w:p>
      <w:pPr>
        <w:widowControl w:val="0"/>
        <w:shd w:val="clear" w:color="auto" w:fill="auto"/>
        <w:tabs>
          <w:tab w:val="clear" w:pos="426"/>
        </w:tabs>
        <w:adjustRightInd/>
        <w:snapToGrid/>
        <w:rPr>
          <w:rFonts w:cs="Arial"/>
          <w:b/>
          <w:szCs w:val="21"/>
          <w:highlight w:val="none"/>
        </w:rPr>
      </w:pPr>
      <w:r>
        <w:rPr>
          <w:rFonts w:hint="eastAsia" w:cs="Arial"/>
          <w:b/>
          <w:szCs w:val="21"/>
          <w:highlight w:val="none"/>
        </w:rPr>
        <w:t>二、供应商资格证明文件</w:t>
      </w:r>
    </w:p>
    <w:p>
      <w:pPr>
        <w:tabs>
          <w:tab w:val="clear" w:pos="426"/>
        </w:tabs>
        <w:spacing w:beforeLines="50"/>
        <w:ind w:firstLine="424" w:firstLineChars="201"/>
        <w:rPr>
          <w:b/>
          <w:color w:val="FF0000"/>
          <w:highlight w:val="none"/>
        </w:rPr>
      </w:pPr>
      <w:r>
        <w:rPr>
          <w:rFonts w:hint="eastAsia"/>
          <w:b/>
          <w:color w:val="FF0000"/>
          <w:highlight w:val="none"/>
        </w:rPr>
        <w:t>投标人须按本招标文件第一章采购公告第二条“投标人资质要求”提供相关的资质证明，且已接受报名的单位，不代表资格审查通过。投标文件中未提供或提供不完整、不符合要求的，投标文件将按无效标的情形处理。</w:t>
      </w:r>
    </w:p>
    <w:p>
      <w:pPr>
        <w:widowControl w:val="0"/>
        <w:shd w:val="clear" w:color="auto" w:fill="auto"/>
        <w:tabs>
          <w:tab w:val="clear" w:pos="426"/>
        </w:tabs>
        <w:adjustRightInd/>
        <w:snapToGrid/>
        <w:rPr>
          <w:rFonts w:cs="Arial"/>
          <w:b/>
          <w:szCs w:val="21"/>
          <w:highlight w:val="none"/>
        </w:rPr>
      </w:pPr>
      <w:r>
        <w:rPr>
          <w:rFonts w:hint="eastAsia" w:cs="Arial"/>
          <w:b/>
          <w:szCs w:val="21"/>
          <w:highlight w:val="none"/>
        </w:rPr>
        <w:t>三、</w:t>
      </w:r>
      <w:r>
        <w:rPr>
          <w:rFonts w:cs="Arial"/>
          <w:b/>
          <w:szCs w:val="21"/>
          <w:highlight w:val="none"/>
        </w:rPr>
        <w:t>如联合体投标，投标人还必须提供《联合体投标协议》（格式自定）。</w:t>
      </w:r>
    </w:p>
    <w:p>
      <w:pPr>
        <w:tabs>
          <w:tab w:val="clear" w:pos="426"/>
        </w:tabs>
        <w:spacing w:line="500" w:lineRule="exact"/>
        <w:ind w:left="424" w:leftChars="202"/>
        <w:rPr>
          <w:spacing w:val="4"/>
          <w:highlight w:val="none"/>
        </w:rPr>
      </w:pPr>
    </w:p>
    <w:p>
      <w:pPr>
        <w:tabs>
          <w:tab w:val="clear" w:pos="426"/>
        </w:tabs>
        <w:spacing w:line="500" w:lineRule="exact"/>
        <w:ind w:left="424" w:leftChars="202"/>
        <w:rPr>
          <w:spacing w:val="4"/>
          <w:highlight w:val="none"/>
        </w:rPr>
      </w:pPr>
    </w:p>
    <w:p>
      <w:pPr>
        <w:tabs>
          <w:tab w:val="clear" w:pos="426"/>
        </w:tabs>
        <w:spacing w:line="500" w:lineRule="exact"/>
        <w:ind w:left="424" w:leftChars="202"/>
        <w:rPr>
          <w:spacing w:val="4"/>
          <w:highlight w:val="none"/>
        </w:rPr>
      </w:pPr>
    </w:p>
    <w:p>
      <w:pPr>
        <w:tabs>
          <w:tab w:val="clear" w:pos="426"/>
        </w:tabs>
        <w:spacing w:line="500" w:lineRule="exact"/>
        <w:ind w:left="424" w:leftChars="202"/>
        <w:rPr>
          <w:highlight w:val="none"/>
          <w:u w:val="single"/>
        </w:rPr>
      </w:pPr>
      <w:r>
        <w:rPr>
          <w:rFonts w:hint="eastAsia"/>
          <w:spacing w:val="4"/>
          <w:highlight w:val="none"/>
        </w:rPr>
        <w:t>投标人名称（</w:t>
      </w:r>
      <w:r>
        <w:rPr>
          <w:rFonts w:hint="eastAsia"/>
          <w:highlight w:val="none"/>
        </w:rPr>
        <w:t>单位盖</w:t>
      </w:r>
      <w:r>
        <w:rPr>
          <w:rFonts w:hint="eastAsia"/>
          <w:spacing w:val="4"/>
          <w:highlight w:val="none"/>
        </w:rPr>
        <w:t>公章）：</w:t>
      </w:r>
    </w:p>
    <w:p>
      <w:pPr>
        <w:tabs>
          <w:tab w:val="clear" w:pos="426"/>
        </w:tabs>
        <w:spacing w:line="520" w:lineRule="exact"/>
        <w:ind w:left="424" w:leftChars="202"/>
        <w:rPr>
          <w:spacing w:val="4"/>
          <w:highlight w:val="none"/>
        </w:rPr>
      </w:pPr>
      <w:r>
        <w:rPr>
          <w:rFonts w:hint="eastAsia"/>
          <w:highlight w:val="none"/>
        </w:rPr>
        <w:t>法定代表人或投标人授权代表（签名或盖章）：</w:t>
      </w:r>
    </w:p>
    <w:p>
      <w:pPr>
        <w:tabs>
          <w:tab w:val="clear" w:pos="426"/>
        </w:tabs>
        <w:spacing w:line="520" w:lineRule="exact"/>
        <w:ind w:left="424" w:leftChars="202"/>
        <w:rPr>
          <w:spacing w:val="4"/>
          <w:highlight w:val="none"/>
        </w:rPr>
      </w:pPr>
      <w:r>
        <w:rPr>
          <w:rFonts w:hint="eastAsia"/>
          <w:spacing w:val="4"/>
          <w:highlight w:val="none"/>
        </w:rPr>
        <w:t>职务：</w:t>
      </w:r>
    </w:p>
    <w:p>
      <w:pPr>
        <w:tabs>
          <w:tab w:val="clear" w:pos="426"/>
        </w:tabs>
        <w:spacing w:line="520" w:lineRule="exact"/>
        <w:ind w:left="424" w:leftChars="202"/>
        <w:rPr>
          <w:rFonts w:ascii="黑体" w:eastAsia="黑体"/>
          <w:b/>
          <w:bCs/>
          <w:sz w:val="28"/>
          <w:highlight w:val="none"/>
        </w:rPr>
      </w:pPr>
      <w:r>
        <w:rPr>
          <w:rFonts w:hint="eastAsia"/>
          <w:spacing w:val="4"/>
          <w:highlight w:val="none"/>
        </w:rPr>
        <w:t>日期</w:t>
      </w:r>
    </w:p>
    <w:p>
      <w:pPr>
        <w:tabs>
          <w:tab w:val="clear" w:pos="426"/>
        </w:tabs>
        <w:spacing w:line="520" w:lineRule="exact"/>
        <w:ind w:left="424" w:leftChars="202"/>
        <w:rPr>
          <w:rFonts w:ascii="黑体" w:eastAsia="黑体"/>
          <w:b/>
          <w:bCs/>
          <w:sz w:val="28"/>
          <w:highlight w:val="none"/>
        </w:rPr>
      </w:pPr>
    </w:p>
    <w:p>
      <w:pPr>
        <w:tabs>
          <w:tab w:val="clear" w:pos="426"/>
        </w:tabs>
        <w:spacing w:line="520" w:lineRule="exact"/>
        <w:ind w:left="424" w:leftChars="202"/>
        <w:rPr>
          <w:rFonts w:ascii="黑体" w:eastAsia="黑体"/>
          <w:b/>
          <w:bCs/>
          <w:sz w:val="28"/>
          <w:highlight w:val="none"/>
        </w:rPr>
      </w:pPr>
    </w:p>
    <w:p>
      <w:pPr>
        <w:numPr>
          <w:ilvl w:val="0"/>
          <w:numId w:val="25"/>
        </w:numPr>
        <w:adjustRightInd/>
        <w:snapToGrid/>
        <w:spacing w:before="280" w:after="290" w:line="377" w:lineRule="auto"/>
        <w:outlineLvl w:val="2"/>
        <w:rPr>
          <w:b/>
          <w:sz w:val="24"/>
          <w:highlight w:val="none"/>
        </w:rPr>
      </w:pPr>
      <w:r>
        <w:rPr>
          <w:highlight w:val="none"/>
        </w:rPr>
        <w:br w:type="page"/>
      </w:r>
      <w:r>
        <w:rPr>
          <w:rFonts w:hint="eastAsia"/>
          <w:b/>
          <w:sz w:val="24"/>
          <w:highlight w:val="none"/>
        </w:rPr>
        <w:t>开标一览表(报价表)</w:t>
      </w:r>
    </w:p>
    <w:p>
      <w:pPr>
        <w:widowControl w:val="0"/>
        <w:shd w:val="clear" w:color="auto" w:fill="auto"/>
        <w:tabs>
          <w:tab w:val="clear" w:pos="426"/>
        </w:tabs>
        <w:adjustRightInd/>
        <w:snapToGrid/>
        <w:spacing w:line="300" w:lineRule="auto"/>
        <w:jc w:val="center"/>
        <w:rPr>
          <w:rFonts w:cs="Times New Roman"/>
          <w:bCs/>
          <w:kern w:val="2"/>
          <w:sz w:val="32"/>
          <w:szCs w:val="32"/>
          <w:highlight w:val="none"/>
        </w:rPr>
      </w:pPr>
      <w:bookmarkStart w:id="68" w:name="_Toc480754208"/>
      <w:bookmarkStart w:id="69" w:name="_Toc480756075"/>
      <w:bookmarkStart w:id="70" w:name="_Toc480755929"/>
      <w:bookmarkStart w:id="71" w:name="_Toc480789479"/>
      <w:r>
        <w:rPr>
          <w:rFonts w:hint="eastAsia" w:cs="Times New Roman"/>
          <w:bCs/>
          <w:kern w:val="2"/>
          <w:sz w:val="32"/>
          <w:szCs w:val="32"/>
          <w:highlight w:val="none"/>
        </w:rPr>
        <w:t>开标一览表(报价表)</w:t>
      </w:r>
      <w:bookmarkEnd w:id="68"/>
      <w:bookmarkEnd w:id="69"/>
      <w:bookmarkEnd w:id="70"/>
      <w:bookmarkEnd w:id="71"/>
    </w:p>
    <w:p>
      <w:pPr>
        <w:tabs>
          <w:tab w:val="clear" w:pos="426"/>
        </w:tabs>
        <w:jc w:val="left"/>
        <w:rPr>
          <w:highlight w:val="none"/>
        </w:rPr>
      </w:pPr>
    </w:p>
    <w:p>
      <w:pPr>
        <w:tabs>
          <w:tab w:val="clear" w:pos="426"/>
        </w:tabs>
        <w:jc w:val="left"/>
        <w:rPr>
          <w:sz w:val="24"/>
          <w:highlight w:val="none"/>
          <w:u w:val="single"/>
        </w:rPr>
      </w:pPr>
      <w:r>
        <w:rPr>
          <w:rFonts w:hint="eastAsia"/>
          <w:highlight w:val="none"/>
        </w:rPr>
        <w:t>项目名称：项目编号：</w:t>
      </w:r>
    </w:p>
    <w:tbl>
      <w:tblPr>
        <w:tblStyle w:val="44"/>
        <w:tblW w:w="95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1757"/>
        <w:gridCol w:w="1177"/>
        <w:gridCol w:w="917"/>
        <w:gridCol w:w="1047"/>
        <w:gridCol w:w="1742"/>
        <w:gridCol w:w="1179"/>
        <w:gridCol w:w="9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34" w:type="dxa"/>
            <w:shd w:val="clear" w:color="auto" w:fill="auto"/>
            <w:vAlign w:val="center"/>
          </w:tcPr>
          <w:p>
            <w:pPr>
              <w:tabs>
                <w:tab w:val="clear" w:pos="426"/>
              </w:tabs>
              <w:spacing w:line="240" w:lineRule="auto"/>
              <w:jc w:val="center"/>
              <w:rPr>
                <w:b/>
                <w:szCs w:val="21"/>
                <w:highlight w:val="none"/>
              </w:rPr>
            </w:pPr>
            <w:r>
              <w:rPr>
                <w:rFonts w:hint="eastAsia"/>
                <w:b/>
                <w:szCs w:val="21"/>
                <w:highlight w:val="none"/>
              </w:rPr>
              <w:t>序号</w:t>
            </w:r>
          </w:p>
        </w:tc>
        <w:tc>
          <w:tcPr>
            <w:tcW w:w="1757" w:type="dxa"/>
            <w:shd w:val="clear" w:color="auto" w:fill="auto"/>
            <w:vAlign w:val="center"/>
          </w:tcPr>
          <w:p>
            <w:pPr>
              <w:tabs>
                <w:tab w:val="clear" w:pos="426"/>
              </w:tabs>
              <w:spacing w:line="240" w:lineRule="auto"/>
              <w:jc w:val="center"/>
              <w:rPr>
                <w:b/>
                <w:szCs w:val="21"/>
                <w:highlight w:val="none"/>
              </w:rPr>
            </w:pPr>
            <w:r>
              <w:rPr>
                <w:rFonts w:hint="eastAsia"/>
                <w:b/>
                <w:szCs w:val="21"/>
                <w:highlight w:val="none"/>
              </w:rPr>
              <w:t>项目名称</w:t>
            </w:r>
          </w:p>
        </w:tc>
        <w:tc>
          <w:tcPr>
            <w:tcW w:w="1177" w:type="dxa"/>
            <w:shd w:val="clear" w:color="auto" w:fill="auto"/>
            <w:vAlign w:val="center"/>
          </w:tcPr>
          <w:p>
            <w:pPr>
              <w:tabs>
                <w:tab w:val="clear" w:pos="426"/>
              </w:tabs>
              <w:spacing w:line="240" w:lineRule="auto"/>
              <w:jc w:val="center"/>
              <w:rPr>
                <w:b/>
                <w:szCs w:val="21"/>
                <w:highlight w:val="none"/>
              </w:rPr>
            </w:pPr>
            <w:r>
              <w:rPr>
                <w:rFonts w:hint="eastAsia"/>
                <w:b/>
                <w:szCs w:val="21"/>
                <w:highlight w:val="none"/>
              </w:rPr>
              <w:t>设备名称</w:t>
            </w:r>
          </w:p>
        </w:tc>
        <w:tc>
          <w:tcPr>
            <w:tcW w:w="917" w:type="dxa"/>
            <w:shd w:val="clear" w:color="auto" w:fill="auto"/>
            <w:vAlign w:val="center"/>
          </w:tcPr>
          <w:p>
            <w:pPr>
              <w:tabs>
                <w:tab w:val="clear" w:pos="426"/>
              </w:tabs>
              <w:spacing w:line="240" w:lineRule="auto"/>
              <w:jc w:val="center"/>
              <w:rPr>
                <w:b/>
                <w:szCs w:val="21"/>
                <w:highlight w:val="none"/>
              </w:rPr>
            </w:pPr>
            <w:r>
              <w:rPr>
                <w:rFonts w:hint="eastAsia"/>
                <w:b/>
                <w:szCs w:val="21"/>
                <w:highlight w:val="none"/>
              </w:rPr>
              <w:t>型号</w:t>
            </w:r>
          </w:p>
        </w:tc>
        <w:tc>
          <w:tcPr>
            <w:tcW w:w="1047" w:type="dxa"/>
            <w:shd w:val="clear" w:color="auto" w:fill="auto"/>
            <w:vAlign w:val="center"/>
          </w:tcPr>
          <w:p>
            <w:pPr>
              <w:tabs>
                <w:tab w:val="clear" w:pos="426"/>
              </w:tabs>
              <w:spacing w:line="240" w:lineRule="auto"/>
              <w:jc w:val="center"/>
              <w:rPr>
                <w:b/>
                <w:szCs w:val="21"/>
                <w:highlight w:val="none"/>
              </w:rPr>
            </w:pPr>
            <w:r>
              <w:rPr>
                <w:rFonts w:hint="eastAsia"/>
                <w:b/>
                <w:szCs w:val="21"/>
                <w:highlight w:val="none"/>
              </w:rPr>
              <w:t>数量</w:t>
            </w:r>
          </w:p>
        </w:tc>
        <w:tc>
          <w:tcPr>
            <w:tcW w:w="1742" w:type="dxa"/>
            <w:shd w:val="clear" w:color="auto" w:fill="auto"/>
            <w:vAlign w:val="center"/>
          </w:tcPr>
          <w:p>
            <w:pPr>
              <w:tabs>
                <w:tab w:val="clear" w:pos="426"/>
              </w:tabs>
              <w:spacing w:line="240" w:lineRule="auto"/>
              <w:jc w:val="center"/>
              <w:rPr>
                <w:b/>
                <w:szCs w:val="21"/>
                <w:highlight w:val="none"/>
              </w:rPr>
            </w:pPr>
            <w:r>
              <w:rPr>
                <w:rFonts w:hint="eastAsia"/>
                <w:b/>
                <w:szCs w:val="21"/>
                <w:highlight w:val="none"/>
              </w:rPr>
              <w:t>投标总价</w:t>
            </w:r>
          </w:p>
        </w:tc>
        <w:tc>
          <w:tcPr>
            <w:tcW w:w="1179" w:type="dxa"/>
            <w:shd w:val="clear" w:color="auto" w:fill="auto"/>
            <w:vAlign w:val="center"/>
          </w:tcPr>
          <w:p>
            <w:pPr>
              <w:tabs>
                <w:tab w:val="clear" w:pos="426"/>
              </w:tabs>
              <w:spacing w:line="240" w:lineRule="auto"/>
              <w:jc w:val="center"/>
              <w:rPr>
                <w:b/>
                <w:szCs w:val="21"/>
                <w:highlight w:val="none"/>
              </w:rPr>
            </w:pPr>
            <w:r>
              <w:rPr>
                <w:rFonts w:hint="eastAsia"/>
                <w:b/>
                <w:szCs w:val="21"/>
                <w:highlight w:val="none"/>
              </w:rPr>
              <w:t>交货期</w:t>
            </w:r>
          </w:p>
        </w:tc>
        <w:tc>
          <w:tcPr>
            <w:tcW w:w="917" w:type="dxa"/>
            <w:shd w:val="clear" w:color="auto" w:fill="auto"/>
            <w:vAlign w:val="center"/>
          </w:tcPr>
          <w:p>
            <w:pPr>
              <w:tabs>
                <w:tab w:val="clear" w:pos="426"/>
              </w:tabs>
              <w:spacing w:line="240" w:lineRule="auto"/>
              <w:jc w:val="center"/>
              <w:rPr>
                <w:b/>
                <w:szCs w:val="21"/>
                <w:highlight w:val="none"/>
              </w:rPr>
            </w:pPr>
            <w:r>
              <w:rPr>
                <w:rFonts w:hint="eastAsia"/>
                <w:b/>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834" w:type="dxa"/>
            <w:shd w:val="clear" w:color="auto" w:fill="auto"/>
            <w:vAlign w:val="center"/>
          </w:tcPr>
          <w:p>
            <w:pPr>
              <w:tabs>
                <w:tab w:val="clear" w:pos="426"/>
              </w:tabs>
              <w:jc w:val="center"/>
              <w:rPr>
                <w:bCs/>
                <w:szCs w:val="21"/>
                <w:highlight w:val="none"/>
              </w:rPr>
            </w:pPr>
          </w:p>
        </w:tc>
        <w:tc>
          <w:tcPr>
            <w:tcW w:w="1757" w:type="dxa"/>
            <w:shd w:val="clear" w:color="auto" w:fill="auto"/>
            <w:vAlign w:val="center"/>
          </w:tcPr>
          <w:p>
            <w:pPr>
              <w:tabs>
                <w:tab w:val="clear" w:pos="426"/>
              </w:tabs>
              <w:jc w:val="center"/>
              <w:rPr>
                <w:szCs w:val="21"/>
                <w:highlight w:val="none"/>
              </w:rPr>
            </w:pPr>
          </w:p>
        </w:tc>
        <w:tc>
          <w:tcPr>
            <w:tcW w:w="1177" w:type="dxa"/>
            <w:shd w:val="clear" w:color="auto" w:fill="auto"/>
            <w:vAlign w:val="center"/>
          </w:tcPr>
          <w:p>
            <w:pPr>
              <w:tabs>
                <w:tab w:val="clear" w:pos="426"/>
              </w:tabs>
              <w:jc w:val="center"/>
              <w:rPr>
                <w:bCs/>
                <w:szCs w:val="21"/>
                <w:highlight w:val="none"/>
                <w:u w:val="single"/>
              </w:rPr>
            </w:pPr>
          </w:p>
        </w:tc>
        <w:tc>
          <w:tcPr>
            <w:tcW w:w="917" w:type="dxa"/>
            <w:shd w:val="clear" w:color="auto" w:fill="auto"/>
            <w:vAlign w:val="center"/>
          </w:tcPr>
          <w:p>
            <w:pPr>
              <w:tabs>
                <w:tab w:val="clear" w:pos="426"/>
              </w:tabs>
              <w:jc w:val="center"/>
              <w:rPr>
                <w:b/>
                <w:szCs w:val="21"/>
                <w:highlight w:val="none"/>
              </w:rPr>
            </w:pPr>
          </w:p>
        </w:tc>
        <w:tc>
          <w:tcPr>
            <w:tcW w:w="1047" w:type="dxa"/>
            <w:shd w:val="clear" w:color="auto" w:fill="auto"/>
            <w:vAlign w:val="center"/>
          </w:tcPr>
          <w:p>
            <w:pPr>
              <w:tabs>
                <w:tab w:val="clear" w:pos="426"/>
              </w:tabs>
              <w:jc w:val="center"/>
              <w:rPr>
                <w:b/>
                <w:szCs w:val="21"/>
                <w:highlight w:val="none"/>
              </w:rPr>
            </w:pPr>
          </w:p>
        </w:tc>
        <w:tc>
          <w:tcPr>
            <w:tcW w:w="1742" w:type="dxa"/>
            <w:shd w:val="clear" w:color="auto" w:fill="auto"/>
            <w:vAlign w:val="center"/>
          </w:tcPr>
          <w:p>
            <w:pPr>
              <w:tabs>
                <w:tab w:val="clear" w:pos="426"/>
              </w:tabs>
              <w:jc w:val="center"/>
              <w:rPr>
                <w:b/>
                <w:szCs w:val="21"/>
                <w:highlight w:val="none"/>
              </w:rPr>
            </w:pPr>
          </w:p>
        </w:tc>
        <w:tc>
          <w:tcPr>
            <w:tcW w:w="1179" w:type="dxa"/>
            <w:shd w:val="clear" w:color="auto" w:fill="auto"/>
            <w:vAlign w:val="center"/>
          </w:tcPr>
          <w:p>
            <w:pPr>
              <w:tabs>
                <w:tab w:val="clear" w:pos="426"/>
              </w:tabs>
              <w:jc w:val="center"/>
              <w:rPr>
                <w:b/>
                <w:szCs w:val="21"/>
                <w:highlight w:val="none"/>
              </w:rPr>
            </w:pPr>
          </w:p>
        </w:tc>
        <w:tc>
          <w:tcPr>
            <w:tcW w:w="917" w:type="dxa"/>
            <w:shd w:val="clear" w:color="auto" w:fill="auto"/>
            <w:vAlign w:val="center"/>
          </w:tcPr>
          <w:p>
            <w:pPr>
              <w:tabs>
                <w:tab w:val="clear" w:pos="426"/>
              </w:tabs>
              <w:jc w:val="center"/>
              <w:rPr>
                <w:b/>
                <w:szCs w:val="21"/>
                <w:highlight w:val="none"/>
              </w:rPr>
            </w:pPr>
          </w:p>
        </w:tc>
      </w:tr>
    </w:tbl>
    <w:p>
      <w:pPr>
        <w:tabs>
          <w:tab w:val="clear" w:pos="426"/>
        </w:tabs>
        <w:spacing w:line="500" w:lineRule="exact"/>
        <w:rPr>
          <w:spacing w:val="4"/>
          <w:highlight w:val="none"/>
        </w:rPr>
      </w:pPr>
    </w:p>
    <w:p>
      <w:pPr>
        <w:tabs>
          <w:tab w:val="clear" w:pos="426"/>
        </w:tabs>
        <w:spacing w:line="500" w:lineRule="exact"/>
        <w:rPr>
          <w:highlight w:val="none"/>
          <w:u w:val="single"/>
        </w:rPr>
      </w:pPr>
      <w:r>
        <w:rPr>
          <w:rFonts w:hint="eastAsia"/>
          <w:spacing w:val="4"/>
          <w:highlight w:val="none"/>
        </w:rPr>
        <w:t>投标人名称（</w:t>
      </w:r>
      <w:r>
        <w:rPr>
          <w:rFonts w:hint="eastAsia"/>
          <w:highlight w:val="none"/>
        </w:rPr>
        <w:t>单位盖</w:t>
      </w:r>
      <w:r>
        <w:rPr>
          <w:rFonts w:hint="eastAsia"/>
          <w:spacing w:val="4"/>
          <w:highlight w:val="none"/>
        </w:rPr>
        <w:t>公章）：</w:t>
      </w:r>
    </w:p>
    <w:p>
      <w:pPr>
        <w:tabs>
          <w:tab w:val="clear" w:pos="426"/>
        </w:tabs>
        <w:spacing w:line="520" w:lineRule="exact"/>
        <w:rPr>
          <w:highlight w:val="none"/>
        </w:rPr>
      </w:pPr>
    </w:p>
    <w:p>
      <w:pPr>
        <w:tabs>
          <w:tab w:val="clear" w:pos="426"/>
        </w:tabs>
        <w:spacing w:line="520" w:lineRule="exact"/>
        <w:rPr>
          <w:spacing w:val="4"/>
          <w:highlight w:val="none"/>
        </w:rPr>
      </w:pPr>
      <w:r>
        <w:rPr>
          <w:rFonts w:hint="eastAsia"/>
          <w:highlight w:val="none"/>
        </w:rPr>
        <w:t>法定代表人或投标人授权代表（签名或盖章）：</w:t>
      </w:r>
      <w:r>
        <w:rPr>
          <w:rFonts w:hint="eastAsia"/>
          <w:spacing w:val="4"/>
          <w:highlight w:val="none"/>
        </w:rPr>
        <w:t>职务：日期</w:t>
      </w:r>
    </w:p>
    <w:p>
      <w:pPr>
        <w:tabs>
          <w:tab w:val="clear" w:pos="426"/>
        </w:tabs>
        <w:spacing w:line="400" w:lineRule="exact"/>
        <w:rPr>
          <w:b/>
          <w:bCs/>
          <w:szCs w:val="21"/>
          <w:highlight w:val="none"/>
        </w:rPr>
      </w:pPr>
      <w:r>
        <w:rPr>
          <w:rFonts w:hint="eastAsia"/>
          <w:b/>
          <w:bCs/>
          <w:szCs w:val="21"/>
          <w:highlight w:val="none"/>
        </w:rPr>
        <w:t>备注：</w:t>
      </w:r>
    </w:p>
    <w:p>
      <w:pPr>
        <w:widowControl w:val="0"/>
        <w:numPr>
          <w:ilvl w:val="1"/>
          <w:numId w:val="27"/>
        </w:numPr>
        <w:shd w:val="clear" w:color="auto" w:fill="auto"/>
        <w:tabs>
          <w:tab w:val="clear" w:pos="426"/>
        </w:tabs>
        <w:adjustRightInd/>
        <w:ind w:left="0" w:firstLine="424" w:firstLineChars="201"/>
        <w:rPr>
          <w:b/>
          <w:bCs/>
          <w:szCs w:val="21"/>
          <w:highlight w:val="none"/>
        </w:rPr>
      </w:pPr>
      <w:r>
        <w:rPr>
          <w:b/>
          <w:highlight w:val="none"/>
        </w:rPr>
        <w:t>此表</w:t>
      </w:r>
      <w:r>
        <w:rPr>
          <w:rFonts w:hint="eastAsia"/>
          <w:b/>
          <w:highlight w:val="none"/>
        </w:rPr>
        <w:t>为投标文件的组成部分，</w:t>
      </w:r>
      <w:r>
        <w:rPr>
          <w:b/>
          <w:highlight w:val="none"/>
        </w:rPr>
        <w:t>须附在正、副本的投标文件中，并另封装一份于开标信封中</w:t>
      </w:r>
      <w:r>
        <w:rPr>
          <w:rFonts w:hint="eastAsia"/>
          <w:b/>
          <w:highlight w:val="none"/>
        </w:rPr>
        <w:t>（信封中须同时提供法定代表人证明书、法定代表人授权委托书、被授权人身份证复印件）。</w:t>
      </w:r>
    </w:p>
    <w:p>
      <w:pPr>
        <w:widowControl w:val="0"/>
        <w:numPr>
          <w:ilvl w:val="1"/>
          <w:numId w:val="27"/>
        </w:numPr>
        <w:shd w:val="clear" w:color="auto" w:fill="auto"/>
        <w:tabs>
          <w:tab w:val="clear" w:pos="426"/>
        </w:tabs>
        <w:adjustRightInd/>
        <w:ind w:left="0" w:firstLine="424" w:firstLineChars="201"/>
        <w:rPr>
          <w:b/>
          <w:bCs/>
          <w:szCs w:val="21"/>
          <w:highlight w:val="none"/>
        </w:rPr>
      </w:pPr>
      <w:r>
        <w:rPr>
          <w:rFonts w:hint="eastAsia"/>
          <w:b/>
          <w:highlight w:val="none"/>
        </w:rPr>
        <w:t>此表内投标报价为最终价，开标信封及投标文件内不得含有任何对本报价进行修改的其他说明或资料，否则为无效投标</w:t>
      </w:r>
      <w:r>
        <w:rPr>
          <w:rFonts w:hint="eastAsia"/>
          <w:b/>
          <w:bCs/>
          <w:szCs w:val="21"/>
          <w:highlight w:val="none"/>
        </w:rPr>
        <w:t>。</w:t>
      </w:r>
    </w:p>
    <w:p>
      <w:pPr>
        <w:widowControl w:val="0"/>
        <w:shd w:val="clear" w:color="auto" w:fill="auto"/>
        <w:tabs>
          <w:tab w:val="clear" w:pos="426"/>
        </w:tabs>
        <w:adjustRightInd/>
        <w:rPr>
          <w:b/>
          <w:bCs/>
          <w:szCs w:val="21"/>
          <w:highlight w:val="none"/>
        </w:rPr>
      </w:pPr>
    </w:p>
    <w:p>
      <w:pPr>
        <w:widowControl w:val="0"/>
        <w:shd w:val="clear" w:color="auto" w:fill="auto"/>
        <w:tabs>
          <w:tab w:val="clear" w:pos="426"/>
        </w:tabs>
        <w:adjustRightInd/>
        <w:rPr>
          <w:b/>
          <w:bCs/>
          <w:szCs w:val="21"/>
          <w:highlight w:val="none"/>
        </w:rPr>
      </w:pPr>
    </w:p>
    <w:p>
      <w:pPr>
        <w:widowControl w:val="0"/>
        <w:shd w:val="clear" w:color="auto" w:fill="auto"/>
        <w:tabs>
          <w:tab w:val="clear" w:pos="426"/>
        </w:tabs>
        <w:adjustRightInd/>
        <w:rPr>
          <w:b/>
          <w:bCs/>
          <w:szCs w:val="21"/>
          <w:highlight w:val="none"/>
        </w:rPr>
      </w:pPr>
    </w:p>
    <w:p>
      <w:pPr>
        <w:widowControl w:val="0"/>
        <w:shd w:val="clear" w:color="auto" w:fill="auto"/>
        <w:tabs>
          <w:tab w:val="clear" w:pos="426"/>
        </w:tabs>
        <w:adjustRightInd/>
        <w:rPr>
          <w:b/>
          <w:bCs/>
          <w:szCs w:val="21"/>
          <w:highlight w:val="none"/>
        </w:rPr>
      </w:pPr>
    </w:p>
    <w:p>
      <w:pPr>
        <w:numPr>
          <w:ilvl w:val="0"/>
          <w:numId w:val="25"/>
        </w:numPr>
        <w:adjustRightInd/>
        <w:snapToGrid/>
        <w:spacing w:before="280" w:after="290" w:line="377" w:lineRule="auto"/>
        <w:outlineLvl w:val="2"/>
        <w:rPr>
          <w:b/>
          <w:sz w:val="24"/>
          <w:highlight w:val="none"/>
        </w:rPr>
      </w:pPr>
      <w:r>
        <w:rPr>
          <w:b/>
          <w:highlight w:val="none"/>
        </w:rPr>
        <w:br w:type="page"/>
      </w:r>
      <w:r>
        <w:rPr>
          <w:rFonts w:hint="eastAsia"/>
          <w:b/>
          <w:sz w:val="24"/>
          <w:highlight w:val="none"/>
        </w:rPr>
        <w:t>投标分项报价表</w:t>
      </w:r>
    </w:p>
    <w:p>
      <w:pPr>
        <w:widowControl w:val="0"/>
        <w:shd w:val="clear" w:color="auto" w:fill="auto"/>
        <w:tabs>
          <w:tab w:val="clear" w:pos="426"/>
        </w:tabs>
        <w:adjustRightInd/>
        <w:snapToGrid/>
        <w:spacing w:line="300" w:lineRule="auto"/>
        <w:jc w:val="center"/>
        <w:rPr>
          <w:rFonts w:cs="Times New Roman"/>
          <w:b/>
          <w:bCs/>
          <w:kern w:val="2"/>
          <w:sz w:val="28"/>
          <w:szCs w:val="28"/>
          <w:highlight w:val="none"/>
        </w:rPr>
      </w:pPr>
      <w:bookmarkStart w:id="72" w:name="_Toc192662843"/>
      <w:bookmarkStart w:id="73" w:name="_Toc275865611"/>
      <w:bookmarkStart w:id="74" w:name="_Toc480754209"/>
      <w:bookmarkStart w:id="75" w:name="_Toc480755930"/>
      <w:bookmarkStart w:id="76" w:name="_Toc480756076"/>
      <w:bookmarkStart w:id="77" w:name="_Toc480789480"/>
      <w:r>
        <w:rPr>
          <w:rFonts w:hint="eastAsia" w:cs="Times New Roman"/>
          <w:b/>
          <w:bCs/>
          <w:kern w:val="2"/>
          <w:sz w:val="28"/>
          <w:szCs w:val="28"/>
          <w:highlight w:val="none"/>
        </w:rPr>
        <w:t>（一）货物总清单报价表</w:t>
      </w:r>
      <w:bookmarkEnd w:id="72"/>
      <w:bookmarkEnd w:id="73"/>
      <w:bookmarkEnd w:id="74"/>
      <w:bookmarkEnd w:id="75"/>
      <w:bookmarkEnd w:id="76"/>
      <w:bookmarkEnd w:id="77"/>
    </w:p>
    <w:p>
      <w:pPr>
        <w:tabs>
          <w:tab w:val="clear" w:pos="426"/>
        </w:tabs>
        <w:wordWrap w:val="0"/>
        <w:rPr>
          <w:highlight w:val="none"/>
        </w:rPr>
      </w:pPr>
      <w:r>
        <w:rPr>
          <w:rFonts w:hint="eastAsia"/>
          <w:highlight w:val="none"/>
        </w:rPr>
        <w:t>项目名称：项目编号：</w:t>
      </w:r>
    </w:p>
    <w:tbl>
      <w:tblPr>
        <w:tblStyle w:val="44"/>
        <w:tblW w:w="100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1347"/>
        <w:gridCol w:w="1134"/>
        <w:gridCol w:w="1275"/>
        <w:gridCol w:w="851"/>
        <w:gridCol w:w="709"/>
        <w:gridCol w:w="737"/>
        <w:gridCol w:w="659"/>
        <w:gridCol w:w="900"/>
        <w:gridCol w:w="900"/>
        <w:gridCol w:w="9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vAlign w:val="center"/>
          </w:tcPr>
          <w:p>
            <w:pPr>
              <w:spacing w:line="240" w:lineRule="auto"/>
              <w:jc w:val="center"/>
              <w:rPr>
                <w:szCs w:val="21"/>
                <w:highlight w:val="none"/>
              </w:rPr>
            </w:pPr>
            <w:r>
              <w:rPr>
                <w:rFonts w:hint="eastAsia"/>
                <w:szCs w:val="21"/>
                <w:highlight w:val="none"/>
              </w:rPr>
              <w:t>序号</w:t>
            </w:r>
          </w:p>
        </w:tc>
        <w:tc>
          <w:tcPr>
            <w:tcW w:w="1347" w:type="dxa"/>
            <w:vAlign w:val="center"/>
          </w:tcPr>
          <w:p>
            <w:pPr>
              <w:spacing w:line="240" w:lineRule="auto"/>
              <w:jc w:val="center"/>
              <w:rPr>
                <w:szCs w:val="21"/>
                <w:highlight w:val="none"/>
              </w:rPr>
            </w:pPr>
            <w:r>
              <w:rPr>
                <w:rFonts w:hint="eastAsia"/>
                <w:szCs w:val="21"/>
                <w:highlight w:val="none"/>
              </w:rPr>
              <w:t>采购计划编号</w:t>
            </w:r>
          </w:p>
        </w:tc>
        <w:tc>
          <w:tcPr>
            <w:tcW w:w="1134" w:type="dxa"/>
            <w:vAlign w:val="center"/>
          </w:tcPr>
          <w:p>
            <w:pPr>
              <w:spacing w:line="240" w:lineRule="auto"/>
              <w:jc w:val="center"/>
              <w:rPr>
                <w:szCs w:val="21"/>
                <w:highlight w:val="none"/>
              </w:rPr>
            </w:pPr>
            <w:r>
              <w:rPr>
                <w:rFonts w:hint="eastAsia"/>
                <w:szCs w:val="21"/>
                <w:highlight w:val="none"/>
              </w:rPr>
              <w:t>货物名称</w:t>
            </w:r>
          </w:p>
        </w:tc>
        <w:tc>
          <w:tcPr>
            <w:tcW w:w="1275" w:type="dxa"/>
            <w:vAlign w:val="center"/>
          </w:tcPr>
          <w:p>
            <w:pPr>
              <w:spacing w:line="240" w:lineRule="auto"/>
              <w:jc w:val="center"/>
              <w:rPr>
                <w:szCs w:val="21"/>
                <w:highlight w:val="none"/>
              </w:rPr>
            </w:pPr>
            <w:r>
              <w:rPr>
                <w:rFonts w:hint="eastAsia"/>
                <w:szCs w:val="21"/>
                <w:highlight w:val="none"/>
              </w:rPr>
              <w:t>规格/型号</w:t>
            </w:r>
          </w:p>
        </w:tc>
        <w:tc>
          <w:tcPr>
            <w:tcW w:w="851" w:type="dxa"/>
            <w:vAlign w:val="center"/>
          </w:tcPr>
          <w:p>
            <w:pPr>
              <w:spacing w:line="240" w:lineRule="auto"/>
              <w:jc w:val="center"/>
              <w:rPr>
                <w:b/>
                <w:szCs w:val="21"/>
                <w:highlight w:val="none"/>
              </w:rPr>
            </w:pPr>
            <w:r>
              <w:rPr>
                <w:rFonts w:hint="eastAsia"/>
                <w:b/>
                <w:szCs w:val="21"/>
                <w:highlight w:val="none"/>
              </w:rPr>
              <w:t>原产地</w:t>
            </w:r>
          </w:p>
        </w:tc>
        <w:tc>
          <w:tcPr>
            <w:tcW w:w="709" w:type="dxa"/>
            <w:vAlign w:val="center"/>
          </w:tcPr>
          <w:p>
            <w:pPr>
              <w:spacing w:line="240" w:lineRule="auto"/>
              <w:jc w:val="center"/>
              <w:rPr>
                <w:szCs w:val="21"/>
                <w:highlight w:val="none"/>
              </w:rPr>
            </w:pPr>
            <w:r>
              <w:rPr>
                <w:rFonts w:hint="eastAsia"/>
                <w:szCs w:val="21"/>
                <w:highlight w:val="none"/>
              </w:rPr>
              <w:t>制造商名称</w:t>
            </w:r>
          </w:p>
        </w:tc>
        <w:tc>
          <w:tcPr>
            <w:tcW w:w="737" w:type="dxa"/>
            <w:vAlign w:val="center"/>
          </w:tcPr>
          <w:p>
            <w:pPr>
              <w:spacing w:line="240" w:lineRule="auto"/>
              <w:jc w:val="center"/>
              <w:rPr>
                <w:szCs w:val="21"/>
                <w:highlight w:val="none"/>
              </w:rPr>
            </w:pPr>
            <w:r>
              <w:rPr>
                <w:rFonts w:hint="eastAsia"/>
                <w:szCs w:val="21"/>
                <w:highlight w:val="none"/>
              </w:rPr>
              <w:t>数量</w:t>
            </w:r>
          </w:p>
        </w:tc>
        <w:tc>
          <w:tcPr>
            <w:tcW w:w="659" w:type="dxa"/>
            <w:vAlign w:val="center"/>
          </w:tcPr>
          <w:p>
            <w:pPr>
              <w:spacing w:line="240" w:lineRule="auto"/>
              <w:jc w:val="center"/>
              <w:rPr>
                <w:szCs w:val="21"/>
                <w:highlight w:val="none"/>
              </w:rPr>
            </w:pPr>
            <w:r>
              <w:rPr>
                <w:rFonts w:hint="eastAsia"/>
                <w:szCs w:val="21"/>
                <w:highlight w:val="none"/>
              </w:rPr>
              <w:t>单位</w:t>
            </w:r>
          </w:p>
        </w:tc>
        <w:tc>
          <w:tcPr>
            <w:tcW w:w="900" w:type="dxa"/>
            <w:vAlign w:val="center"/>
          </w:tcPr>
          <w:p>
            <w:pPr>
              <w:spacing w:line="240" w:lineRule="auto"/>
              <w:jc w:val="center"/>
              <w:rPr>
                <w:szCs w:val="21"/>
                <w:highlight w:val="none"/>
              </w:rPr>
            </w:pPr>
            <w:r>
              <w:rPr>
                <w:rFonts w:hint="eastAsia"/>
                <w:szCs w:val="21"/>
                <w:highlight w:val="none"/>
              </w:rPr>
              <w:t>单价(元)</w:t>
            </w:r>
          </w:p>
        </w:tc>
        <w:tc>
          <w:tcPr>
            <w:tcW w:w="900" w:type="dxa"/>
            <w:vAlign w:val="center"/>
          </w:tcPr>
          <w:p>
            <w:pPr>
              <w:spacing w:line="240" w:lineRule="auto"/>
              <w:jc w:val="center"/>
              <w:rPr>
                <w:szCs w:val="21"/>
                <w:highlight w:val="none"/>
              </w:rPr>
            </w:pPr>
            <w:r>
              <w:rPr>
                <w:rFonts w:hint="eastAsia"/>
                <w:szCs w:val="21"/>
                <w:highlight w:val="none"/>
              </w:rPr>
              <w:t>合价(元)</w:t>
            </w:r>
          </w:p>
        </w:tc>
        <w:tc>
          <w:tcPr>
            <w:tcW w:w="956" w:type="dxa"/>
            <w:vAlign w:val="center"/>
          </w:tcPr>
          <w:p>
            <w:pPr>
              <w:spacing w:line="240" w:lineRule="auto"/>
              <w:jc w:val="center"/>
              <w:rPr>
                <w:szCs w:val="21"/>
                <w:highlight w:val="none"/>
              </w:rPr>
            </w:pPr>
            <w:r>
              <w:rPr>
                <w:rFonts w:hint="eastAsia"/>
                <w:szCs w:val="21"/>
                <w:highlight w:val="none"/>
              </w:rPr>
              <w:t>财政预算限额（元）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vAlign w:val="center"/>
          </w:tcPr>
          <w:p>
            <w:pPr>
              <w:spacing w:line="240" w:lineRule="auto"/>
              <w:jc w:val="center"/>
              <w:rPr>
                <w:sz w:val="24"/>
                <w:highlight w:val="none"/>
              </w:rPr>
            </w:pPr>
          </w:p>
        </w:tc>
        <w:tc>
          <w:tcPr>
            <w:tcW w:w="1347" w:type="dxa"/>
            <w:vAlign w:val="center"/>
          </w:tcPr>
          <w:p>
            <w:pPr>
              <w:spacing w:line="240" w:lineRule="auto"/>
              <w:jc w:val="center"/>
              <w:rPr>
                <w:sz w:val="24"/>
                <w:highlight w:val="none"/>
              </w:rPr>
            </w:pPr>
          </w:p>
        </w:tc>
        <w:tc>
          <w:tcPr>
            <w:tcW w:w="1134" w:type="dxa"/>
            <w:vAlign w:val="center"/>
          </w:tcPr>
          <w:p>
            <w:pPr>
              <w:spacing w:line="240" w:lineRule="auto"/>
              <w:jc w:val="center"/>
              <w:rPr>
                <w:sz w:val="24"/>
                <w:highlight w:val="none"/>
              </w:rPr>
            </w:pPr>
          </w:p>
        </w:tc>
        <w:tc>
          <w:tcPr>
            <w:tcW w:w="1275" w:type="dxa"/>
            <w:vAlign w:val="center"/>
          </w:tcPr>
          <w:p>
            <w:pPr>
              <w:spacing w:line="240" w:lineRule="auto"/>
              <w:jc w:val="center"/>
              <w:rPr>
                <w:sz w:val="24"/>
                <w:highlight w:val="none"/>
              </w:rPr>
            </w:pPr>
          </w:p>
        </w:tc>
        <w:tc>
          <w:tcPr>
            <w:tcW w:w="851" w:type="dxa"/>
            <w:vAlign w:val="center"/>
          </w:tcPr>
          <w:p>
            <w:pPr>
              <w:spacing w:line="240" w:lineRule="auto"/>
              <w:jc w:val="center"/>
              <w:rPr>
                <w:sz w:val="24"/>
                <w:highlight w:val="none"/>
              </w:rPr>
            </w:pPr>
          </w:p>
        </w:tc>
        <w:tc>
          <w:tcPr>
            <w:tcW w:w="709" w:type="dxa"/>
            <w:vAlign w:val="center"/>
          </w:tcPr>
          <w:p>
            <w:pPr>
              <w:spacing w:line="240" w:lineRule="auto"/>
              <w:jc w:val="center"/>
              <w:rPr>
                <w:sz w:val="24"/>
                <w:highlight w:val="none"/>
              </w:rPr>
            </w:pPr>
          </w:p>
        </w:tc>
        <w:tc>
          <w:tcPr>
            <w:tcW w:w="737" w:type="dxa"/>
            <w:vAlign w:val="center"/>
          </w:tcPr>
          <w:p>
            <w:pPr>
              <w:spacing w:line="240" w:lineRule="auto"/>
              <w:jc w:val="center"/>
              <w:rPr>
                <w:sz w:val="24"/>
                <w:highlight w:val="none"/>
              </w:rPr>
            </w:pPr>
          </w:p>
        </w:tc>
        <w:tc>
          <w:tcPr>
            <w:tcW w:w="659" w:type="dxa"/>
            <w:vAlign w:val="center"/>
          </w:tcPr>
          <w:p>
            <w:pPr>
              <w:spacing w:line="240" w:lineRule="auto"/>
              <w:jc w:val="center"/>
              <w:rPr>
                <w:sz w:val="24"/>
                <w:highlight w:val="none"/>
              </w:rPr>
            </w:pPr>
          </w:p>
        </w:tc>
        <w:tc>
          <w:tcPr>
            <w:tcW w:w="900" w:type="dxa"/>
            <w:vAlign w:val="center"/>
          </w:tcPr>
          <w:p>
            <w:pPr>
              <w:spacing w:line="240" w:lineRule="auto"/>
              <w:jc w:val="center"/>
              <w:rPr>
                <w:sz w:val="24"/>
                <w:highlight w:val="none"/>
              </w:rPr>
            </w:pPr>
          </w:p>
        </w:tc>
        <w:tc>
          <w:tcPr>
            <w:tcW w:w="900" w:type="dxa"/>
            <w:vAlign w:val="center"/>
          </w:tcPr>
          <w:p>
            <w:pPr>
              <w:spacing w:line="240" w:lineRule="auto"/>
              <w:jc w:val="center"/>
              <w:rPr>
                <w:sz w:val="24"/>
                <w:highlight w:val="none"/>
              </w:rPr>
            </w:pPr>
          </w:p>
        </w:tc>
        <w:tc>
          <w:tcPr>
            <w:tcW w:w="956" w:type="dxa"/>
            <w:vAlign w:val="center"/>
          </w:tcPr>
          <w:p>
            <w:pPr>
              <w:spacing w:line="240" w:lineRule="auto"/>
              <w:jc w:val="center"/>
              <w:rPr>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vAlign w:val="center"/>
          </w:tcPr>
          <w:p>
            <w:pPr>
              <w:spacing w:line="240" w:lineRule="auto"/>
              <w:jc w:val="center"/>
              <w:rPr>
                <w:sz w:val="24"/>
                <w:highlight w:val="none"/>
              </w:rPr>
            </w:pPr>
          </w:p>
        </w:tc>
        <w:tc>
          <w:tcPr>
            <w:tcW w:w="1347" w:type="dxa"/>
            <w:vAlign w:val="center"/>
          </w:tcPr>
          <w:p>
            <w:pPr>
              <w:spacing w:line="240" w:lineRule="auto"/>
              <w:jc w:val="center"/>
              <w:rPr>
                <w:sz w:val="24"/>
                <w:highlight w:val="none"/>
              </w:rPr>
            </w:pPr>
          </w:p>
        </w:tc>
        <w:tc>
          <w:tcPr>
            <w:tcW w:w="1134" w:type="dxa"/>
            <w:vAlign w:val="center"/>
          </w:tcPr>
          <w:p>
            <w:pPr>
              <w:spacing w:line="240" w:lineRule="auto"/>
              <w:jc w:val="center"/>
              <w:rPr>
                <w:sz w:val="24"/>
                <w:highlight w:val="none"/>
              </w:rPr>
            </w:pPr>
          </w:p>
        </w:tc>
        <w:tc>
          <w:tcPr>
            <w:tcW w:w="1275" w:type="dxa"/>
            <w:vAlign w:val="center"/>
          </w:tcPr>
          <w:p>
            <w:pPr>
              <w:spacing w:line="240" w:lineRule="auto"/>
              <w:jc w:val="center"/>
              <w:rPr>
                <w:sz w:val="24"/>
                <w:highlight w:val="none"/>
              </w:rPr>
            </w:pPr>
          </w:p>
        </w:tc>
        <w:tc>
          <w:tcPr>
            <w:tcW w:w="851" w:type="dxa"/>
            <w:vAlign w:val="center"/>
          </w:tcPr>
          <w:p>
            <w:pPr>
              <w:spacing w:line="240" w:lineRule="auto"/>
              <w:jc w:val="center"/>
              <w:rPr>
                <w:sz w:val="24"/>
                <w:highlight w:val="none"/>
              </w:rPr>
            </w:pPr>
          </w:p>
        </w:tc>
        <w:tc>
          <w:tcPr>
            <w:tcW w:w="709" w:type="dxa"/>
            <w:vAlign w:val="center"/>
          </w:tcPr>
          <w:p>
            <w:pPr>
              <w:spacing w:line="240" w:lineRule="auto"/>
              <w:jc w:val="center"/>
              <w:rPr>
                <w:sz w:val="24"/>
                <w:highlight w:val="none"/>
              </w:rPr>
            </w:pPr>
          </w:p>
        </w:tc>
        <w:tc>
          <w:tcPr>
            <w:tcW w:w="737" w:type="dxa"/>
            <w:vAlign w:val="center"/>
          </w:tcPr>
          <w:p>
            <w:pPr>
              <w:spacing w:line="240" w:lineRule="auto"/>
              <w:jc w:val="center"/>
              <w:rPr>
                <w:sz w:val="24"/>
                <w:highlight w:val="none"/>
              </w:rPr>
            </w:pPr>
          </w:p>
        </w:tc>
        <w:tc>
          <w:tcPr>
            <w:tcW w:w="659" w:type="dxa"/>
            <w:vAlign w:val="center"/>
          </w:tcPr>
          <w:p>
            <w:pPr>
              <w:spacing w:line="240" w:lineRule="auto"/>
              <w:jc w:val="center"/>
              <w:rPr>
                <w:sz w:val="24"/>
                <w:highlight w:val="none"/>
              </w:rPr>
            </w:pPr>
          </w:p>
        </w:tc>
        <w:tc>
          <w:tcPr>
            <w:tcW w:w="900" w:type="dxa"/>
            <w:vAlign w:val="center"/>
          </w:tcPr>
          <w:p>
            <w:pPr>
              <w:spacing w:line="240" w:lineRule="auto"/>
              <w:jc w:val="center"/>
              <w:rPr>
                <w:sz w:val="24"/>
                <w:highlight w:val="none"/>
              </w:rPr>
            </w:pPr>
          </w:p>
        </w:tc>
        <w:tc>
          <w:tcPr>
            <w:tcW w:w="900" w:type="dxa"/>
            <w:vAlign w:val="center"/>
          </w:tcPr>
          <w:p>
            <w:pPr>
              <w:spacing w:line="240" w:lineRule="auto"/>
              <w:jc w:val="center"/>
              <w:rPr>
                <w:sz w:val="24"/>
                <w:highlight w:val="none"/>
              </w:rPr>
            </w:pPr>
          </w:p>
        </w:tc>
        <w:tc>
          <w:tcPr>
            <w:tcW w:w="956" w:type="dxa"/>
            <w:vAlign w:val="center"/>
          </w:tcPr>
          <w:p>
            <w:pPr>
              <w:spacing w:line="240" w:lineRule="auto"/>
              <w:jc w:val="center"/>
              <w:rPr>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52" w:type="dxa"/>
            <w:gridSpan w:val="9"/>
            <w:vAlign w:val="center"/>
          </w:tcPr>
          <w:p>
            <w:pPr>
              <w:spacing w:line="240" w:lineRule="auto"/>
              <w:jc w:val="left"/>
              <w:rPr>
                <w:sz w:val="24"/>
                <w:highlight w:val="none"/>
              </w:rPr>
            </w:pPr>
            <w:r>
              <w:rPr>
                <w:rFonts w:hint="eastAsia"/>
                <w:sz w:val="24"/>
                <w:highlight w:val="none"/>
              </w:rPr>
              <w:t>合计（即：投标总价；币种：人民币；单位：元）：大写：</w:t>
            </w:r>
          </w:p>
        </w:tc>
        <w:tc>
          <w:tcPr>
            <w:tcW w:w="900" w:type="dxa"/>
            <w:vAlign w:val="center"/>
          </w:tcPr>
          <w:p>
            <w:pPr>
              <w:spacing w:line="240" w:lineRule="auto"/>
              <w:jc w:val="center"/>
              <w:rPr>
                <w:sz w:val="24"/>
                <w:highlight w:val="none"/>
              </w:rPr>
            </w:pPr>
          </w:p>
        </w:tc>
        <w:tc>
          <w:tcPr>
            <w:tcW w:w="956" w:type="dxa"/>
            <w:vAlign w:val="center"/>
          </w:tcPr>
          <w:p>
            <w:pPr>
              <w:spacing w:line="240" w:lineRule="auto"/>
              <w:jc w:val="center"/>
              <w:rPr>
                <w:sz w:val="24"/>
                <w:highlight w:val="none"/>
              </w:rPr>
            </w:pPr>
          </w:p>
        </w:tc>
      </w:tr>
    </w:tbl>
    <w:p>
      <w:pPr>
        <w:spacing w:line="240" w:lineRule="auto"/>
        <w:rPr>
          <w:b/>
          <w:sz w:val="24"/>
          <w:highlight w:val="none"/>
        </w:rPr>
      </w:pPr>
      <w:r>
        <w:rPr>
          <w:rFonts w:hint="eastAsia"/>
          <w:b/>
          <w:sz w:val="24"/>
          <w:highlight w:val="none"/>
        </w:rPr>
        <w:t>备注：</w:t>
      </w:r>
    </w:p>
    <w:p>
      <w:pPr>
        <w:spacing w:line="240" w:lineRule="auto"/>
        <w:ind w:firstLine="424" w:firstLineChars="176"/>
        <w:rPr>
          <w:b/>
          <w:sz w:val="24"/>
          <w:highlight w:val="none"/>
        </w:rPr>
      </w:pPr>
      <w:r>
        <w:rPr>
          <w:rFonts w:hint="eastAsia"/>
          <w:b/>
          <w:sz w:val="24"/>
          <w:highlight w:val="none"/>
        </w:rPr>
        <w:t>1.请根据“第三章</w:t>
      </w:r>
      <w:r>
        <w:rPr>
          <w:b/>
          <w:sz w:val="24"/>
          <w:highlight w:val="none"/>
        </w:rPr>
        <w:t xml:space="preserve"> 项目需求” “</w:t>
      </w:r>
      <w:r>
        <w:rPr>
          <w:rFonts w:hint="eastAsia"/>
          <w:b/>
          <w:sz w:val="24"/>
          <w:highlight w:val="none"/>
        </w:rPr>
        <w:t>一</w:t>
      </w:r>
      <w:r>
        <w:rPr>
          <w:b/>
          <w:sz w:val="24"/>
          <w:highlight w:val="none"/>
        </w:rPr>
        <w:t>、货物清单</w:t>
      </w:r>
      <w:r>
        <w:rPr>
          <w:rFonts w:hint="eastAsia"/>
          <w:b/>
          <w:sz w:val="24"/>
          <w:highlight w:val="none"/>
        </w:rPr>
        <w:t>一览表</w:t>
      </w:r>
      <w:r>
        <w:rPr>
          <w:b/>
          <w:sz w:val="24"/>
          <w:highlight w:val="none"/>
        </w:rPr>
        <w:t>”中的“（一）货物总清单”填写；本表格式不得修改。</w:t>
      </w:r>
    </w:p>
    <w:p>
      <w:pPr>
        <w:spacing w:line="240" w:lineRule="auto"/>
        <w:ind w:firstLine="424" w:firstLineChars="176"/>
        <w:rPr>
          <w:b/>
          <w:sz w:val="24"/>
          <w:highlight w:val="none"/>
        </w:rPr>
      </w:pPr>
      <w:r>
        <w:rPr>
          <w:rFonts w:hint="eastAsia"/>
          <w:b/>
          <w:sz w:val="24"/>
          <w:highlight w:val="none"/>
        </w:rPr>
        <w:t>2</w:t>
      </w:r>
      <w:r>
        <w:rPr>
          <w:b/>
          <w:sz w:val="24"/>
          <w:highlight w:val="none"/>
        </w:rPr>
        <w:t>.</w:t>
      </w:r>
      <w:r>
        <w:rPr>
          <w:rFonts w:hint="eastAsia"/>
          <w:b/>
          <w:sz w:val="24"/>
          <w:highlight w:val="none"/>
        </w:rPr>
        <w:t>所有价格应按“招标文件”中规定的货币单位填写；投标总价应为以上各分项价格之和；投标总价和项目报价表中单个采购预算条目报价均不得超过对应的财政预算限额，否则将导致无效投标。</w:t>
      </w:r>
    </w:p>
    <w:p>
      <w:pPr>
        <w:spacing w:line="240" w:lineRule="auto"/>
        <w:ind w:firstLine="424" w:firstLineChars="176"/>
        <w:rPr>
          <w:b/>
          <w:sz w:val="24"/>
          <w:highlight w:val="none"/>
        </w:rPr>
      </w:pPr>
      <w:r>
        <w:rPr>
          <w:rFonts w:hint="eastAsia"/>
          <w:b/>
          <w:sz w:val="24"/>
          <w:highlight w:val="none"/>
        </w:rPr>
        <w:t>4.单价、合价和投标总价为包干价，即三者均应包含设备的价款、包装、运输、装卸、安装、调试、技术指导、培训、咨询、服务、保险、税费、检测、验收合格交付使用之前以及技术和售后服务等其他各项有关费用。</w:t>
      </w:r>
    </w:p>
    <w:p>
      <w:pPr>
        <w:spacing w:line="240" w:lineRule="auto"/>
        <w:ind w:firstLine="424" w:firstLineChars="176"/>
        <w:rPr>
          <w:b/>
          <w:sz w:val="24"/>
          <w:highlight w:val="none"/>
        </w:rPr>
      </w:pPr>
      <w:r>
        <w:rPr>
          <w:rFonts w:hint="eastAsia"/>
          <w:b/>
          <w:sz w:val="24"/>
          <w:highlight w:val="none"/>
        </w:rPr>
        <w:t>5.开标一览表的投标总价必须与投标分项报价表的投标总价一致。</w:t>
      </w:r>
    </w:p>
    <w:p>
      <w:pPr>
        <w:spacing w:line="240" w:lineRule="auto"/>
        <w:ind w:firstLine="424" w:firstLineChars="176"/>
        <w:rPr>
          <w:b/>
          <w:sz w:val="24"/>
          <w:highlight w:val="none"/>
        </w:rPr>
      </w:pPr>
      <w:r>
        <w:rPr>
          <w:b/>
          <w:sz w:val="24"/>
          <w:highlight w:val="none"/>
        </w:rPr>
        <w:t>6</w:t>
      </w:r>
      <w:r>
        <w:rPr>
          <w:rFonts w:hint="eastAsia"/>
          <w:b/>
          <w:sz w:val="24"/>
          <w:highlight w:val="none"/>
        </w:rPr>
        <w:t>.“原产地”是指该产品的实际生产加工地，而非品牌总公司所在地。</w:t>
      </w:r>
    </w:p>
    <w:p>
      <w:pPr>
        <w:spacing w:line="240" w:lineRule="auto"/>
        <w:ind w:firstLine="424" w:firstLineChars="176"/>
        <w:rPr>
          <w:b/>
          <w:sz w:val="24"/>
          <w:highlight w:val="none"/>
        </w:rPr>
      </w:pPr>
      <w:r>
        <w:rPr>
          <w:rFonts w:hint="eastAsia"/>
          <w:b/>
          <w:sz w:val="24"/>
          <w:highlight w:val="none"/>
        </w:rPr>
        <w:t>8.如所投产品属于定制类的非量产货物，投标人无需填写型号等，但应在开标一览表中予以备注。</w:t>
      </w:r>
    </w:p>
    <w:p>
      <w:pPr>
        <w:spacing w:line="240" w:lineRule="auto"/>
        <w:ind w:firstLine="424" w:firstLineChars="176"/>
        <w:rPr>
          <w:b/>
          <w:sz w:val="24"/>
          <w:highlight w:val="none"/>
        </w:rPr>
      </w:pPr>
    </w:p>
    <w:p>
      <w:pPr>
        <w:widowControl w:val="0"/>
        <w:shd w:val="clear" w:color="auto" w:fill="auto"/>
        <w:tabs>
          <w:tab w:val="clear" w:pos="426"/>
        </w:tabs>
        <w:adjustRightInd/>
        <w:snapToGrid/>
        <w:spacing w:line="300" w:lineRule="auto"/>
        <w:jc w:val="center"/>
        <w:rPr>
          <w:rFonts w:cs="Times New Roman"/>
          <w:b/>
          <w:bCs/>
          <w:kern w:val="2"/>
          <w:sz w:val="32"/>
          <w:szCs w:val="32"/>
          <w:highlight w:val="none"/>
        </w:rPr>
      </w:pPr>
    </w:p>
    <w:p>
      <w:pPr>
        <w:widowControl w:val="0"/>
        <w:shd w:val="clear" w:color="auto" w:fill="auto"/>
        <w:tabs>
          <w:tab w:val="clear" w:pos="426"/>
        </w:tabs>
        <w:adjustRightInd/>
        <w:snapToGrid/>
        <w:spacing w:line="300" w:lineRule="auto"/>
        <w:jc w:val="center"/>
        <w:rPr>
          <w:rFonts w:cs="Times New Roman"/>
          <w:b/>
          <w:bCs/>
          <w:kern w:val="2"/>
          <w:sz w:val="32"/>
          <w:szCs w:val="32"/>
          <w:highlight w:val="none"/>
        </w:rPr>
      </w:pPr>
      <w:r>
        <w:rPr>
          <w:rFonts w:hint="eastAsia" w:cs="Times New Roman"/>
          <w:b/>
          <w:bCs/>
          <w:kern w:val="2"/>
          <w:sz w:val="28"/>
          <w:szCs w:val="28"/>
          <w:highlight w:val="none"/>
          <w:lang w:eastAsia="zh-CN"/>
        </w:rPr>
        <w:t>（二）</w:t>
      </w:r>
      <w:r>
        <w:rPr>
          <w:rFonts w:hint="eastAsia" w:cs="Times New Roman"/>
          <w:b/>
          <w:bCs/>
          <w:kern w:val="2"/>
          <w:sz w:val="28"/>
          <w:szCs w:val="28"/>
          <w:highlight w:val="none"/>
        </w:rPr>
        <w:t>零配件、消耗品和延续保修合同报价清单（不包括在投标总价内）</w:t>
      </w:r>
    </w:p>
    <w:p>
      <w:pPr>
        <w:tabs>
          <w:tab w:val="clear" w:pos="426"/>
        </w:tabs>
        <w:spacing w:line="500" w:lineRule="exact"/>
        <w:rPr>
          <w:b/>
          <w:spacing w:val="4"/>
          <w:highlight w:val="none"/>
        </w:rPr>
      </w:pPr>
      <w:r>
        <w:rPr>
          <w:rFonts w:hint="eastAsia"/>
          <w:b/>
          <w:spacing w:val="4"/>
          <w:highlight w:val="none"/>
        </w:rPr>
        <w:t>备注：价格最高的前</w:t>
      </w:r>
      <w:r>
        <w:rPr>
          <w:b/>
          <w:spacing w:val="4"/>
          <w:highlight w:val="none"/>
        </w:rPr>
        <w:t>5项零配件、消耗品和延续保修合同的报价明细必须填写于此清单中。</w:t>
      </w:r>
    </w:p>
    <w:tbl>
      <w:tblPr>
        <w:tblStyle w:val="44"/>
        <w:tblW w:w="95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5"/>
        <w:gridCol w:w="1574"/>
        <w:gridCol w:w="2177"/>
        <w:gridCol w:w="952"/>
        <w:gridCol w:w="952"/>
        <w:gridCol w:w="951"/>
        <w:gridCol w:w="800"/>
        <w:gridCol w:w="1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5" w:type="dxa"/>
            <w:vAlign w:val="center"/>
          </w:tcPr>
          <w:p>
            <w:pPr>
              <w:widowControl w:val="0"/>
              <w:shd w:val="clear" w:color="auto" w:fill="auto"/>
              <w:tabs>
                <w:tab w:val="clear" w:pos="426"/>
              </w:tabs>
              <w:adjustRightInd/>
              <w:snapToGrid/>
              <w:spacing w:line="240" w:lineRule="auto"/>
              <w:ind w:right="-69" w:rightChars="-33"/>
              <w:jc w:val="center"/>
              <w:rPr>
                <w:rFonts w:ascii="Calibri" w:hAnsi="Calibri" w:cs="Times New Roman"/>
                <w:kern w:val="2"/>
                <w:szCs w:val="21"/>
                <w:highlight w:val="none"/>
              </w:rPr>
            </w:pPr>
            <w:r>
              <w:rPr>
                <w:rFonts w:hint="eastAsia" w:ascii="Calibri" w:hAnsi="Calibri" w:cs="Times New Roman"/>
                <w:kern w:val="2"/>
                <w:szCs w:val="21"/>
                <w:highlight w:val="none"/>
              </w:rPr>
              <w:t>序号</w:t>
            </w:r>
          </w:p>
        </w:tc>
        <w:tc>
          <w:tcPr>
            <w:tcW w:w="1574" w:type="dxa"/>
            <w:vAlign w:val="center"/>
          </w:tcPr>
          <w:p>
            <w:pPr>
              <w:widowControl w:val="0"/>
              <w:shd w:val="clear" w:color="auto" w:fill="auto"/>
              <w:tabs>
                <w:tab w:val="clear" w:pos="426"/>
              </w:tabs>
              <w:adjustRightInd/>
              <w:snapToGrid/>
              <w:spacing w:line="240" w:lineRule="auto"/>
              <w:jc w:val="center"/>
              <w:rPr>
                <w:rFonts w:ascii="Calibri" w:hAnsi="Calibri" w:cs="Times New Roman"/>
                <w:kern w:val="2"/>
                <w:szCs w:val="21"/>
                <w:highlight w:val="none"/>
              </w:rPr>
            </w:pPr>
            <w:r>
              <w:rPr>
                <w:rFonts w:hint="eastAsia" w:ascii="Calibri" w:hAnsi="Calibri" w:cs="Times New Roman"/>
                <w:kern w:val="2"/>
                <w:szCs w:val="21"/>
                <w:highlight w:val="none"/>
              </w:rPr>
              <w:t>货物名称</w:t>
            </w:r>
          </w:p>
        </w:tc>
        <w:tc>
          <w:tcPr>
            <w:tcW w:w="2177" w:type="dxa"/>
            <w:vAlign w:val="center"/>
          </w:tcPr>
          <w:p>
            <w:pPr>
              <w:widowControl w:val="0"/>
              <w:shd w:val="clear" w:color="auto" w:fill="auto"/>
              <w:tabs>
                <w:tab w:val="clear" w:pos="426"/>
              </w:tabs>
              <w:adjustRightInd/>
              <w:snapToGrid/>
              <w:spacing w:line="240" w:lineRule="auto"/>
              <w:jc w:val="center"/>
              <w:rPr>
                <w:rFonts w:ascii="Calibri" w:hAnsi="Calibri" w:cs="Times New Roman"/>
                <w:kern w:val="2"/>
                <w:szCs w:val="21"/>
                <w:highlight w:val="none"/>
              </w:rPr>
            </w:pPr>
            <w:r>
              <w:rPr>
                <w:rFonts w:hint="eastAsia" w:ascii="Calibri" w:hAnsi="Calibri" w:cs="Times New Roman"/>
                <w:kern w:val="2"/>
                <w:szCs w:val="21"/>
                <w:highlight w:val="none"/>
              </w:rPr>
              <w:t>规格及型号</w:t>
            </w:r>
          </w:p>
        </w:tc>
        <w:tc>
          <w:tcPr>
            <w:tcW w:w="952" w:type="dxa"/>
            <w:vAlign w:val="center"/>
          </w:tcPr>
          <w:p>
            <w:pPr>
              <w:widowControl w:val="0"/>
              <w:shd w:val="clear" w:color="auto" w:fill="auto"/>
              <w:tabs>
                <w:tab w:val="clear" w:pos="426"/>
              </w:tabs>
              <w:adjustRightInd/>
              <w:snapToGrid/>
              <w:spacing w:line="240" w:lineRule="auto"/>
              <w:jc w:val="center"/>
              <w:rPr>
                <w:rFonts w:ascii="Calibri" w:hAnsi="Calibri" w:cs="Times New Roman"/>
                <w:kern w:val="2"/>
                <w:szCs w:val="21"/>
                <w:highlight w:val="none"/>
              </w:rPr>
            </w:pPr>
            <w:r>
              <w:rPr>
                <w:rFonts w:hint="eastAsia" w:ascii="Calibri" w:hAnsi="Calibri" w:cs="Times New Roman"/>
                <w:kern w:val="2"/>
                <w:szCs w:val="21"/>
                <w:highlight w:val="none"/>
              </w:rPr>
              <w:t>产地</w:t>
            </w:r>
          </w:p>
        </w:tc>
        <w:tc>
          <w:tcPr>
            <w:tcW w:w="952" w:type="dxa"/>
            <w:vAlign w:val="center"/>
          </w:tcPr>
          <w:p>
            <w:pPr>
              <w:widowControl w:val="0"/>
              <w:shd w:val="clear" w:color="auto" w:fill="auto"/>
              <w:tabs>
                <w:tab w:val="clear" w:pos="426"/>
              </w:tabs>
              <w:adjustRightInd/>
              <w:snapToGrid/>
              <w:spacing w:line="240" w:lineRule="auto"/>
              <w:jc w:val="center"/>
              <w:rPr>
                <w:rFonts w:ascii="Calibri" w:hAnsi="Calibri" w:cs="Times New Roman"/>
                <w:kern w:val="2"/>
                <w:szCs w:val="21"/>
                <w:highlight w:val="none"/>
              </w:rPr>
            </w:pPr>
            <w:r>
              <w:rPr>
                <w:rFonts w:hint="eastAsia" w:ascii="Calibri" w:hAnsi="Calibri" w:cs="Times New Roman"/>
                <w:kern w:val="2"/>
                <w:szCs w:val="21"/>
                <w:highlight w:val="none"/>
              </w:rPr>
              <w:t>品牌</w:t>
            </w:r>
          </w:p>
        </w:tc>
        <w:tc>
          <w:tcPr>
            <w:tcW w:w="951" w:type="dxa"/>
            <w:vAlign w:val="center"/>
          </w:tcPr>
          <w:p>
            <w:pPr>
              <w:widowControl w:val="0"/>
              <w:shd w:val="clear" w:color="auto" w:fill="auto"/>
              <w:tabs>
                <w:tab w:val="clear" w:pos="426"/>
              </w:tabs>
              <w:adjustRightInd/>
              <w:snapToGrid/>
              <w:spacing w:line="240" w:lineRule="auto"/>
              <w:jc w:val="center"/>
              <w:rPr>
                <w:rFonts w:ascii="Calibri" w:hAnsi="Calibri" w:cs="Times New Roman"/>
                <w:kern w:val="2"/>
                <w:szCs w:val="21"/>
                <w:highlight w:val="none"/>
              </w:rPr>
            </w:pPr>
            <w:r>
              <w:rPr>
                <w:rFonts w:hint="eastAsia" w:ascii="Calibri" w:hAnsi="Calibri" w:cs="Times New Roman"/>
                <w:kern w:val="2"/>
                <w:szCs w:val="21"/>
                <w:highlight w:val="none"/>
              </w:rPr>
              <w:t>数量</w:t>
            </w:r>
          </w:p>
        </w:tc>
        <w:tc>
          <w:tcPr>
            <w:tcW w:w="800" w:type="dxa"/>
            <w:vAlign w:val="center"/>
          </w:tcPr>
          <w:p>
            <w:pPr>
              <w:widowControl w:val="0"/>
              <w:shd w:val="clear" w:color="auto" w:fill="auto"/>
              <w:tabs>
                <w:tab w:val="clear" w:pos="426"/>
              </w:tabs>
              <w:adjustRightInd/>
              <w:snapToGrid/>
              <w:spacing w:line="240" w:lineRule="auto"/>
              <w:jc w:val="center"/>
              <w:rPr>
                <w:rFonts w:ascii="Calibri" w:hAnsi="Calibri" w:cs="Times New Roman"/>
                <w:kern w:val="2"/>
                <w:szCs w:val="21"/>
                <w:highlight w:val="none"/>
              </w:rPr>
            </w:pPr>
            <w:r>
              <w:rPr>
                <w:rFonts w:hint="eastAsia" w:ascii="Calibri" w:hAnsi="Calibri" w:cs="Times New Roman"/>
                <w:kern w:val="2"/>
                <w:szCs w:val="21"/>
                <w:highlight w:val="none"/>
              </w:rPr>
              <w:t>单位</w:t>
            </w:r>
          </w:p>
        </w:tc>
        <w:tc>
          <w:tcPr>
            <w:tcW w:w="1099" w:type="dxa"/>
            <w:vAlign w:val="center"/>
          </w:tcPr>
          <w:p>
            <w:pPr>
              <w:widowControl w:val="0"/>
              <w:shd w:val="clear" w:color="auto" w:fill="auto"/>
              <w:tabs>
                <w:tab w:val="clear" w:pos="426"/>
              </w:tabs>
              <w:adjustRightInd/>
              <w:snapToGrid/>
              <w:spacing w:line="240" w:lineRule="auto"/>
              <w:jc w:val="center"/>
              <w:rPr>
                <w:rFonts w:ascii="Calibri" w:hAnsi="Calibri" w:cs="Times New Roman"/>
                <w:kern w:val="2"/>
                <w:szCs w:val="21"/>
                <w:highlight w:val="none"/>
              </w:rPr>
            </w:pPr>
            <w:r>
              <w:rPr>
                <w:rFonts w:hint="eastAsia" w:ascii="Calibri" w:hAnsi="Calibri" w:cs="Times New Roman"/>
                <w:kern w:val="2"/>
                <w:szCs w:val="21"/>
                <w:highlight w:val="none"/>
              </w:rPr>
              <w:t>单价(元)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tcPr>
          <w:p>
            <w:pPr>
              <w:widowControl w:val="0"/>
              <w:shd w:val="clear" w:color="auto" w:fill="auto"/>
              <w:tabs>
                <w:tab w:val="clear" w:pos="426"/>
              </w:tabs>
              <w:adjustRightInd/>
              <w:snapToGrid/>
              <w:spacing w:line="240" w:lineRule="auto"/>
              <w:ind w:right="-69" w:rightChars="-33"/>
              <w:jc w:val="center"/>
              <w:rPr>
                <w:rFonts w:ascii="Calibri" w:hAnsi="Calibri" w:cs="Times New Roman"/>
                <w:kern w:val="2"/>
                <w:szCs w:val="21"/>
                <w:highlight w:val="none"/>
              </w:rPr>
            </w:pPr>
            <w:r>
              <w:rPr>
                <w:rFonts w:hint="eastAsia" w:ascii="Calibri" w:hAnsi="Calibri" w:cs="Times New Roman"/>
                <w:kern w:val="2"/>
                <w:szCs w:val="21"/>
                <w:highlight w:val="none"/>
              </w:rPr>
              <w:t>1</w:t>
            </w:r>
          </w:p>
        </w:tc>
        <w:tc>
          <w:tcPr>
            <w:tcW w:w="1574" w:type="dxa"/>
          </w:tcPr>
          <w:p>
            <w:pPr>
              <w:widowControl w:val="0"/>
              <w:shd w:val="clear" w:color="auto" w:fill="auto"/>
              <w:tabs>
                <w:tab w:val="clear" w:pos="426"/>
              </w:tabs>
              <w:adjustRightInd/>
              <w:snapToGrid/>
              <w:spacing w:line="240" w:lineRule="auto"/>
              <w:rPr>
                <w:rFonts w:ascii="Calibri" w:hAnsi="Calibri" w:cs="Times New Roman"/>
                <w:kern w:val="2"/>
                <w:sz w:val="24"/>
                <w:szCs w:val="22"/>
                <w:highlight w:val="none"/>
              </w:rPr>
            </w:pPr>
          </w:p>
        </w:tc>
        <w:tc>
          <w:tcPr>
            <w:tcW w:w="2177" w:type="dxa"/>
          </w:tcPr>
          <w:p>
            <w:pPr>
              <w:widowControl w:val="0"/>
              <w:shd w:val="clear" w:color="auto" w:fill="auto"/>
              <w:tabs>
                <w:tab w:val="clear" w:pos="426"/>
              </w:tabs>
              <w:adjustRightInd/>
              <w:snapToGrid/>
              <w:spacing w:line="240" w:lineRule="auto"/>
              <w:rPr>
                <w:rFonts w:ascii="Calibri" w:hAnsi="Calibri" w:cs="Times New Roman"/>
                <w:kern w:val="2"/>
                <w:sz w:val="24"/>
                <w:szCs w:val="22"/>
                <w:highlight w:val="none"/>
              </w:rPr>
            </w:pPr>
          </w:p>
        </w:tc>
        <w:tc>
          <w:tcPr>
            <w:tcW w:w="952" w:type="dxa"/>
          </w:tcPr>
          <w:p>
            <w:pPr>
              <w:widowControl w:val="0"/>
              <w:shd w:val="clear" w:color="auto" w:fill="auto"/>
              <w:tabs>
                <w:tab w:val="clear" w:pos="426"/>
              </w:tabs>
              <w:adjustRightInd/>
              <w:snapToGrid/>
              <w:spacing w:line="240" w:lineRule="auto"/>
              <w:rPr>
                <w:rFonts w:ascii="Calibri" w:hAnsi="Calibri" w:cs="Times New Roman"/>
                <w:kern w:val="2"/>
                <w:sz w:val="24"/>
                <w:szCs w:val="22"/>
                <w:highlight w:val="none"/>
              </w:rPr>
            </w:pPr>
          </w:p>
        </w:tc>
        <w:tc>
          <w:tcPr>
            <w:tcW w:w="952" w:type="dxa"/>
          </w:tcPr>
          <w:p>
            <w:pPr>
              <w:widowControl w:val="0"/>
              <w:shd w:val="clear" w:color="auto" w:fill="auto"/>
              <w:tabs>
                <w:tab w:val="clear" w:pos="426"/>
              </w:tabs>
              <w:adjustRightInd/>
              <w:snapToGrid/>
              <w:spacing w:line="240" w:lineRule="auto"/>
              <w:rPr>
                <w:rFonts w:ascii="Calibri" w:hAnsi="Calibri" w:cs="Times New Roman"/>
                <w:kern w:val="2"/>
                <w:sz w:val="24"/>
                <w:szCs w:val="22"/>
                <w:highlight w:val="none"/>
              </w:rPr>
            </w:pPr>
          </w:p>
        </w:tc>
        <w:tc>
          <w:tcPr>
            <w:tcW w:w="951" w:type="dxa"/>
          </w:tcPr>
          <w:p>
            <w:pPr>
              <w:widowControl w:val="0"/>
              <w:shd w:val="clear" w:color="auto" w:fill="auto"/>
              <w:tabs>
                <w:tab w:val="clear" w:pos="426"/>
              </w:tabs>
              <w:adjustRightInd/>
              <w:snapToGrid/>
              <w:spacing w:line="240" w:lineRule="auto"/>
              <w:rPr>
                <w:rFonts w:ascii="Calibri" w:hAnsi="Calibri" w:cs="Times New Roman"/>
                <w:kern w:val="2"/>
                <w:sz w:val="24"/>
                <w:szCs w:val="22"/>
                <w:highlight w:val="none"/>
              </w:rPr>
            </w:pPr>
          </w:p>
        </w:tc>
        <w:tc>
          <w:tcPr>
            <w:tcW w:w="800" w:type="dxa"/>
          </w:tcPr>
          <w:p>
            <w:pPr>
              <w:widowControl w:val="0"/>
              <w:shd w:val="clear" w:color="auto" w:fill="auto"/>
              <w:tabs>
                <w:tab w:val="clear" w:pos="426"/>
              </w:tabs>
              <w:adjustRightInd/>
              <w:snapToGrid/>
              <w:spacing w:line="240" w:lineRule="auto"/>
              <w:rPr>
                <w:rFonts w:ascii="Calibri" w:hAnsi="Calibri" w:cs="Times New Roman"/>
                <w:kern w:val="2"/>
                <w:sz w:val="24"/>
                <w:szCs w:val="22"/>
                <w:highlight w:val="none"/>
              </w:rPr>
            </w:pPr>
          </w:p>
        </w:tc>
        <w:tc>
          <w:tcPr>
            <w:tcW w:w="1099" w:type="dxa"/>
          </w:tcPr>
          <w:p>
            <w:pPr>
              <w:widowControl w:val="0"/>
              <w:shd w:val="clear" w:color="auto" w:fill="auto"/>
              <w:tabs>
                <w:tab w:val="clear" w:pos="426"/>
              </w:tabs>
              <w:adjustRightInd/>
              <w:snapToGrid/>
              <w:spacing w:line="240" w:lineRule="auto"/>
              <w:rPr>
                <w:rFonts w:ascii="Calibri" w:hAnsi="Calibri" w:cs="Times New Roman"/>
                <w:kern w:val="2"/>
                <w:sz w:val="24"/>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tcPr>
          <w:p>
            <w:pPr>
              <w:widowControl w:val="0"/>
              <w:shd w:val="clear" w:color="auto" w:fill="auto"/>
              <w:tabs>
                <w:tab w:val="clear" w:pos="426"/>
              </w:tabs>
              <w:adjustRightInd/>
              <w:snapToGrid/>
              <w:spacing w:line="240" w:lineRule="auto"/>
              <w:ind w:right="-69" w:rightChars="-33"/>
              <w:jc w:val="center"/>
              <w:rPr>
                <w:rFonts w:ascii="Calibri" w:hAnsi="Calibri" w:cs="Times New Roman"/>
                <w:kern w:val="2"/>
                <w:szCs w:val="21"/>
                <w:highlight w:val="none"/>
              </w:rPr>
            </w:pPr>
            <w:r>
              <w:rPr>
                <w:rFonts w:hint="eastAsia" w:ascii="Calibri" w:hAnsi="Calibri" w:cs="Times New Roman"/>
                <w:kern w:val="2"/>
                <w:szCs w:val="21"/>
                <w:highlight w:val="none"/>
              </w:rPr>
              <w:t>2</w:t>
            </w:r>
          </w:p>
        </w:tc>
        <w:tc>
          <w:tcPr>
            <w:tcW w:w="1574" w:type="dxa"/>
          </w:tcPr>
          <w:p>
            <w:pPr>
              <w:widowControl w:val="0"/>
              <w:shd w:val="clear" w:color="auto" w:fill="auto"/>
              <w:tabs>
                <w:tab w:val="clear" w:pos="426"/>
              </w:tabs>
              <w:adjustRightInd/>
              <w:snapToGrid/>
              <w:spacing w:line="240" w:lineRule="auto"/>
              <w:rPr>
                <w:rFonts w:ascii="Calibri" w:hAnsi="Calibri" w:cs="Times New Roman"/>
                <w:kern w:val="2"/>
                <w:sz w:val="24"/>
                <w:szCs w:val="22"/>
                <w:highlight w:val="none"/>
              </w:rPr>
            </w:pPr>
          </w:p>
        </w:tc>
        <w:tc>
          <w:tcPr>
            <w:tcW w:w="2177" w:type="dxa"/>
          </w:tcPr>
          <w:p>
            <w:pPr>
              <w:widowControl w:val="0"/>
              <w:shd w:val="clear" w:color="auto" w:fill="auto"/>
              <w:tabs>
                <w:tab w:val="clear" w:pos="426"/>
              </w:tabs>
              <w:adjustRightInd/>
              <w:snapToGrid/>
              <w:spacing w:line="240" w:lineRule="auto"/>
              <w:rPr>
                <w:rFonts w:ascii="Calibri" w:hAnsi="Calibri" w:cs="Times New Roman"/>
                <w:kern w:val="2"/>
                <w:sz w:val="24"/>
                <w:szCs w:val="22"/>
                <w:highlight w:val="none"/>
              </w:rPr>
            </w:pPr>
          </w:p>
        </w:tc>
        <w:tc>
          <w:tcPr>
            <w:tcW w:w="952" w:type="dxa"/>
          </w:tcPr>
          <w:p>
            <w:pPr>
              <w:widowControl w:val="0"/>
              <w:shd w:val="clear" w:color="auto" w:fill="auto"/>
              <w:tabs>
                <w:tab w:val="clear" w:pos="426"/>
              </w:tabs>
              <w:adjustRightInd/>
              <w:snapToGrid/>
              <w:spacing w:line="240" w:lineRule="auto"/>
              <w:rPr>
                <w:rFonts w:ascii="Calibri" w:hAnsi="Calibri" w:cs="Times New Roman"/>
                <w:kern w:val="2"/>
                <w:sz w:val="24"/>
                <w:szCs w:val="22"/>
                <w:highlight w:val="none"/>
              </w:rPr>
            </w:pPr>
          </w:p>
        </w:tc>
        <w:tc>
          <w:tcPr>
            <w:tcW w:w="952" w:type="dxa"/>
          </w:tcPr>
          <w:p>
            <w:pPr>
              <w:widowControl w:val="0"/>
              <w:shd w:val="clear" w:color="auto" w:fill="auto"/>
              <w:tabs>
                <w:tab w:val="clear" w:pos="426"/>
              </w:tabs>
              <w:adjustRightInd/>
              <w:snapToGrid/>
              <w:spacing w:line="240" w:lineRule="auto"/>
              <w:rPr>
                <w:rFonts w:ascii="Calibri" w:hAnsi="Calibri" w:cs="Times New Roman"/>
                <w:kern w:val="2"/>
                <w:sz w:val="24"/>
                <w:szCs w:val="22"/>
                <w:highlight w:val="none"/>
              </w:rPr>
            </w:pPr>
          </w:p>
        </w:tc>
        <w:tc>
          <w:tcPr>
            <w:tcW w:w="951" w:type="dxa"/>
          </w:tcPr>
          <w:p>
            <w:pPr>
              <w:widowControl w:val="0"/>
              <w:shd w:val="clear" w:color="auto" w:fill="auto"/>
              <w:tabs>
                <w:tab w:val="clear" w:pos="426"/>
              </w:tabs>
              <w:adjustRightInd/>
              <w:snapToGrid/>
              <w:spacing w:line="240" w:lineRule="auto"/>
              <w:rPr>
                <w:rFonts w:ascii="Calibri" w:hAnsi="Calibri" w:cs="Times New Roman"/>
                <w:kern w:val="2"/>
                <w:sz w:val="24"/>
                <w:szCs w:val="22"/>
                <w:highlight w:val="none"/>
              </w:rPr>
            </w:pPr>
          </w:p>
        </w:tc>
        <w:tc>
          <w:tcPr>
            <w:tcW w:w="800" w:type="dxa"/>
          </w:tcPr>
          <w:p>
            <w:pPr>
              <w:widowControl w:val="0"/>
              <w:shd w:val="clear" w:color="auto" w:fill="auto"/>
              <w:tabs>
                <w:tab w:val="clear" w:pos="426"/>
              </w:tabs>
              <w:adjustRightInd/>
              <w:snapToGrid/>
              <w:spacing w:line="240" w:lineRule="auto"/>
              <w:rPr>
                <w:rFonts w:ascii="Calibri" w:hAnsi="Calibri" w:cs="Times New Roman"/>
                <w:kern w:val="2"/>
                <w:sz w:val="24"/>
                <w:szCs w:val="22"/>
                <w:highlight w:val="none"/>
              </w:rPr>
            </w:pPr>
          </w:p>
        </w:tc>
        <w:tc>
          <w:tcPr>
            <w:tcW w:w="1099" w:type="dxa"/>
          </w:tcPr>
          <w:p>
            <w:pPr>
              <w:widowControl w:val="0"/>
              <w:shd w:val="clear" w:color="auto" w:fill="auto"/>
              <w:tabs>
                <w:tab w:val="clear" w:pos="426"/>
              </w:tabs>
              <w:adjustRightInd/>
              <w:snapToGrid/>
              <w:spacing w:line="240" w:lineRule="auto"/>
              <w:rPr>
                <w:rFonts w:ascii="Calibri" w:hAnsi="Calibri" w:cs="Times New Roman"/>
                <w:kern w:val="2"/>
                <w:sz w:val="24"/>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tcPr>
          <w:p>
            <w:pPr>
              <w:widowControl w:val="0"/>
              <w:shd w:val="clear" w:color="auto" w:fill="auto"/>
              <w:tabs>
                <w:tab w:val="clear" w:pos="426"/>
              </w:tabs>
              <w:adjustRightInd/>
              <w:snapToGrid/>
              <w:spacing w:line="240" w:lineRule="auto"/>
              <w:ind w:right="-69" w:rightChars="-33"/>
              <w:jc w:val="center"/>
              <w:rPr>
                <w:rFonts w:ascii="Calibri" w:hAnsi="Calibri" w:cs="Times New Roman"/>
                <w:kern w:val="2"/>
                <w:szCs w:val="21"/>
                <w:highlight w:val="none"/>
              </w:rPr>
            </w:pPr>
          </w:p>
        </w:tc>
        <w:tc>
          <w:tcPr>
            <w:tcW w:w="1574" w:type="dxa"/>
          </w:tcPr>
          <w:p>
            <w:pPr>
              <w:widowControl w:val="0"/>
              <w:shd w:val="clear" w:color="auto" w:fill="auto"/>
              <w:tabs>
                <w:tab w:val="clear" w:pos="426"/>
              </w:tabs>
              <w:adjustRightInd/>
              <w:snapToGrid/>
              <w:spacing w:line="240" w:lineRule="auto"/>
              <w:rPr>
                <w:rFonts w:ascii="Calibri" w:hAnsi="Calibri" w:cs="Times New Roman"/>
                <w:kern w:val="2"/>
                <w:sz w:val="24"/>
                <w:szCs w:val="22"/>
                <w:highlight w:val="none"/>
              </w:rPr>
            </w:pPr>
          </w:p>
        </w:tc>
        <w:tc>
          <w:tcPr>
            <w:tcW w:w="2177" w:type="dxa"/>
          </w:tcPr>
          <w:p>
            <w:pPr>
              <w:widowControl w:val="0"/>
              <w:shd w:val="clear" w:color="auto" w:fill="auto"/>
              <w:tabs>
                <w:tab w:val="clear" w:pos="426"/>
              </w:tabs>
              <w:adjustRightInd/>
              <w:snapToGrid/>
              <w:spacing w:line="240" w:lineRule="auto"/>
              <w:rPr>
                <w:rFonts w:ascii="Calibri" w:hAnsi="Calibri" w:cs="Times New Roman"/>
                <w:kern w:val="2"/>
                <w:sz w:val="24"/>
                <w:szCs w:val="22"/>
                <w:highlight w:val="none"/>
              </w:rPr>
            </w:pPr>
          </w:p>
        </w:tc>
        <w:tc>
          <w:tcPr>
            <w:tcW w:w="952" w:type="dxa"/>
          </w:tcPr>
          <w:p>
            <w:pPr>
              <w:widowControl w:val="0"/>
              <w:shd w:val="clear" w:color="auto" w:fill="auto"/>
              <w:tabs>
                <w:tab w:val="clear" w:pos="426"/>
              </w:tabs>
              <w:adjustRightInd/>
              <w:snapToGrid/>
              <w:spacing w:line="240" w:lineRule="auto"/>
              <w:rPr>
                <w:rFonts w:ascii="Calibri" w:hAnsi="Calibri" w:cs="Times New Roman"/>
                <w:kern w:val="2"/>
                <w:sz w:val="24"/>
                <w:szCs w:val="22"/>
                <w:highlight w:val="none"/>
              </w:rPr>
            </w:pPr>
          </w:p>
        </w:tc>
        <w:tc>
          <w:tcPr>
            <w:tcW w:w="952" w:type="dxa"/>
          </w:tcPr>
          <w:p>
            <w:pPr>
              <w:widowControl w:val="0"/>
              <w:shd w:val="clear" w:color="auto" w:fill="auto"/>
              <w:tabs>
                <w:tab w:val="clear" w:pos="426"/>
              </w:tabs>
              <w:adjustRightInd/>
              <w:snapToGrid/>
              <w:spacing w:line="240" w:lineRule="auto"/>
              <w:rPr>
                <w:rFonts w:ascii="Calibri" w:hAnsi="Calibri" w:cs="Times New Roman"/>
                <w:kern w:val="2"/>
                <w:sz w:val="24"/>
                <w:szCs w:val="22"/>
                <w:highlight w:val="none"/>
              </w:rPr>
            </w:pPr>
          </w:p>
        </w:tc>
        <w:tc>
          <w:tcPr>
            <w:tcW w:w="951" w:type="dxa"/>
          </w:tcPr>
          <w:p>
            <w:pPr>
              <w:widowControl w:val="0"/>
              <w:shd w:val="clear" w:color="auto" w:fill="auto"/>
              <w:tabs>
                <w:tab w:val="clear" w:pos="426"/>
              </w:tabs>
              <w:adjustRightInd/>
              <w:snapToGrid/>
              <w:spacing w:line="240" w:lineRule="auto"/>
              <w:rPr>
                <w:rFonts w:ascii="Calibri" w:hAnsi="Calibri" w:cs="Times New Roman"/>
                <w:kern w:val="2"/>
                <w:sz w:val="24"/>
                <w:szCs w:val="22"/>
                <w:highlight w:val="none"/>
              </w:rPr>
            </w:pPr>
          </w:p>
        </w:tc>
        <w:tc>
          <w:tcPr>
            <w:tcW w:w="800" w:type="dxa"/>
          </w:tcPr>
          <w:p>
            <w:pPr>
              <w:widowControl w:val="0"/>
              <w:shd w:val="clear" w:color="auto" w:fill="auto"/>
              <w:tabs>
                <w:tab w:val="clear" w:pos="426"/>
              </w:tabs>
              <w:adjustRightInd/>
              <w:snapToGrid/>
              <w:spacing w:line="240" w:lineRule="auto"/>
              <w:rPr>
                <w:rFonts w:ascii="Calibri" w:hAnsi="Calibri" w:cs="Times New Roman"/>
                <w:kern w:val="2"/>
                <w:sz w:val="24"/>
                <w:szCs w:val="22"/>
                <w:highlight w:val="none"/>
              </w:rPr>
            </w:pPr>
          </w:p>
        </w:tc>
        <w:tc>
          <w:tcPr>
            <w:tcW w:w="1099" w:type="dxa"/>
          </w:tcPr>
          <w:p>
            <w:pPr>
              <w:widowControl w:val="0"/>
              <w:shd w:val="clear" w:color="auto" w:fill="auto"/>
              <w:tabs>
                <w:tab w:val="clear" w:pos="426"/>
              </w:tabs>
              <w:adjustRightInd/>
              <w:snapToGrid/>
              <w:spacing w:line="240" w:lineRule="auto"/>
              <w:rPr>
                <w:rFonts w:ascii="Calibri" w:hAnsi="Calibri" w:cs="Times New Roman"/>
                <w:kern w:val="2"/>
                <w:sz w:val="24"/>
                <w:szCs w:val="22"/>
                <w:highlight w:val="none"/>
              </w:rPr>
            </w:pPr>
          </w:p>
        </w:tc>
      </w:tr>
    </w:tbl>
    <w:p>
      <w:pPr>
        <w:widowControl w:val="0"/>
        <w:shd w:val="clear" w:color="auto" w:fill="auto"/>
        <w:tabs>
          <w:tab w:val="clear" w:pos="426"/>
        </w:tabs>
        <w:adjustRightInd/>
        <w:snapToGrid/>
        <w:spacing w:line="300" w:lineRule="auto"/>
        <w:jc w:val="center"/>
        <w:rPr>
          <w:rFonts w:cs="Times New Roman"/>
          <w:b/>
          <w:bCs/>
          <w:kern w:val="2"/>
          <w:sz w:val="32"/>
          <w:szCs w:val="32"/>
          <w:highlight w:val="none"/>
        </w:rPr>
      </w:pPr>
    </w:p>
    <w:tbl>
      <w:tblPr>
        <w:tblStyle w:val="44"/>
        <w:tblW w:w="95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9"/>
        <w:gridCol w:w="2917"/>
        <w:gridCol w:w="3357"/>
        <w:gridCol w:w="21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9" w:type="dxa"/>
            <w:vAlign w:val="center"/>
          </w:tcPr>
          <w:p>
            <w:pPr>
              <w:widowControl w:val="0"/>
              <w:shd w:val="clear" w:color="auto" w:fill="auto"/>
              <w:tabs>
                <w:tab w:val="clear" w:pos="426"/>
              </w:tabs>
              <w:adjustRightInd/>
              <w:snapToGrid/>
              <w:spacing w:line="240" w:lineRule="auto"/>
              <w:jc w:val="center"/>
              <w:rPr>
                <w:rFonts w:ascii="Times New Roman" w:hAnsi="Calibri" w:cs="Times New Roman"/>
                <w:kern w:val="2"/>
                <w:szCs w:val="21"/>
                <w:highlight w:val="none"/>
              </w:rPr>
            </w:pPr>
            <w:r>
              <w:rPr>
                <w:rFonts w:hint="eastAsia" w:ascii="Times New Roman" w:hAnsi="Calibri" w:cs="Times New Roman"/>
                <w:kern w:val="2"/>
                <w:szCs w:val="21"/>
                <w:highlight w:val="none"/>
              </w:rPr>
              <w:t>序号</w:t>
            </w:r>
          </w:p>
        </w:tc>
        <w:tc>
          <w:tcPr>
            <w:tcW w:w="2917" w:type="dxa"/>
            <w:vAlign w:val="center"/>
          </w:tcPr>
          <w:p>
            <w:pPr>
              <w:widowControl w:val="0"/>
              <w:shd w:val="clear" w:color="auto" w:fill="auto"/>
              <w:tabs>
                <w:tab w:val="clear" w:pos="426"/>
              </w:tabs>
              <w:adjustRightInd/>
              <w:snapToGrid/>
              <w:spacing w:line="240" w:lineRule="auto"/>
              <w:jc w:val="center"/>
              <w:rPr>
                <w:rFonts w:ascii="Times New Roman" w:hAnsi="Calibri" w:cs="Times New Roman"/>
                <w:kern w:val="2"/>
                <w:szCs w:val="21"/>
                <w:highlight w:val="none"/>
              </w:rPr>
            </w:pPr>
            <w:r>
              <w:rPr>
                <w:rFonts w:hint="eastAsia" w:ascii="Times New Roman" w:hAnsi="Calibri" w:cs="Times New Roman"/>
                <w:kern w:val="2"/>
                <w:szCs w:val="21"/>
                <w:highlight w:val="none"/>
              </w:rPr>
              <w:t>服务名称</w:t>
            </w:r>
          </w:p>
        </w:tc>
        <w:tc>
          <w:tcPr>
            <w:tcW w:w="3357" w:type="dxa"/>
            <w:vAlign w:val="center"/>
          </w:tcPr>
          <w:p>
            <w:pPr>
              <w:widowControl w:val="0"/>
              <w:shd w:val="clear" w:color="auto" w:fill="auto"/>
              <w:tabs>
                <w:tab w:val="clear" w:pos="426"/>
              </w:tabs>
              <w:adjustRightInd/>
              <w:snapToGrid/>
              <w:spacing w:line="240" w:lineRule="auto"/>
              <w:jc w:val="center"/>
              <w:rPr>
                <w:rFonts w:ascii="Times New Roman" w:hAnsi="Calibri" w:cs="Times New Roman"/>
                <w:kern w:val="2"/>
                <w:szCs w:val="21"/>
                <w:highlight w:val="none"/>
              </w:rPr>
            </w:pPr>
            <w:r>
              <w:rPr>
                <w:rFonts w:hint="eastAsia" w:ascii="Times New Roman" w:hAnsi="Calibri" w:cs="Times New Roman"/>
                <w:kern w:val="2"/>
                <w:szCs w:val="21"/>
                <w:highlight w:val="none"/>
              </w:rPr>
              <w:t>服务内容</w:t>
            </w:r>
          </w:p>
        </w:tc>
        <w:tc>
          <w:tcPr>
            <w:tcW w:w="2197" w:type="dxa"/>
            <w:vAlign w:val="center"/>
          </w:tcPr>
          <w:p>
            <w:pPr>
              <w:widowControl w:val="0"/>
              <w:shd w:val="clear" w:color="auto" w:fill="auto"/>
              <w:tabs>
                <w:tab w:val="clear" w:pos="426"/>
              </w:tabs>
              <w:adjustRightInd/>
              <w:snapToGrid/>
              <w:spacing w:line="240" w:lineRule="auto"/>
              <w:jc w:val="center"/>
              <w:rPr>
                <w:rFonts w:ascii="Times New Roman" w:hAnsi="Calibri" w:cs="Times New Roman"/>
                <w:kern w:val="2"/>
                <w:szCs w:val="21"/>
                <w:highlight w:val="none"/>
              </w:rPr>
            </w:pPr>
            <w:r>
              <w:rPr>
                <w:rFonts w:hint="eastAsia" w:ascii="Times New Roman" w:hAnsi="Calibri" w:cs="Times New Roman"/>
                <w:kern w:val="2"/>
                <w:szCs w:val="21"/>
                <w:highlight w:val="none"/>
              </w:rPr>
              <w:t>价格（元）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9" w:type="dxa"/>
          </w:tcPr>
          <w:p>
            <w:pPr>
              <w:widowControl w:val="0"/>
              <w:shd w:val="clear" w:color="auto" w:fill="auto"/>
              <w:tabs>
                <w:tab w:val="clear" w:pos="426"/>
              </w:tabs>
              <w:adjustRightInd/>
              <w:snapToGrid/>
              <w:spacing w:line="240" w:lineRule="auto"/>
              <w:ind w:right="-69" w:rightChars="-33"/>
              <w:jc w:val="center"/>
              <w:rPr>
                <w:rFonts w:ascii="Times New Roman" w:hAnsi="Calibri" w:cs="Times New Roman"/>
                <w:kern w:val="2"/>
                <w:szCs w:val="21"/>
                <w:highlight w:val="none"/>
              </w:rPr>
            </w:pPr>
            <w:r>
              <w:rPr>
                <w:rFonts w:hint="eastAsia" w:ascii="Times New Roman" w:hAnsi="Calibri" w:cs="Times New Roman"/>
                <w:kern w:val="2"/>
                <w:szCs w:val="21"/>
                <w:highlight w:val="none"/>
              </w:rPr>
              <w:t>1</w:t>
            </w:r>
          </w:p>
        </w:tc>
        <w:tc>
          <w:tcPr>
            <w:tcW w:w="2917" w:type="dxa"/>
          </w:tcPr>
          <w:p>
            <w:pPr>
              <w:widowControl w:val="0"/>
              <w:shd w:val="clear" w:color="auto" w:fill="auto"/>
              <w:tabs>
                <w:tab w:val="clear" w:pos="426"/>
              </w:tabs>
              <w:adjustRightInd/>
              <w:snapToGrid/>
              <w:spacing w:line="240" w:lineRule="auto"/>
              <w:jc w:val="center"/>
              <w:rPr>
                <w:rFonts w:ascii="Times New Roman" w:hAnsi="Calibri" w:cs="Times New Roman"/>
                <w:kern w:val="2"/>
                <w:szCs w:val="21"/>
                <w:highlight w:val="none"/>
              </w:rPr>
            </w:pPr>
            <w:r>
              <w:rPr>
                <w:rFonts w:hint="eastAsia" w:ascii="Times New Roman" w:hAnsi="Calibri" w:cs="Times New Roman"/>
                <w:kern w:val="2"/>
                <w:szCs w:val="21"/>
                <w:highlight w:val="none"/>
              </w:rPr>
              <w:t>延续保修合同</w:t>
            </w:r>
          </w:p>
        </w:tc>
        <w:tc>
          <w:tcPr>
            <w:tcW w:w="3357" w:type="dxa"/>
          </w:tcPr>
          <w:p>
            <w:pPr>
              <w:widowControl w:val="0"/>
              <w:shd w:val="clear" w:color="auto" w:fill="auto"/>
              <w:tabs>
                <w:tab w:val="clear" w:pos="426"/>
              </w:tabs>
              <w:adjustRightInd/>
              <w:snapToGrid/>
              <w:spacing w:line="240" w:lineRule="auto"/>
              <w:jc w:val="center"/>
              <w:rPr>
                <w:rFonts w:ascii="Times New Roman" w:cs="Times New Roman"/>
                <w:b/>
                <w:bCs/>
                <w:kern w:val="2"/>
                <w:sz w:val="24"/>
                <w:szCs w:val="22"/>
                <w:highlight w:val="none"/>
              </w:rPr>
            </w:pPr>
          </w:p>
        </w:tc>
        <w:tc>
          <w:tcPr>
            <w:tcW w:w="2197" w:type="dxa"/>
          </w:tcPr>
          <w:p>
            <w:pPr>
              <w:widowControl w:val="0"/>
              <w:shd w:val="clear" w:color="auto" w:fill="auto"/>
              <w:tabs>
                <w:tab w:val="clear" w:pos="426"/>
              </w:tabs>
              <w:adjustRightInd/>
              <w:snapToGrid/>
              <w:spacing w:line="240" w:lineRule="auto"/>
              <w:jc w:val="center"/>
              <w:rPr>
                <w:rFonts w:ascii="Times New Roman" w:cs="Times New Roman"/>
                <w:b/>
                <w:bCs/>
                <w:kern w:val="2"/>
                <w:sz w:val="24"/>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9" w:type="dxa"/>
          </w:tcPr>
          <w:p>
            <w:pPr>
              <w:widowControl w:val="0"/>
              <w:shd w:val="clear" w:color="auto" w:fill="auto"/>
              <w:tabs>
                <w:tab w:val="clear" w:pos="426"/>
              </w:tabs>
              <w:adjustRightInd/>
              <w:snapToGrid/>
              <w:spacing w:line="240" w:lineRule="auto"/>
              <w:ind w:right="-69" w:rightChars="-33"/>
              <w:jc w:val="center"/>
              <w:rPr>
                <w:rFonts w:ascii="Times New Roman" w:hAnsi="Times New Roman" w:cs="Times New Roman"/>
                <w:kern w:val="2"/>
                <w:szCs w:val="21"/>
                <w:highlight w:val="none"/>
              </w:rPr>
            </w:pPr>
          </w:p>
        </w:tc>
        <w:tc>
          <w:tcPr>
            <w:tcW w:w="2917" w:type="dxa"/>
          </w:tcPr>
          <w:p>
            <w:pPr>
              <w:widowControl w:val="0"/>
              <w:shd w:val="clear" w:color="auto" w:fill="auto"/>
              <w:tabs>
                <w:tab w:val="clear" w:pos="426"/>
              </w:tabs>
              <w:adjustRightInd/>
              <w:snapToGrid/>
              <w:spacing w:line="240" w:lineRule="auto"/>
              <w:jc w:val="center"/>
              <w:rPr>
                <w:rFonts w:ascii="Times New Roman" w:hAnsi="Times New Roman" w:cs="Times New Roman"/>
                <w:kern w:val="2"/>
                <w:szCs w:val="21"/>
                <w:highlight w:val="none"/>
              </w:rPr>
            </w:pPr>
          </w:p>
        </w:tc>
        <w:tc>
          <w:tcPr>
            <w:tcW w:w="3357" w:type="dxa"/>
          </w:tcPr>
          <w:p>
            <w:pPr>
              <w:widowControl w:val="0"/>
              <w:shd w:val="clear" w:color="auto" w:fill="auto"/>
              <w:tabs>
                <w:tab w:val="clear" w:pos="426"/>
              </w:tabs>
              <w:adjustRightInd/>
              <w:snapToGrid/>
              <w:spacing w:line="240" w:lineRule="auto"/>
              <w:jc w:val="center"/>
              <w:rPr>
                <w:rFonts w:ascii="Times New Roman" w:cs="Times New Roman"/>
                <w:b/>
                <w:bCs/>
                <w:kern w:val="2"/>
                <w:sz w:val="24"/>
                <w:szCs w:val="22"/>
                <w:highlight w:val="none"/>
              </w:rPr>
            </w:pPr>
          </w:p>
        </w:tc>
        <w:tc>
          <w:tcPr>
            <w:tcW w:w="2197" w:type="dxa"/>
          </w:tcPr>
          <w:p>
            <w:pPr>
              <w:widowControl w:val="0"/>
              <w:shd w:val="clear" w:color="auto" w:fill="auto"/>
              <w:tabs>
                <w:tab w:val="clear" w:pos="426"/>
              </w:tabs>
              <w:adjustRightInd/>
              <w:snapToGrid/>
              <w:spacing w:line="240" w:lineRule="auto"/>
              <w:jc w:val="center"/>
              <w:rPr>
                <w:rFonts w:ascii="Times New Roman" w:cs="Times New Roman"/>
                <w:b/>
                <w:bCs/>
                <w:kern w:val="2"/>
                <w:sz w:val="24"/>
                <w:szCs w:val="22"/>
                <w:highlight w:val="none"/>
              </w:rPr>
            </w:pPr>
          </w:p>
        </w:tc>
      </w:tr>
    </w:tbl>
    <w:p>
      <w:pPr>
        <w:widowControl w:val="0"/>
        <w:shd w:val="clear" w:color="auto" w:fill="auto"/>
        <w:tabs>
          <w:tab w:val="clear" w:pos="426"/>
        </w:tabs>
        <w:adjustRightInd/>
        <w:snapToGrid/>
        <w:spacing w:line="300" w:lineRule="auto"/>
        <w:jc w:val="center"/>
        <w:rPr>
          <w:rFonts w:cs="Times New Roman"/>
          <w:b/>
          <w:bCs/>
          <w:kern w:val="2"/>
          <w:sz w:val="28"/>
          <w:szCs w:val="28"/>
          <w:highlight w:val="none"/>
        </w:rPr>
      </w:pPr>
    </w:p>
    <w:p>
      <w:pPr>
        <w:widowControl w:val="0"/>
        <w:shd w:val="clear" w:color="auto" w:fill="auto"/>
        <w:tabs>
          <w:tab w:val="clear" w:pos="426"/>
        </w:tabs>
        <w:adjustRightInd/>
        <w:snapToGrid/>
        <w:spacing w:line="300" w:lineRule="auto"/>
        <w:jc w:val="center"/>
        <w:rPr>
          <w:rFonts w:cs="Times New Roman"/>
          <w:b/>
          <w:bCs/>
          <w:kern w:val="2"/>
          <w:sz w:val="28"/>
          <w:szCs w:val="28"/>
          <w:highlight w:val="none"/>
        </w:rPr>
      </w:pPr>
      <w:r>
        <w:rPr>
          <w:rFonts w:hint="eastAsia" w:cs="Times New Roman"/>
          <w:b/>
          <w:bCs/>
          <w:kern w:val="2"/>
          <w:sz w:val="28"/>
          <w:szCs w:val="28"/>
          <w:highlight w:val="none"/>
        </w:rPr>
        <w:t>（</w:t>
      </w:r>
      <w:r>
        <w:rPr>
          <w:rFonts w:hint="eastAsia" w:cs="Times New Roman"/>
          <w:b/>
          <w:bCs/>
          <w:kern w:val="2"/>
          <w:sz w:val="28"/>
          <w:szCs w:val="28"/>
          <w:highlight w:val="none"/>
          <w:lang w:eastAsia="zh-CN"/>
        </w:rPr>
        <w:t>三</w:t>
      </w:r>
      <w:r>
        <w:rPr>
          <w:rFonts w:hint="eastAsia" w:cs="Times New Roman"/>
          <w:b/>
          <w:bCs/>
          <w:kern w:val="2"/>
          <w:sz w:val="28"/>
          <w:szCs w:val="28"/>
          <w:highlight w:val="none"/>
        </w:rPr>
        <w:t>）供应商认为需要涉及的其他内容报价清单</w:t>
      </w:r>
    </w:p>
    <w:p>
      <w:pPr>
        <w:widowControl w:val="0"/>
        <w:shd w:val="clear" w:color="auto" w:fill="auto"/>
        <w:tabs>
          <w:tab w:val="clear" w:pos="426"/>
        </w:tabs>
        <w:adjustRightInd/>
        <w:snapToGrid/>
        <w:spacing w:line="300" w:lineRule="auto"/>
        <w:jc w:val="center"/>
        <w:rPr>
          <w:rFonts w:cs="Times New Roman"/>
          <w:b/>
          <w:bCs/>
          <w:kern w:val="2"/>
          <w:sz w:val="28"/>
          <w:szCs w:val="28"/>
          <w:highlight w:val="none"/>
        </w:rPr>
      </w:pPr>
    </w:p>
    <w:p>
      <w:pPr>
        <w:tabs>
          <w:tab w:val="clear" w:pos="426"/>
        </w:tabs>
        <w:spacing w:line="500" w:lineRule="exact"/>
        <w:rPr>
          <w:spacing w:val="4"/>
          <w:highlight w:val="none"/>
        </w:rPr>
      </w:pPr>
    </w:p>
    <w:p>
      <w:pPr>
        <w:tabs>
          <w:tab w:val="clear" w:pos="426"/>
        </w:tabs>
        <w:spacing w:line="500" w:lineRule="exact"/>
        <w:rPr>
          <w:highlight w:val="none"/>
          <w:u w:val="single"/>
        </w:rPr>
      </w:pPr>
      <w:r>
        <w:rPr>
          <w:rFonts w:hint="eastAsia"/>
          <w:spacing w:val="4"/>
          <w:highlight w:val="none"/>
        </w:rPr>
        <w:t>投标人名称（</w:t>
      </w:r>
      <w:r>
        <w:rPr>
          <w:rFonts w:hint="eastAsia"/>
          <w:highlight w:val="none"/>
        </w:rPr>
        <w:t>单位盖</w:t>
      </w:r>
      <w:r>
        <w:rPr>
          <w:rFonts w:hint="eastAsia"/>
          <w:spacing w:val="4"/>
          <w:highlight w:val="none"/>
        </w:rPr>
        <w:t>公章）：</w:t>
      </w:r>
    </w:p>
    <w:p>
      <w:pPr>
        <w:tabs>
          <w:tab w:val="clear" w:pos="426"/>
        </w:tabs>
        <w:spacing w:line="520" w:lineRule="exact"/>
        <w:rPr>
          <w:spacing w:val="4"/>
          <w:highlight w:val="none"/>
          <w:u w:val="single"/>
        </w:rPr>
      </w:pPr>
      <w:r>
        <w:rPr>
          <w:rFonts w:hint="eastAsia"/>
          <w:highlight w:val="none"/>
        </w:rPr>
        <w:t>法定代表人或投标人授权代表（签名或盖章）：</w:t>
      </w:r>
      <w:r>
        <w:rPr>
          <w:rFonts w:hint="eastAsia"/>
          <w:spacing w:val="4"/>
          <w:highlight w:val="none"/>
        </w:rPr>
        <w:t>职务：日期</w:t>
      </w:r>
    </w:p>
    <w:p>
      <w:pPr>
        <w:tabs>
          <w:tab w:val="clear" w:pos="426"/>
        </w:tabs>
        <w:spacing w:line="520" w:lineRule="exact"/>
        <w:rPr>
          <w:spacing w:val="4"/>
          <w:highlight w:val="none"/>
        </w:rPr>
      </w:pPr>
    </w:p>
    <w:p>
      <w:pPr>
        <w:tabs>
          <w:tab w:val="clear" w:pos="426"/>
        </w:tabs>
        <w:spacing w:line="520" w:lineRule="exact"/>
        <w:rPr>
          <w:spacing w:val="4"/>
          <w:highlight w:val="none"/>
        </w:rPr>
      </w:pPr>
    </w:p>
    <w:p>
      <w:pPr>
        <w:tabs>
          <w:tab w:val="clear" w:pos="426"/>
        </w:tabs>
        <w:spacing w:line="520" w:lineRule="exact"/>
        <w:rPr>
          <w:spacing w:val="4"/>
          <w:highlight w:val="none"/>
        </w:rPr>
      </w:pPr>
    </w:p>
    <w:p>
      <w:pPr>
        <w:tabs>
          <w:tab w:val="clear" w:pos="426"/>
        </w:tabs>
        <w:spacing w:line="520" w:lineRule="exact"/>
        <w:rPr>
          <w:spacing w:val="4"/>
          <w:highlight w:val="none"/>
          <w:u w:val="single"/>
        </w:rPr>
      </w:pPr>
      <w:r>
        <w:rPr>
          <w:b/>
          <w:bCs/>
          <w:highlight w:val="none"/>
        </w:rPr>
        <w:br w:type="page"/>
      </w:r>
      <w:bookmarkStart w:id="78" w:name="_Toc50691037"/>
      <w:bookmarkStart w:id="79" w:name="_Toc43264518"/>
      <w:bookmarkStart w:id="80" w:name="_Toc50703730"/>
    </w:p>
    <w:p>
      <w:pPr>
        <w:numPr>
          <w:ilvl w:val="0"/>
          <w:numId w:val="25"/>
        </w:numPr>
        <w:adjustRightInd/>
        <w:snapToGrid/>
        <w:spacing w:before="280" w:after="290" w:line="377" w:lineRule="auto"/>
        <w:outlineLvl w:val="2"/>
        <w:rPr>
          <w:b/>
          <w:sz w:val="24"/>
          <w:highlight w:val="none"/>
        </w:rPr>
      </w:pPr>
      <w:bookmarkStart w:id="81" w:name="_Toc43264525"/>
      <w:r>
        <w:rPr>
          <w:rFonts w:hint="eastAsia"/>
          <w:b/>
          <w:sz w:val="24"/>
          <w:highlight w:val="none"/>
        </w:rPr>
        <w:t>货物说明一览表</w:t>
      </w:r>
    </w:p>
    <w:p>
      <w:pPr>
        <w:widowControl w:val="0"/>
        <w:shd w:val="clear" w:color="auto" w:fill="auto"/>
        <w:tabs>
          <w:tab w:val="clear" w:pos="426"/>
        </w:tabs>
        <w:adjustRightInd/>
        <w:snapToGrid/>
        <w:spacing w:line="300" w:lineRule="auto"/>
        <w:jc w:val="center"/>
        <w:rPr>
          <w:rFonts w:cs="Times New Roman"/>
          <w:bCs/>
          <w:kern w:val="2"/>
          <w:sz w:val="32"/>
          <w:szCs w:val="32"/>
          <w:highlight w:val="none"/>
        </w:rPr>
      </w:pPr>
      <w:bookmarkStart w:id="82" w:name="_Toc480754212"/>
      <w:bookmarkStart w:id="83" w:name="_Toc480755933"/>
      <w:bookmarkStart w:id="84" w:name="_Toc480756079"/>
      <w:bookmarkStart w:id="85" w:name="_Toc480789483"/>
      <w:r>
        <w:rPr>
          <w:rFonts w:hint="eastAsia" w:cs="Times New Roman"/>
          <w:bCs/>
          <w:kern w:val="2"/>
          <w:sz w:val="32"/>
          <w:szCs w:val="32"/>
          <w:highlight w:val="none"/>
        </w:rPr>
        <w:t>货物说明一览表</w:t>
      </w:r>
      <w:bookmarkEnd w:id="82"/>
      <w:bookmarkEnd w:id="83"/>
      <w:bookmarkEnd w:id="84"/>
      <w:bookmarkEnd w:id="85"/>
    </w:p>
    <w:p>
      <w:pPr>
        <w:tabs>
          <w:tab w:val="clear" w:pos="426"/>
        </w:tabs>
        <w:rPr>
          <w:rFonts w:cs="Arial"/>
          <w:bCs/>
          <w:szCs w:val="21"/>
          <w:highlight w:val="none"/>
        </w:rPr>
      </w:pPr>
    </w:p>
    <w:p>
      <w:pPr>
        <w:tabs>
          <w:tab w:val="clear" w:pos="426"/>
        </w:tabs>
        <w:rPr>
          <w:rFonts w:cs="Arial"/>
          <w:bCs/>
          <w:szCs w:val="21"/>
          <w:highlight w:val="none"/>
        </w:rPr>
      </w:pPr>
      <w:r>
        <w:rPr>
          <w:rFonts w:hint="eastAsia" w:cs="Arial"/>
          <w:bCs/>
          <w:szCs w:val="21"/>
          <w:highlight w:val="none"/>
        </w:rPr>
        <w:t>项目名称：项目编号：包号：</w:t>
      </w:r>
    </w:p>
    <w:tbl>
      <w:tblPr>
        <w:tblStyle w:val="44"/>
        <w:tblW w:w="95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1993"/>
        <w:gridCol w:w="1647"/>
        <w:gridCol w:w="824"/>
        <w:gridCol w:w="824"/>
        <w:gridCol w:w="824"/>
        <w:gridCol w:w="825"/>
        <w:gridCol w:w="984"/>
        <w:gridCol w:w="9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6" w:type="dxa"/>
            <w:vAlign w:val="center"/>
          </w:tcPr>
          <w:p>
            <w:pPr>
              <w:spacing w:line="240" w:lineRule="auto"/>
              <w:jc w:val="center"/>
              <w:rPr>
                <w:szCs w:val="21"/>
                <w:highlight w:val="none"/>
              </w:rPr>
            </w:pPr>
            <w:r>
              <w:rPr>
                <w:rFonts w:hint="eastAsia"/>
                <w:szCs w:val="21"/>
                <w:highlight w:val="none"/>
              </w:rPr>
              <w:t>序号</w:t>
            </w:r>
          </w:p>
        </w:tc>
        <w:tc>
          <w:tcPr>
            <w:tcW w:w="1993" w:type="dxa"/>
            <w:vAlign w:val="center"/>
          </w:tcPr>
          <w:p>
            <w:pPr>
              <w:spacing w:line="240" w:lineRule="auto"/>
              <w:jc w:val="center"/>
              <w:rPr>
                <w:szCs w:val="21"/>
                <w:highlight w:val="none"/>
              </w:rPr>
            </w:pPr>
            <w:r>
              <w:rPr>
                <w:rFonts w:hint="eastAsia"/>
                <w:szCs w:val="21"/>
                <w:highlight w:val="none"/>
              </w:rPr>
              <w:t>货物名称</w:t>
            </w:r>
          </w:p>
        </w:tc>
        <w:tc>
          <w:tcPr>
            <w:tcW w:w="1647" w:type="dxa"/>
            <w:vAlign w:val="center"/>
          </w:tcPr>
          <w:p>
            <w:pPr>
              <w:spacing w:line="240" w:lineRule="auto"/>
              <w:jc w:val="center"/>
              <w:rPr>
                <w:szCs w:val="21"/>
                <w:highlight w:val="none"/>
              </w:rPr>
            </w:pPr>
            <w:r>
              <w:rPr>
                <w:rFonts w:hint="eastAsia"/>
                <w:szCs w:val="21"/>
                <w:highlight w:val="none"/>
              </w:rPr>
              <w:t>规格及型号</w:t>
            </w:r>
          </w:p>
        </w:tc>
        <w:tc>
          <w:tcPr>
            <w:tcW w:w="824" w:type="dxa"/>
            <w:vAlign w:val="center"/>
          </w:tcPr>
          <w:p>
            <w:pPr>
              <w:spacing w:line="240" w:lineRule="auto"/>
              <w:jc w:val="center"/>
              <w:rPr>
                <w:b/>
                <w:szCs w:val="21"/>
                <w:highlight w:val="none"/>
              </w:rPr>
            </w:pPr>
            <w:r>
              <w:rPr>
                <w:rFonts w:hint="eastAsia"/>
                <w:b/>
                <w:szCs w:val="21"/>
                <w:highlight w:val="none"/>
              </w:rPr>
              <w:t>产地</w:t>
            </w:r>
          </w:p>
        </w:tc>
        <w:tc>
          <w:tcPr>
            <w:tcW w:w="824" w:type="dxa"/>
            <w:vAlign w:val="center"/>
          </w:tcPr>
          <w:p>
            <w:pPr>
              <w:spacing w:line="240" w:lineRule="auto"/>
              <w:jc w:val="center"/>
              <w:rPr>
                <w:szCs w:val="21"/>
                <w:highlight w:val="none"/>
              </w:rPr>
            </w:pPr>
            <w:r>
              <w:rPr>
                <w:rFonts w:hint="eastAsia"/>
                <w:szCs w:val="21"/>
                <w:highlight w:val="none"/>
              </w:rPr>
              <w:t>品牌</w:t>
            </w:r>
          </w:p>
        </w:tc>
        <w:tc>
          <w:tcPr>
            <w:tcW w:w="824" w:type="dxa"/>
            <w:vAlign w:val="center"/>
          </w:tcPr>
          <w:p>
            <w:pPr>
              <w:spacing w:line="240" w:lineRule="auto"/>
              <w:jc w:val="center"/>
              <w:rPr>
                <w:szCs w:val="21"/>
                <w:highlight w:val="none"/>
              </w:rPr>
            </w:pPr>
            <w:r>
              <w:rPr>
                <w:rFonts w:hint="eastAsia"/>
                <w:szCs w:val="21"/>
                <w:highlight w:val="none"/>
              </w:rPr>
              <w:t>数量</w:t>
            </w:r>
          </w:p>
        </w:tc>
        <w:tc>
          <w:tcPr>
            <w:tcW w:w="825" w:type="dxa"/>
            <w:vAlign w:val="center"/>
          </w:tcPr>
          <w:p>
            <w:pPr>
              <w:spacing w:line="240" w:lineRule="auto"/>
              <w:jc w:val="center"/>
              <w:rPr>
                <w:szCs w:val="21"/>
                <w:highlight w:val="none"/>
              </w:rPr>
            </w:pPr>
            <w:r>
              <w:rPr>
                <w:rFonts w:hint="eastAsia"/>
                <w:szCs w:val="21"/>
                <w:highlight w:val="none"/>
              </w:rPr>
              <w:t>单位</w:t>
            </w:r>
          </w:p>
        </w:tc>
        <w:tc>
          <w:tcPr>
            <w:tcW w:w="984" w:type="dxa"/>
            <w:vAlign w:val="center"/>
          </w:tcPr>
          <w:p>
            <w:pPr>
              <w:tabs>
                <w:tab w:val="clear" w:pos="426"/>
              </w:tabs>
              <w:spacing w:line="240" w:lineRule="auto"/>
              <w:jc w:val="center"/>
              <w:rPr>
                <w:rFonts w:cs="Arial"/>
                <w:bCs/>
                <w:szCs w:val="21"/>
                <w:highlight w:val="none"/>
              </w:rPr>
            </w:pPr>
            <w:r>
              <w:rPr>
                <w:rFonts w:hint="eastAsia" w:cs="Arial"/>
                <w:bCs/>
                <w:szCs w:val="21"/>
                <w:highlight w:val="none"/>
              </w:rPr>
              <w:t>交货期</w:t>
            </w:r>
          </w:p>
        </w:tc>
        <w:tc>
          <w:tcPr>
            <w:tcW w:w="953" w:type="dxa"/>
            <w:vAlign w:val="center"/>
          </w:tcPr>
          <w:p>
            <w:pPr>
              <w:tabs>
                <w:tab w:val="clear" w:pos="426"/>
              </w:tabs>
              <w:spacing w:line="240" w:lineRule="auto"/>
              <w:jc w:val="center"/>
              <w:rPr>
                <w:rFonts w:cs="Arial"/>
                <w:bCs/>
                <w:szCs w:val="21"/>
                <w:highlight w:val="none"/>
              </w:rPr>
            </w:pPr>
            <w:r>
              <w:rPr>
                <w:rFonts w:hint="eastAsia" w:cs="Arial"/>
                <w:bCs/>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6" w:type="dxa"/>
            <w:vAlign w:val="center"/>
          </w:tcPr>
          <w:p>
            <w:pPr>
              <w:spacing w:line="240" w:lineRule="auto"/>
              <w:jc w:val="center"/>
              <w:rPr>
                <w:sz w:val="24"/>
                <w:highlight w:val="none"/>
              </w:rPr>
            </w:pPr>
            <w:r>
              <w:rPr>
                <w:rFonts w:hint="eastAsia"/>
                <w:sz w:val="24"/>
                <w:highlight w:val="none"/>
              </w:rPr>
              <w:t>1</w:t>
            </w:r>
          </w:p>
        </w:tc>
        <w:tc>
          <w:tcPr>
            <w:tcW w:w="1993" w:type="dxa"/>
            <w:vAlign w:val="center"/>
          </w:tcPr>
          <w:p>
            <w:pPr>
              <w:spacing w:line="240" w:lineRule="auto"/>
              <w:jc w:val="center"/>
              <w:rPr>
                <w:sz w:val="24"/>
                <w:highlight w:val="none"/>
              </w:rPr>
            </w:pPr>
          </w:p>
        </w:tc>
        <w:tc>
          <w:tcPr>
            <w:tcW w:w="1647" w:type="dxa"/>
            <w:vAlign w:val="center"/>
          </w:tcPr>
          <w:p>
            <w:pPr>
              <w:spacing w:line="240" w:lineRule="auto"/>
              <w:jc w:val="center"/>
              <w:rPr>
                <w:sz w:val="24"/>
                <w:highlight w:val="none"/>
              </w:rPr>
            </w:pPr>
          </w:p>
        </w:tc>
        <w:tc>
          <w:tcPr>
            <w:tcW w:w="824" w:type="dxa"/>
            <w:vAlign w:val="center"/>
          </w:tcPr>
          <w:p>
            <w:pPr>
              <w:spacing w:line="240" w:lineRule="auto"/>
              <w:jc w:val="center"/>
              <w:rPr>
                <w:sz w:val="24"/>
                <w:highlight w:val="none"/>
              </w:rPr>
            </w:pPr>
          </w:p>
        </w:tc>
        <w:tc>
          <w:tcPr>
            <w:tcW w:w="824" w:type="dxa"/>
            <w:vAlign w:val="center"/>
          </w:tcPr>
          <w:p>
            <w:pPr>
              <w:spacing w:line="240" w:lineRule="auto"/>
              <w:jc w:val="center"/>
              <w:rPr>
                <w:sz w:val="24"/>
                <w:highlight w:val="none"/>
              </w:rPr>
            </w:pPr>
          </w:p>
        </w:tc>
        <w:tc>
          <w:tcPr>
            <w:tcW w:w="824" w:type="dxa"/>
            <w:vAlign w:val="center"/>
          </w:tcPr>
          <w:p>
            <w:pPr>
              <w:spacing w:line="240" w:lineRule="auto"/>
              <w:jc w:val="center"/>
              <w:rPr>
                <w:sz w:val="24"/>
                <w:highlight w:val="none"/>
              </w:rPr>
            </w:pPr>
          </w:p>
        </w:tc>
        <w:tc>
          <w:tcPr>
            <w:tcW w:w="825" w:type="dxa"/>
            <w:vAlign w:val="center"/>
          </w:tcPr>
          <w:p>
            <w:pPr>
              <w:spacing w:line="240" w:lineRule="auto"/>
              <w:jc w:val="center"/>
              <w:rPr>
                <w:sz w:val="24"/>
                <w:highlight w:val="none"/>
              </w:rPr>
            </w:pPr>
          </w:p>
        </w:tc>
        <w:tc>
          <w:tcPr>
            <w:tcW w:w="984" w:type="dxa"/>
            <w:vAlign w:val="center"/>
          </w:tcPr>
          <w:p>
            <w:pPr>
              <w:spacing w:line="240" w:lineRule="auto"/>
              <w:jc w:val="center"/>
              <w:rPr>
                <w:sz w:val="24"/>
                <w:highlight w:val="none"/>
              </w:rPr>
            </w:pPr>
          </w:p>
        </w:tc>
        <w:tc>
          <w:tcPr>
            <w:tcW w:w="953" w:type="dxa"/>
            <w:vAlign w:val="center"/>
          </w:tcPr>
          <w:p>
            <w:pPr>
              <w:spacing w:line="240" w:lineRule="auto"/>
              <w:jc w:val="center"/>
              <w:rPr>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6" w:type="dxa"/>
            <w:vAlign w:val="center"/>
          </w:tcPr>
          <w:p>
            <w:pPr>
              <w:spacing w:line="240" w:lineRule="auto"/>
              <w:jc w:val="center"/>
              <w:rPr>
                <w:sz w:val="24"/>
                <w:highlight w:val="none"/>
              </w:rPr>
            </w:pPr>
            <w:r>
              <w:rPr>
                <w:rFonts w:hint="eastAsia"/>
                <w:sz w:val="24"/>
                <w:highlight w:val="none"/>
              </w:rPr>
              <w:t>2</w:t>
            </w:r>
          </w:p>
        </w:tc>
        <w:tc>
          <w:tcPr>
            <w:tcW w:w="1993" w:type="dxa"/>
            <w:vAlign w:val="center"/>
          </w:tcPr>
          <w:p>
            <w:pPr>
              <w:spacing w:line="240" w:lineRule="auto"/>
              <w:jc w:val="center"/>
              <w:rPr>
                <w:sz w:val="24"/>
                <w:highlight w:val="none"/>
              </w:rPr>
            </w:pPr>
          </w:p>
        </w:tc>
        <w:tc>
          <w:tcPr>
            <w:tcW w:w="1647" w:type="dxa"/>
            <w:vAlign w:val="center"/>
          </w:tcPr>
          <w:p>
            <w:pPr>
              <w:spacing w:line="240" w:lineRule="auto"/>
              <w:jc w:val="center"/>
              <w:rPr>
                <w:sz w:val="24"/>
                <w:highlight w:val="none"/>
              </w:rPr>
            </w:pPr>
          </w:p>
        </w:tc>
        <w:tc>
          <w:tcPr>
            <w:tcW w:w="824" w:type="dxa"/>
            <w:vAlign w:val="center"/>
          </w:tcPr>
          <w:p>
            <w:pPr>
              <w:spacing w:line="240" w:lineRule="auto"/>
              <w:jc w:val="center"/>
              <w:rPr>
                <w:sz w:val="24"/>
                <w:highlight w:val="none"/>
              </w:rPr>
            </w:pPr>
          </w:p>
        </w:tc>
        <w:tc>
          <w:tcPr>
            <w:tcW w:w="824" w:type="dxa"/>
            <w:vAlign w:val="center"/>
          </w:tcPr>
          <w:p>
            <w:pPr>
              <w:spacing w:line="240" w:lineRule="auto"/>
              <w:jc w:val="center"/>
              <w:rPr>
                <w:sz w:val="24"/>
                <w:highlight w:val="none"/>
              </w:rPr>
            </w:pPr>
          </w:p>
        </w:tc>
        <w:tc>
          <w:tcPr>
            <w:tcW w:w="824" w:type="dxa"/>
            <w:vAlign w:val="center"/>
          </w:tcPr>
          <w:p>
            <w:pPr>
              <w:spacing w:line="240" w:lineRule="auto"/>
              <w:jc w:val="center"/>
              <w:rPr>
                <w:sz w:val="24"/>
                <w:highlight w:val="none"/>
              </w:rPr>
            </w:pPr>
          </w:p>
        </w:tc>
        <w:tc>
          <w:tcPr>
            <w:tcW w:w="825" w:type="dxa"/>
            <w:vAlign w:val="center"/>
          </w:tcPr>
          <w:p>
            <w:pPr>
              <w:spacing w:line="240" w:lineRule="auto"/>
              <w:jc w:val="center"/>
              <w:rPr>
                <w:sz w:val="24"/>
                <w:highlight w:val="none"/>
              </w:rPr>
            </w:pPr>
          </w:p>
        </w:tc>
        <w:tc>
          <w:tcPr>
            <w:tcW w:w="984" w:type="dxa"/>
            <w:vAlign w:val="center"/>
          </w:tcPr>
          <w:p>
            <w:pPr>
              <w:spacing w:line="240" w:lineRule="auto"/>
              <w:jc w:val="center"/>
              <w:rPr>
                <w:sz w:val="24"/>
                <w:highlight w:val="none"/>
              </w:rPr>
            </w:pPr>
          </w:p>
        </w:tc>
        <w:tc>
          <w:tcPr>
            <w:tcW w:w="953" w:type="dxa"/>
            <w:vAlign w:val="center"/>
          </w:tcPr>
          <w:p>
            <w:pPr>
              <w:spacing w:line="240" w:lineRule="auto"/>
              <w:jc w:val="center"/>
              <w:rPr>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6" w:type="dxa"/>
            <w:vAlign w:val="center"/>
          </w:tcPr>
          <w:p>
            <w:pPr>
              <w:spacing w:line="240" w:lineRule="auto"/>
              <w:jc w:val="center"/>
              <w:rPr>
                <w:sz w:val="24"/>
                <w:highlight w:val="none"/>
              </w:rPr>
            </w:pPr>
            <w:r>
              <w:rPr>
                <w:rFonts w:hint="eastAsia"/>
                <w:sz w:val="24"/>
                <w:highlight w:val="none"/>
              </w:rPr>
              <w:t>3</w:t>
            </w:r>
          </w:p>
        </w:tc>
        <w:tc>
          <w:tcPr>
            <w:tcW w:w="1993" w:type="dxa"/>
            <w:vAlign w:val="center"/>
          </w:tcPr>
          <w:p>
            <w:pPr>
              <w:spacing w:line="240" w:lineRule="auto"/>
              <w:jc w:val="center"/>
              <w:rPr>
                <w:sz w:val="24"/>
                <w:highlight w:val="none"/>
              </w:rPr>
            </w:pPr>
          </w:p>
        </w:tc>
        <w:tc>
          <w:tcPr>
            <w:tcW w:w="1647" w:type="dxa"/>
            <w:vAlign w:val="center"/>
          </w:tcPr>
          <w:p>
            <w:pPr>
              <w:spacing w:line="240" w:lineRule="auto"/>
              <w:jc w:val="center"/>
              <w:rPr>
                <w:sz w:val="24"/>
                <w:highlight w:val="none"/>
              </w:rPr>
            </w:pPr>
          </w:p>
        </w:tc>
        <w:tc>
          <w:tcPr>
            <w:tcW w:w="824" w:type="dxa"/>
            <w:vAlign w:val="center"/>
          </w:tcPr>
          <w:p>
            <w:pPr>
              <w:spacing w:line="240" w:lineRule="auto"/>
              <w:jc w:val="center"/>
              <w:rPr>
                <w:sz w:val="24"/>
                <w:highlight w:val="none"/>
              </w:rPr>
            </w:pPr>
          </w:p>
        </w:tc>
        <w:tc>
          <w:tcPr>
            <w:tcW w:w="824" w:type="dxa"/>
            <w:vAlign w:val="center"/>
          </w:tcPr>
          <w:p>
            <w:pPr>
              <w:spacing w:line="240" w:lineRule="auto"/>
              <w:jc w:val="center"/>
              <w:rPr>
                <w:sz w:val="24"/>
                <w:highlight w:val="none"/>
              </w:rPr>
            </w:pPr>
          </w:p>
        </w:tc>
        <w:tc>
          <w:tcPr>
            <w:tcW w:w="824" w:type="dxa"/>
            <w:vAlign w:val="center"/>
          </w:tcPr>
          <w:p>
            <w:pPr>
              <w:spacing w:line="240" w:lineRule="auto"/>
              <w:jc w:val="center"/>
              <w:rPr>
                <w:sz w:val="24"/>
                <w:highlight w:val="none"/>
              </w:rPr>
            </w:pPr>
          </w:p>
        </w:tc>
        <w:tc>
          <w:tcPr>
            <w:tcW w:w="825" w:type="dxa"/>
            <w:vAlign w:val="center"/>
          </w:tcPr>
          <w:p>
            <w:pPr>
              <w:spacing w:line="240" w:lineRule="auto"/>
              <w:jc w:val="center"/>
              <w:rPr>
                <w:sz w:val="24"/>
                <w:highlight w:val="none"/>
              </w:rPr>
            </w:pPr>
          </w:p>
        </w:tc>
        <w:tc>
          <w:tcPr>
            <w:tcW w:w="984" w:type="dxa"/>
            <w:vAlign w:val="center"/>
          </w:tcPr>
          <w:p>
            <w:pPr>
              <w:spacing w:line="240" w:lineRule="auto"/>
              <w:jc w:val="center"/>
              <w:rPr>
                <w:sz w:val="24"/>
                <w:highlight w:val="none"/>
              </w:rPr>
            </w:pPr>
          </w:p>
        </w:tc>
        <w:tc>
          <w:tcPr>
            <w:tcW w:w="953" w:type="dxa"/>
            <w:vAlign w:val="center"/>
          </w:tcPr>
          <w:p>
            <w:pPr>
              <w:spacing w:line="240" w:lineRule="auto"/>
              <w:jc w:val="center"/>
              <w:rPr>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6" w:type="dxa"/>
            <w:vAlign w:val="center"/>
          </w:tcPr>
          <w:p>
            <w:pPr>
              <w:spacing w:line="240" w:lineRule="auto"/>
              <w:jc w:val="center"/>
              <w:rPr>
                <w:sz w:val="24"/>
                <w:highlight w:val="none"/>
              </w:rPr>
            </w:pPr>
            <w:r>
              <w:rPr>
                <w:rFonts w:hint="eastAsia"/>
                <w:sz w:val="24"/>
                <w:highlight w:val="none"/>
              </w:rPr>
              <w:t>……</w:t>
            </w:r>
          </w:p>
        </w:tc>
        <w:tc>
          <w:tcPr>
            <w:tcW w:w="1993" w:type="dxa"/>
            <w:vAlign w:val="center"/>
          </w:tcPr>
          <w:p>
            <w:pPr>
              <w:spacing w:line="240" w:lineRule="auto"/>
              <w:jc w:val="center"/>
              <w:rPr>
                <w:sz w:val="24"/>
                <w:highlight w:val="none"/>
              </w:rPr>
            </w:pPr>
          </w:p>
        </w:tc>
        <w:tc>
          <w:tcPr>
            <w:tcW w:w="1647" w:type="dxa"/>
            <w:vAlign w:val="center"/>
          </w:tcPr>
          <w:p>
            <w:pPr>
              <w:spacing w:line="240" w:lineRule="auto"/>
              <w:jc w:val="center"/>
              <w:rPr>
                <w:sz w:val="24"/>
                <w:highlight w:val="none"/>
              </w:rPr>
            </w:pPr>
          </w:p>
        </w:tc>
        <w:tc>
          <w:tcPr>
            <w:tcW w:w="824" w:type="dxa"/>
            <w:vAlign w:val="center"/>
          </w:tcPr>
          <w:p>
            <w:pPr>
              <w:spacing w:line="240" w:lineRule="auto"/>
              <w:jc w:val="center"/>
              <w:rPr>
                <w:sz w:val="24"/>
                <w:highlight w:val="none"/>
              </w:rPr>
            </w:pPr>
          </w:p>
        </w:tc>
        <w:tc>
          <w:tcPr>
            <w:tcW w:w="824" w:type="dxa"/>
            <w:vAlign w:val="center"/>
          </w:tcPr>
          <w:p>
            <w:pPr>
              <w:spacing w:line="240" w:lineRule="auto"/>
              <w:jc w:val="center"/>
              <w:rPr>
                <w:sz w:val="24"/>
                <w:highlight w:val="none"/>
              </w:rPr>
            </w:pPr>
          </w:p>
        </w:tc>
        <w:tc>
          <w:tcPr>
            <w:tcW w:w="824" w:type="dxa"/>
            <w:vAlign w:val="center"/>
          </w:tcPr>
          <w:p>
            <w:pPr>
              <w:spacing w:line="240" w:lineRule="auto"/>
              <w:jc w:val="center"/>
              <w:rPr>
                <w:sz w:val="24"/>
                <w:highlight w:val="none"/>
              </w:rPr>
            </w:pPr>
          </w:p>
        </w:tc>
        <w:tc>
          <w:tcPr>
            <w:tcW w:w="825" w:type="dxa"/>
            <w:vAlign w:val="center"/>
          </w:tcPr>
          <w:p>
            <w:pPr>
              <w:spacing w:line="240" w:lineRule="auto"/>
              <w:jc w:val="center"/>
              <w:rPr>
                <w:sz w:val="24"/>
                <w:highlight w:val="none"/>
              </w:rPr>
            </w:pPr>
          </w:p>
        </w:tc>
        <w:tc>
          <w:tcPr>
            <w:tcW w:w="984" w:type="dxa"/>
            <w:vAlign w:val="center"/>
          </w:tcPr>
          <w:p>
            <w:pPr>
              <w:spacing w:line="240" w:lineRule="auto"/>
              <w:jc w:val="center"/>
              <w:rPr>
                <w:sz w:val="24"/>
                <w:highlight w:val="none"/>
              </w:rPr>
            </w:pPr>
          </w:p>
        </w:tc>
        <w:tc>
          <w:tcPr>
            <w:tcW w:w="953" w:type="dxa"/>
            <w:vAlign w:val="center"/>
          </w:tcPr>
          <w:p>
            <w:pPr>
              <w:spacing w:line="240" w:lineRule="auto"/>
              <w:jc w:val="center"/>
              <w:rPr>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6" w:type="dxa"/>
            <w:vAlign w:val="center"/>
          </w:tcPr>
          <w:p>
            <w:pPr>
              <w:spacing w:line="240" w:lineRule="auto"/>
              <w:jc w:val="center"/>
              <w:rPr>
                <w:sz w:val="24"/>
                <w:highlight w:val="none"/>
              </w:rPr>
            </w:pPr>
            <w:r>
              <w:rPr>
                <w:rFonts w:hint="eastAsia"/>
                <w:sz w:val="24"/>
                <w:highlight w:val="none"/>
              </w:rPr>
              <w:t>……</w:t>
            </w:r>
          </w:p>
        </w:tc>
        <w:tc>
          <w:tcPr>
            <w:tcW w:w="1993" w:type="dxa"/>
            <w:vAlign w:val="center"/>
          </w:tcPr>
          <w:p>
            <w:pPr>
              <w:spacing w:line="240" w:lineRule="auto"/>
              <w:jc w:val="center"/>
              <w:rPr>
                <w:sz w:val="24"/>
                <w:highlight w:val="none"/>
              </w:rPr>
            </w:pPr>
          </w:p>
        </w:tc>
        <w:tc>
          <w:tcPr>
            <w:tcW w:w="1647" w:type="dxa"/>
            <w:vAlign w:val="center"/>
          </w:tcPr>
          <w:p>
            <w:pPr>
              <w:spacing w:line="240" w:lineRule="auto"/>
              <w:jc w:val="center"/>
              <w:rPr>
                <w:sz w:val="24"/>
                <w:highlight w:val="none"/>
              </w:rPr>
            </w:pPr>
          </w:p>
        </w:tc>
        <w:tc>
          <w:tcPr>
            <w:tcW w:w="824" w:type="dxa"/>
            <w:vAlign w:val="center"/>
          </w:tcPr>
          <w:p>
            <w:pPr>
              <w:spacing w:line="240" w:lineRule="auto"/>
              <w:jc w:val="center"/>
              <w:rPr>
                <w:sz w:val="24"/>
                <w:highlight w:val="none"/>
              </w:rPr>
            </w:pPr>
          </w:p>
        </w:tc>
        <w:tc>
          <w:tcPr>
            <w:tcW w:w="824" w:type="dxa"/>
            <w:vAlign w:val="center"/>
          </w:tcPr>
          <w:p>
            <w:pPr>
              <w:spacing w:line="240" w:lineRule="auto"/>
              <w:jc w:val="center"/>
              <w:rPr>
                <w:sz w:val="24"/>
                <w:highlight w:val="none"/>
              </w:rPr>
            </w:pPr>
          </w:p>
        </w:tc>
        <w:tc>
          <w:tcPr>
            <w:tcW w:w="824" w:type="dxa"/>
            <w:vAlign w:val="center"/>
          </w:tcPr>
          <w:p>
            <w:pPr>
              <w:spacing w:line="240" w:lineRule="auto"/>
              <w:jc w:val="center"/>
              <w:rPr>
                <w:sz w:val="24"/>
                <w:highlight w:val="none"/>
              </w:rPr>
            </w:pPr>
          </w:p>
        </w:tc>
        <w:tc>
          <w:tcPr>
            <w:tcW w:w="825" w:type="dxa"/>
            <w:vAlign w:val="center"/>
          </w:tcPr>
          <w:p>
            <w:pPr>
              <w:spacing w:line="240" w:lineRule="auto"/>
              <w:jc w:val="center"/>
              <w:rPr>
                <w:sz w:val="24"/>
                <w:highlight w:val="none"/>
              </w:rPr>
            </w:pPr>
          </w:p>
        </w:tc>
        <w:tc>
          <w:tcPr>
            <w:tcW w:w="984" w:type="dxa"/>
            <w:vAlign w:val="center"/>
          </w:tcPr>
          <w:p>
            <w:pPr>
              <w:spacing w:line="240" w:lineRule="auto"/>
              <w:jc w:val="center"/>
              <w:rPr>
                <w:sz w:val="24"/>
                <w:highlight w:val="none"/>
              </w:rPr>
            </w:pPr>
          </w:p>
        </w:tc>
        <w:tc>
          <w:tcPr>
            <w:tcW w:w="953" w:type="dxa"/>
            <w:vAlign w:val="center"/>
          </w:tcPr>
          <w:p>
            <w:pPr>
              <w:spacing w:line="240" w:lineRule="auto"/>
              <w:jc w:val="center"/>
              <w:rPr>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6" w:type="dxa"/>
            <w:vAlign w:val="center"/>
          </w:tcPr>
          <w:p>
            <w:pPr>
              <w:spacing w:line="240" w:lineRule="auto"/>
              <w:jc w:val="center"/>
              <w:rPr>
                <w:sz w:val="24"/>
                <w:highlight w:val="none"/>
              </w:rPr>
            </w:pPr>
          </w:p>
        </w:tc>
        <w:tc>
          <w:tcPr>
            <w:tcW w:w="1993" w:type="dxa"/>
            <w:vAlign w:val="center"/>
          </w:tcPr>
          <w:p>
            <w:pPr>
              <w:spacing w:line="240" w:lineRule="auto"/>
              <w:jc w:val="center"/>
              <w:rPr>
                <w:sz w:val="24"/>
                <w:highlight w:val="none"/>
              </w:rPr>
            </w:pPr>
          </w:p>
        </w:tc>
        <w:tc>
          <w:tcPr>
            <w:tcW w:w="1647" w:type="dxa"/>
            <w:vAlign w:val="center"/>
          </w:tcPr>
          <w:p>
            <w:pPr>
              <w:spacing w:line="240" w:lineRule="auto"/>
              <w:jc w:val="center"/>
              <w:rPr>
                <w:sz w:val="24"/>
                <w:highlight w:val="none"/>
              </w:rPr>
            </w:pPr>
          </w:p>
        </w:tc>
        <w:tc>
          <w:tcPr>
            <w:tcW w:w="824" w:type="dxa"/>
            <w:vAlign w:val="center"/>
          </w:tcPr>
          <w:p>
            <w:pPr>
              <w:spacing w:line="240" w:lineRule="auto"/>
              <w:jc w:val="center"/>
              <w:rPr>
                <w:sz w:val="24"/>
                <w:highlight w:val="none"/>
              </w:rPr>
            </w:pPr>
          </w:p>
        </w:tc>
        <w:tc>
          <w:tcPr>
            <w:tcW w:w="824" w:type="dxa"/>
            <w:vAlign w:val="center"/>
          </w:tcPr>
          <w:p>
            <w:pPr>
              <w:spacing w:line="240" w:lineRule="auto"/>
              <w:jc w:val="center"/>
              <w:rPr>
                <w:sz w:val="24"/>
                <w:highlight w:val="none"/>
              </w:rPr>
            </w:pPr>
          </w:p>
        </w:tc>
        <w:tc>
          <w:tcPr>
            <w:tcW w:w="824" w:type="dxa"/>
            <w:vAlign w:val="center"/>
          </w:tcPr>
          <w:p>
            <w:pPr>
              <w:spacing w:line="240" w:lineRule="auto"/>
              <w:jc w:val="center"/>
              <w:rPr>
                <w:sz w:val="24"/>
                <w:highlight w:val="none"/>
              </w:rPr>
            </w:pPr>
          </w:p>
        </w:tc>
        <w:tc>
          <w:tcPr>
            <w:tcW w:w="825" w:type="dxa"/>
            <w:vAlign w:val="center"/>
          </w:tcPr>
          <w:p>
            <w:pPr>
              <w:spacing w:line="240" w:lineRule="auto"/>
              <w:jc w:val="center"/>
              <w:rPr>
                <w:sz w:val="24"/>
                <w:highlight w:val="none"/>
              </w:rPr>
            </w:pPr>
          </w:p>
        </w:tc>
        <w:tc>
          <w:tcPr>
            <w:tcW w:w="984" w:type="dxa"/>
            <w:vAlign w:val="center"/>
          </w:tcPr>
          <w:p>
            <w:pPr>
              <w:spacing w:line="240" w:lineRule="auto"/>
              <w:jc w:val="center"/>
              <w:rPr>
                <w:sz w:val="24"/>
                <w:highlight w:val="none"/>
              </w:rPr>
            </w:pPr>
          </w:p>
        </w:tc>
        <w:tc>
          <w:tcPr>
            <w:tcW w:w="953" w:type="dxa"/>
            <w:vAlign w:val="center"/>
          </w:tcPr>
          <w:p>
            <w:pPr>
              <w:spacing w:line="240" w:lineRule="auto"/>
              <w:jc w:val="center"/>
              <w:rPr>
                <w:sz w:val="24"/>
                <w:highlight w:val="none"/>
              </w:rPr>
            </w:pPr>
          </w:p>
        </w:tc>
      </w:tr>
    </w:tbl>
    <w:p>
      <w:pPr>
        <w:tabs>
          <w:tab w:val="clear" w:pos="426"/>
        </w:tabs>
        <w:rPr>
          <w:rFonts w:cs="Arial"/>
          <w:bCs/>
          <w:szCs w:val="21"/>
          <w:highlight w:val="none"/>
        </w:rPr>
      </w:pPr>
      <w:r>
        <w:rPr>
          <w:rFonts w:hint="eastAsia" w:cs="Arial"/>
          <w:bCs/>
          <w:szCs w:val="21"/>
          <w:highlight w:val="none"/>
        </w:rPr>
        <w:t>备注：“产地”是指该产品的实际生产加工地，而非品牌总公司所在地。</w:t>
      </w:r>
    </w:p>
    <w:p>
      <w:pPr>
        <w:tabs>
          <w:tab w:val="clear" w:pos="426"/>
        </w:tabs>
        <w:ind w:firstLine="424" w:firstLineChars="202"/>
        <w:rPr>
          <w:rFonts w:cs="Arial"/>
          <w:bCs/>
          <w:szCs w:val="21"/>
          <w:highlight w:val="none"/>
        </w:rPr>
      </w:pPr>
    </w:p>
    <w:p>
      <w:pPr>
        <w:numPr>
          <w:ilvl w:val="0"/>
          <w:numId w:val="25"/>
        </w:numPr>
        <w:adjustRightInd/>
        <w:snapToGrid/>
        <w:spacing w:before="280" w:after="290" w:line="377" w:lineRule="auto"/>
        <w:outlineLvl w:val="2"/>
        <w:rPr>
          <w:b/>
          <w:sz w:val="24"/>
          <w:highlight w:val="none"/>
        </w:rPr>
      </w:pPr>
      <w:r>
        <w:rPr>
          <w:rFonts w:hint="eastAsia"/>
          <w:b/>
          <w:sz w:val="24"/>
          <w:highlight w:val="none"/>
          <w:lang w:eastAsia="zh-CN"/>
        </w:rPr>
        <w:t>项目团队实力</w:t>
      </w:r>
    </w:p>
    <w:p>
      <w:pPr>
        <w:widowControl w:val="0"/>
        <w:shd w:val="clear" w:color="auto" w:fill="auto"/>
        <w:tabs>
          <w:tab w:val="clear" w:pos="426"/>
        </w:tabs>
        <w:adjustRightInd/>
        <w:snapToGrid/>
        <w:spacing w:line="300" w:lineRule="auto"/>
        <w:jc w:val="center"/>
        <w:rPr>
          <w:rFonts w:cs="Times New Roman"/>
          <w:bCs/>
          <w:kern w:val="2"/>
          <w:sz w:val="32"/>
          <w:szCs w:val="32"/>
          <w:highlight w:val="none"/>
        </w:rPr>
      </w:pPr>
      <w:r>
        <w:rPr>
          <w:rFonts w:hint="eastAsia" w:cs="Times New Roman"/>
          <w:bCs/>
          <w:kern w:val="2"/>
          <w:sz w:val="32"/>
          <w:szCs w:val="32"/>
          <w:highlight w:val="none"/>
        </w:rPr>
        <w:t>项目团队实力</w:t>
      </w:r>
    </w:p>
    <w:p>
      <w:pPr>
        <w:tabs>
          <w:tab w:val="clear" w:pos="426"/>
        </w:tabs>
        <w:rPr>
          <w:rFonts w:cs="Arial"/>
          <w:bCs/>
          <w:szCs w:val="21"/>
          <w:highlight w:val="none"/>
        </w:rPr>
      </w:pPr>
    </w:p>
    <w:p>
      <w:pPr>
        <w:tabs>
          <w:tab w:val="clear" w:pos="426"/>
        </w:tabs>
        <w:rPr>
          <w:rFonts w:cs="Arial"/>
          <w:bCs/>
          <w:szCs w:val="21"/>
          <w:highlight w:val="none"/>
        </w:rPr>
      </w:pPr>
      <w:r>
        <w:rPr>
          <w:rFonts w:hint="eastAsia" w:cs="Arial"/>
          <w:bCs/>
          <w:szCs w:val="21"/>
          <w:highlight w:val="none"/>
        </w:rPr>
        <w:t>项目名称：项目编号：</w:t>
      </w:r>
    </w:p>
    <w:p>
      <w:pPr>
        <w:tabs>
          <w:tab w:val="clear" w:pos="426"/>
        </w:tabs>
        <w:spacing w:line="440" w:lineRule="exact"/>
        <w:jc w:val="center"/>
        <w:rPr>
          <w:b/>
          <w:bCs/>
          <w:sz w:val="28"/>
          <w:szCs w:val="28"/>
          <w:highlight w:val="none"/>
        </w:rPr>
      </w:pPr>
      <w:r>
        <w:rPr>
          <w:rFonts w:hint="eastAsia"/>
          <w:b/>
          <w:bCs/>
          <w:sz w:val="28"/>
          <w:szCs w:val="28"/>
          <w:highlight w:val="none"/>
        </w:rPr>
        <w:t>（格式自定）</w:t>
      </w:r>
    </w:p>
    <w:p>
      <w:pPr>
        <w:tabs>
          <w:tab w:val="clear" w:pos="426"/>
        </w:tabs>
        <w:spacing w:line="400" w:lineRule="exact"/>
        <w:rPr>
          <w:highlight w:val="none"/>
        </w:rPr>
      </w:pPr>
      <w:r>
        <w:rPr>
          <w:rFonts w:hint="eastAsia"/>
          <w:highlight w:val="none"/>
        </w:rPr>
        <w:t>主要内容应包括（可根据项目实际情况适当调整内容）</w:t>
      </w:r>
    </w:p>
    <w:p>
      <w:pPr>
        <w:tabs>
          <w:tab w:val="clear" w:pos="426"/>
        </w:tabs>
        <w:spacing w:line="400" w:lineRule="exact"/>
        <w:rPr>
          <w:highlight w:val="none"/>
        </w:rPr>
      </w:pPr>
      <w:r>
        <w:rPr>
          <w:rFonts w:hint="eastAsia"/>
          <w:highlight w:val="none"/>
        </w:rPr>
        <w:t>1.</w:t>
      </w:r>
      <w:r>
        <w:rPr>
          <w:rFonts w:hint="eastAsia"/>
          <w:highlight w:val="none"/>
          <w:lang w:eastAsia="zh-CN"/>
        </w:rPr>
        <w:t>项目负责人</w:t>
      </w:r>
      <w:r>
        <w:rPr>
          <w:rFonts w:hint="eastAsia"/>
          <w:highlight w:val="none"/>
        </w:rPr>
        <w:t>；</w:t>
      </w:r>
    </w:p>
    <w:p>
      <w:pPr>
        <w:tabs>
          <w:tab w:val="clear" w:pos="426"/>
        </w:tabs>
        <w:spacing w:line="400" w:lineRule="exact"/>
        <w:rPr>
          <w:highlight w:val="none"/>
        </w:rPr>
      </w:pPr>
      <w:r>
        <w:rPr>
          <w:rFonts w:hint="eastAsia"/>
          <w:highlight w:val="none"/>
        </w:rPr>
        <w:t>2.</w:t>
      </w:r>
      <w:r>
        <w:rPr>
          <w:rFonts w:hint="eastAsia" w:asciiTheme="minorEastAsia" w:hAnsiTheme="minorEastAsia" w:eastAsiaTheme="minorEastAsia"/>
          <w:color w:val="000000" w:themeColor="text1"/>
          <w:szCs w:val="21"/>
          <w:highlight w:val="none"/>
        </w:rPr>
        <w:t>团队成员</w:t>
      </w:r>
      <w:r>
        <w:rPr>
          <w:rFonts w:hint="eastAsia"/>
          <w:highlight w:val="none"/>
        </w:rPr>
        <w:t>。</w:t>
      </w:r>
    </w:p>
    <w:p>
      <w:pPr>
        <w:tabs>
          <w:tab w:val="clear" w:pos="426"/>
        </w:tabs>
        <w:spacing w:line="400" w:lineRule="exact"/>
        <w:rPr>
          <w:highlight w:val="none"/>
        </w:rPr>
      </w:pPr>
    </w:p>
    <w:p>
      <w:pPr>
        <w:tabs>
          <w:tab w:val="clear" w:pos="426"/>
        </w:tabs>
        <w:spacing w:line="400" w:lineRule="exact"/>
        <w:rPr>
          <w:highlight w:val="none"/>
        </w:rPr>
      </w:pPr>
    </w:p>
    <w:p>
      <w:pPr>
        <w:tabs>
          <w:tab w:val="clear" w:pos="426"/>
        </w:tabs>
        <w:spacing w:line="400" w:lineRule="exact"/>
        <w:rPr>
          <w:highlight w:val="none"/>
        </w:rPr>
      </w:pPr>
    </w:p>
    <w:p>
      <w:pPr>
        <w:tabs>
          <w:tab w:val="clear" w:pos="426"/>
        </w:tabs>
        <w:spacing w:line="400" w:lineRule="exact"/>
        <w:rPr>
          <w:highlight w:val="none"/>
        </w:rPr>
      </w:pPr>
    </w:p>
    <w:p>
      <w:pPr>
        <w:tabs>
          <w:tab w:val="clear" w:pos="426"/>
        </w:tabs>
        <w:spacing w:line="400" w:lineRule="exact"/>
        <w:rPr>
          <w:highlight w:val="none"/>
        </w:rPr>
      </w:pPr>
    </w:p>
    <w:p>
      <w:pPr>
        <w:tabs>
          <w:tab w:val="clear" w:pos="426"/>
        </w:tabs>
        <w:spacing w:line="500" w:lineRule="exact"/>
        <w:rPr>
          <w:highlight w:val="none"/>
          <w:u w:val="single"/>
        </w:rPr>
      </w:pPr>
      <w:r>
        <w:rPr>
          <w:rFonts w:hint="eastAsia"/>
          <w:spacing w:val="4"/>
          <w:highlight w:val="none"/>
        </w:rPr>
        <w:t>投标人名称（</w:t>
      </w:r>
      <w:r>
        <w:rPr>
          <w:rFonts w:hint="eastAsia"/>
          <w:highlight w:val="none"/>
        </w:rPr>
        <w:t>单位盖</w:t>
      </w:r>
      <w:r>
        <w:rPr>
          <w:rFonts w:hint="eastAsia"/>
          <w:spacing w:val="4"/>
          <w:highlight w:val="none"/>
        </w:rPr>
        <w:t>公章）：</w:t>
      </w:r>
    </w:p>
    <w:p>
      <w:pPr>
        <w:tabs>
          <w:tab w:val="clear" w:pos="426"/>
        </w:tabs>
        <w:spacing w:line="520" w:lineRule="exact"/>
        <w:rPr>
          <w:highlight w:val="none"/>
        </w:rPr>
      </w:pPr>
    </w:p>
    <w:p>
      <w:pPr>
        <w:tabs>
          <w:tab w:val="clear" w:pos="426"/>
        </w:tabs>
        <w:spacing w:line="520" w:lineRule="exact"/>
        <w:rPr>
          <w:spacing w:val="4"/>
          <w:highlight w:val="none"/>
          <w:u w:val="single"/>
        </w:rPr>
      </w:pPr>
      <w:r>
        <w:rPr>
          <w:rFonts w:hint="eastAsia"/>
          <w:highlight w:val="none"/>
        </w:rPr>
        <w:t>法定代表人或投标人授权代表（签名或盖章）：</w:t>
      </w:r>
      <w:r>
        <w:rPr>
          <w:rFonts w:hint="eastAsia"/>
          <w:spacing w:val="4"/>
          <w:highlight w:val="none"/>
        </w:rPr>
        <w:t>职务：日期</w:t>
      </w:r>
    </w:p>
    <w:p>
      <w:pPr>
        <w:numPr>
          <w:ilvl w:val="0"/>
          <w:numId w:val="25"/>
        </w:numPr>
        <w:adjustRightInd/>
        <w:snapToGrid/>
        <w:spacing w:before="280" w:after="290" w:line="377" w:lineRule="auto"/>
        <w:outlineLvl w:val="2"/>
        <w:rPr>
          <w:b/>
          <w:sz w:val="24"/>
          <w:highlight w:val="none"/>
        </w:rPr>
      </w:pPr>
      <w:r>
        <w:rPr>
          <w:rFonts w:hint="eastAsia"/>
          <w:b/>
          <w:sz w:val="24"/>
          <w:highlight w:val="none"/>
        </w:rPr>
        <w:t>技术规格偏离表</w:t>
      </w:r>
    </w:p>
    <w:p>
      <w:pPr>
        <w:widowControl w:val="0"/>
        <w:shd w:val="clear" w:color="auto" w:fill="auto"/>
        <w:tabs>
          <w:tab w:val="clear" w:pos="426"/>
        </w:tabs>
        <w:adjustRightInd/>
        <w:snapToGrid/>
        <w:spacing w:line="300" w:lineRule="auto"/>
        <w:jc w:val="center"/>
        <w:rPr>
          <w:rFonts w:cs="Times New Roman"/>
          <w:bCs/>
          <w:kern w:val="2"/>
          <w:sz w:val="32"/>
          <w:szCs w:val="32"/>
          <w:highlight w:val="none"/>
        </w:rPr>
      </w:pPr>
      <w:bookmarkStart w:id="86" w:name="_Toc480789484"/>
      <w:bookmarkStart w:id="87" w:name="_Toc480756080"/>
      <w:bookmarkStart w:id="88" w:name="_Toc480755934"/>
      <w:bookmarkStart w:id="89" w:name="_Toc480754213"/>
      <w:r>
        <w:rPr>
          <w:rFonts w:hint="eastAsia" w:cs="Times New Roman"/>
          <w:bCs/>
          <w:kern w:val="2"/>
          <w:sz w:val="32"/>
          <w:szCs w:val="32"/>
          <w:highlight w:val="none"/>
        </w:rPr>
        <w:t>技术规格偏离表</w:t>
      </w:r>
      <w:bookmarkEnd w:id="86"/>
      <w:bookmarkEnd w:id="87"/>
      <w:bookmarkEnd w:id="88"/>
      <w:bookmarkEnd w:id="89"/>
    </w:p>
    <w:p>
      <w:pPr>
        <w:tabs>
          <w:tab w:val="clear" w:pos="426"/>
        </w:tabs>
        <w:rPr>
          <w:rFonts w:cs="Arial"/>
          <w:bCs/>
          <w:szCs w:val="21"/>
          <w:highlight w:val="none"/>
        </w:rPr>
      </w:pPr>
    </w:p>
    <w:p>
      <w:pPr>
        <w:tabs>
          <w:tab w:val="clear" w:pos="426"/>
        </w:tabs>
        <w:rPr>
          <w:rFonts w:cs="Arial"/>
          <w:bCs/>
          <w:szCs w:val="21"/>
          <w:highlight w:val="none"/>
        </w:rPr>
      </w:pPr>
      <w:r>
        <w:rPr>
          <w:rFonts w:hint="eastAsia" w:cs="Arial"/>
          <w:bCs/>
          <w:szCs w:val="21"/>
          <w:highlight w:val="none"/>
        </w:rPr>
        <w:t>项目名称：项目编号：包号：</w:t>
      </w:r>
    </w:p>
    <w:tbl>
      <w:tblPr>
        <w:tblStyle w:val="44"/>
        <w:tblW w:w="95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1"/>
        <w:gridCol w:w="2375"/>
        <w:gridCol w:w="1593"/>
        <w:gridCol w:w="1593"/>
        <w:gridCol w:w="1594"/>
        <w:gridCol w:w="1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1" w:type="dxa"/>
            <w:vAlign w:val="center"/>
          </w:tcPr>
          <w:p>
            <w:pPr>
              <w:tabs>
                <w:tab w:val="clear" w:pos="426"/>
              </w:tabs>
              <w:adjustRightInd/>
              <w:snapToGrid/>
              <w:spacing w:line="240" w:lineRule="auto"/>
              <w:jc w:val="center"/>
              <w:rPr>
                <w:rFonts w:cs="Arial"/>
                <w:bCs/>
                <w:szCs w:val="21"/>
                <w:highlight w:val="none"/>
              </w:rPr>
            </w:pPr>
            <w:r>
              <w:rPr>
                <w:rFonts w:hint="eastAsia" w:cs="Arial"/>
                <w:bCs/>
                <w:szCs w:val="21"/>
                <w:highlight w:val="none"/>
              </w:rPr>
              <w:t>序号</w:t>
            </w:r>
          </w:p>
        </w:tc>
        <w:tc>
          <w:tcPr>
            <w:tcW w:w="2375" w:type="dxa"/>
            <w:vAlign w:val="center"/>
          </w:tcPr>
          <w:p>
            <w:pPr>
              <w:tabs>
                <w:tab w:val="clear" w:pos="426"/>
              </w:tabs>
              <w:adjustRightInd/>
              <w:snapToGrid/>
              <w:spacing w:line="240" w:lineRule="auto"/>
              <w:jc w:val="center"/>
              <w:rPr>
                <w:rFonts w:cs="Arial"/>
                <w:bCs/>
                <w:szCs w:val="21"/>
                <w:highlight w:val="none"/>
              </w:rPr>
            </w:pPr>
            <w:r>
              <w:rPr>
                <w:rFonts w:hint="eastAsia" w:cs="Arial"/>
                <w:bCs/>
                <w:szCs w:val="21"/>
                <w:highlight w:val="none"/>
              </w:rPr>
              <w:t>货物名称</w:t>
            </w:r>
          </w:p>
        </w:tc>
        <w:tc>
          <w:tcPr>
            <w:tcW w:w="1593" w:type="dxa"/>
            <w:vAlign w:val="center"/>
          </w:tcPr>
          <w:p>
            <w:pPr>
              <w:tabs>
                <w:tab w:val="clear" w:pos="426"/>
              </w:tabs>
              <w:adjustRightInd/>
              <w:snapToGrid/>
              <w:spacing w:line="240" w:lineRule="auto"/>
              <w:jc w:val="center"/>
              <w:rPr>
                <w:rFonts w:cs="Arial"/>
                <w:bCs/>
                <w:szCs w:val="21"/>
                <w:highlight w:val="none"/>
              </w:rPr>
            </w:pPr>
            <w:r>
              <w:rPr>
                <w:rFonts w:hint="eastAsia" w:cs="Arial"/>
                <w:bCs/>
                <w:szCs w:val="21"/>
                <w:highlight w:val="none"/>
              </w:rPr>
              <w:t>招标技术要求</w:t>
            </w:r>
          </w:p>
        </w:tc>
        <w:tc>
          <w:tcPr>
            <w:tcW w:w="1593" w:type="dxa"/>
            <w:vAlign w:val="center"/>
          </w:tcPr>
          <w:p>
            <w:pPr>
              <w:tabs>
                <w:tab w:val="clear" w:pos="426"/>
              </w:tabs>
              <w:adjustRightInd/>
              <w:snapToGrid/>
              <w:spacing w:line="240" w:lineRule="auto"/>
              <w:jc w:val="center"/>
              <w:rPr>
                <w:rFonts w:cs="Arial"/>
                <w:bCs/>
                <w:szCs w:val="21"/>
                <w:highlight w:val="none"/>
              </w:rPr>
            </w:pPr>
            <w:r>
              <w:rPr>
                <w:rFonts w:hint="eastAsia" w:cs="Arial"/>
                <w:bCs/>
                <w:szCs w:val="21"/>
                <w:highlight w:val="none"/>
              </w:rPr>
              <w:t>投标技术响应</w:t>
            </w:r>
          </w:p>
        </w:tc>
        <w:tc>
          <w:tcPr>
            <w:tcW w:w="1594" w:type="dxa"/>
            <w:vAlign w:val="center"/>
          </w:tcPr>
          <w:p>
            <w:pPr>
              <w:tabs>
                <w:tab w:val="clear" w:pos="426"/>
              </w:tabs>
              <w:adjustRightInd/>
              <w:snapToGrid/>
              <w:spacing w:line="240" w:lineRule="auto"/>
              <w:jc w:val="center"/>
              <w:rPr>
                <w:rFonts w:cs="Arial"/>
                <w:bCs/>
                <w:szCs w:val="21"/>
                <w:highlight w:val="none"/>
              </w:rPr>
            </w:pPr>
            <w:r>
              <w:rPr>
                <w:rFonts w:hint="eastAsia" w:cs="Arial"/>
                <w:bCs/>
                <w:szCs w:val="21"/>
                <w:highlight w:val="none"/>
              </w:rPr>
              <w:t>偏离情况</w:t>
            </w:r>
          </w:p>
        </w:tc>
        <w:tc>
          <w:tcPr>
            <w:tcW w:w="1594" w:type="dxa"/>
            <w:vAlign w:val="center"/>
          </w:tcPr>
          <w:p>
            <w:pPr>
              <w:tabs>
                <w:tab w:val="clear" w:pos="426"/>
              </w:tabs>
              <w:adjustRightInd/>
              <w:snapToGrid/>
              <w:spacing w:line="240" w:lineRule="auto"/>
              <w:jc w:val="center"/>
              <w:rPr>
                <w:rFonts w:cs="Arial"/>
                <w:bCs/>
                <w:szCs w:val="21"/>
                <w:highlight w:val="none"/>
              </w:rPr>
            </w:pPr>
            <w:r>
              <w:rPr>
                <w:rFonts w:hint="eastAsia" w:cs="Arial"/>
                <w:bCs/>
                <w:szCs w:val="21"/>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1" w:type="dxa"/>
            <w:vAlign w:val="center"/>
          </w:tcPr>
          <w:p>
            <w:pPr>
              <w:tabs>
                <w:tab w:val="clear" w:pos="426"/>
              </w:tabs>
              <w:adjustRightInd/>
              <w:snapToGrid/>
              <w:spacing w:line="240" w:lineRule="auto"/>
              <w:jc w:val="center"/>
              <w:rPr>
                <w:rFonts w:cs="Arial"/>
                <w:bCs/>
                <w:szCs w:val="21"/>
                <w:highlight w:val="none"/>
              </w:rPr>
            </w:pPr>
            <w:r>
              <w:rPr>
                <w:rFonts w:hint="eastAsia" w:cs="Arial"/>
                <w:bCs/>
                <w:szCs w:val="21"/>
                <w:highlight w:val="none"/>
              </w:rPr>
              <w:t>1</w:t>
            </w:r>
          </w:p>
        </w:tc>
        <w:tc>
          <w:tcPr>
            <w:tcW w:w="2375" w:type="dxa"/>
            <w:vAlign w:val="center"/>
          </w:tcPr>
          <w:p>
            <w:pPr>
              <w:tabs>
                <w:tab w:val="clear" w:pos="426"/>
              </w:tabs>
              <w:adjustRightInd/>
              <w:snapToGrid/>
              <w:spacing w:line="240" w:lineRule="auto"/>
              <w:jc w:val="center"/>
              <w:rPr>
                <w:rFonts w:cs="Arial"/>
                <w:bCs/>
                <w:szCs w:val="21"/>
                <w:highlight w:val="none"/>
              </w:rPr>
            </w:pPr>
          </w:p>
        </w:tc>
        <w:tc>
          <w:tcPr>
            <w:tcW w:w="1593" w:type="dxa"/>
            <w:vAlign w:val="center"/>
          </w:tcPr>
          <w:p>
            <w:pPr>
              <w:tabs>
                <w:tab w:val="clear" w:pos="426"/>
              </w:tabs>
              <w:adjustRightInd/>
              <w:snapToGrid/>
              <w:spacing w:line="240" w:lineRule="auto"/>
              <w:jc w:val="center"/>
              <w:rPr>
                <w:rFonts w:cs="Arial"/>
                <w:bCs/>
                <w:szCs w:val="21"/>
                <w:highlight w:val="none"/>
              </w:rPr>
            </w:pPr>
          </w:p>
        </w:tc>
        <w:tc>
          <w:tcPr>
            <w:tcW w:w="1593" w:type="dxa"/>
            <w:vAlign w:val="center"/>
          </w:tcPr>
          <w:p>
            <w:pPr>
              <w:tabs>
                <w:tab w:val="clear" w:pos="426"/>
              </w:tabs>
              <w:adjustRightInd/>
              <w:snapToGrid/>
              <w:spacing w:line="240" w:lineRule="auto"/>
              <w:jc w:val="center"/>
              <w:rPr>
                <w:rFonts w:cs="Arial"/>
                <w:bCs/>
                <w:szCs w:val="21"/>
                <w:highlight w:val="none"/>
              </w:rPr>
            </w:pPr>
          </w:p>
        </w:tc>
        <w:tc>
          <w:tcPr>
            <w:tcW w:w="1594" w:type="dxa"/>
            <w:vAlign w:val="center"/>
          </w:tcPr>
          <w:p>
            <w:pPr>
              <w:tabs>
                <w:tab w:val="clear" w:pos="426"/>
              </w:tabs>
              <w:adjustRightInd/>
              <w:snapToGrid/>
              <w:spacing w:line="240" w:lineRule="auto"/>
              <w:jc w:val="center"/>
              <w:rPr>
                <w:rFonts w:cs="Arial"/>
                <w:bCs/>
                <w:szCs w:val="21"/>
                <w:highlight w:val="none"/>
              </w:rPr>
            </w:pPr>
          </w:p>
        </w:tc>
        <w:tc>
          <w:tcPr>
            <w:tcW w:w="1594" w:type="dxa"/>
            <w:vAlign w:val="center"/>
          </w:tcPr>
          <w:p>
            <w:pPr>
              <w:tabs>
                <w:tab w:val="clear" w:pos="426"/>
              </w:tabs>
              <w:adjustRightInd/>
              <w:snapToGrid/>
              <w:spacing w:line="240" w:lineRule="auto"/>
              <w:jc w:val="center"/>
              <w:rPr>
                <w:rFonts w:cs="Arial"/>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1" w:type="dxa"/>
            <w:vAlign w:val="center"/>
          </w:tcPr>
          <w:p>
            <w:pPr>
              <w:tabs>
                <w:tab w:val="clear" w:pos="426"/>
              </w:tabs>
              <w:adjustRightInd/>
              <w:snapToGrid/>
              <w:spacing w:line="240" w:lineRule="auto"/>
              <w:jc w:val="center"/>
              <w:rPr>
                <w:rFonts w:cs="Arial"/>
                <w:bCs/>
                <w:szCs w:val="21"/>
                <w:highlight w:val="none"/>
              </w:rPr>
            </w:pPr>
            <w:r>
              <w:rPr>
                <w:rFonts w:hint="eastAsia" w:cs="Arial"/>
                <w:bCs/>
                <w:szCs w:val="21"/>
                <w:highlight w:val="none"/>
              </w:rPr>
              <w:t>2</w:t>
            </w:r>
          </w:p>
        </w:tc>
        <w:tc>
          <w:tcPr>
            <w:tcW w:w="2375" w:type="dxa"/>
            <w:vAlign w:val="center"/>
          </w:tcPr>
          <w:p>
            <w:pPr>
              <w:tabs>
                <w:tab w:val="clear" w:pos="426"/>
              </w:tabs>
              <w:adjustRightInd/>
              <w:snapToGrid/>
              <w:spacing w:line="240" w:lineRule="auto"/>
              <w:jc w:val="center"/>
              <w:rPr>
                <w:rFonts w:cs="Arial"/>
                <w:bCs/>
                <w:szCs w:val="21"/>
                <w:highlight w:val="none"/>
              </w:rPr>
            </w:pPr>
          </w:p>
        </w:tc>
        <w:tc>
          <w:tcPr>
            <w:tcW w:w="1593" w:type="dxa"/>
            <w:vAlign w:val="center"/>
          </w:tcPr>
          <w:p>
            <w:pPr>
              <w:tabs>
                <w:tab w:val="clear" w:pos="426"/>
              </w:tabs>
              <w:adjustRightInd/>
              <w:snapToGrid/>
              <w:spacing w:line="240" w:lineRule="auto"/>
              <w:jc w:val="center"/>
              <w:rPr>
                <w:rFonts w:cs="Arial"/>
                <w:bCs/>
                <w:szCs w:val="21"/>
                <w:highlight w:val="none"/>
              </w:rPr>
            </w:pPr>
          </w:p>
        </w:tc>
        <w:tc>
          <w:tcPr>
            <w:tcW w:w="1593" w:type="dxa"/>
            <w:vAlign w:val="center"/>
          </w:tcPr>
          <w:p>
            <w:pPr>
              <w:tabs>
                <w:tab w:val="clear" w:pos="426"/>
              </w:tabs>
              <w:adjustRightInd/>
              <w:snapToGrid/>
              <w:spacing w:line="240" w:lineRule="auto"/>
              <w:jc w:val="center"/>
              <w:rPr>
                <w:rFonts w:cs="Arial"/>
                <w:bCs/>
                <w:szCs w:val="21"/>
                <w:highlight w:val="none"/>
              </w:rPr>
            </w:pPr>
          </w:p>
        </w:tc>
        <w:tc>
          <w:tcPr>
            <w:tcW w:w="1594" w:type="dxa"/>
            <w:vAlign w:val="center"/>
          </w:tcPr>
          <w:p>
            <w:pPr>
              <w:tabs>
                <w:tab w:val="clear" w:pos="426"/>
              </w:tabs>
              <w:adjustRightInd/>
              <w:snapToGrid/>
              <w:spacing w:line="240" w:lineRule="auto"/>
              <w:jc w:val="center"/>
              <w:rPr>
                <w:rFonts w:cs="Arial"/>
                <w:bCs/>
                <w:szCs w:val="21"/>
                <w:highlight w:val="none"/>
              </w:rPr>
            </w:pPr>
          </w:p>
        </w:tc>
        <w:tc>
          <w:tcPr>
            <w:tcW w:w="1594" w:type="dxa"/>
            <w:vAlign w:val="center"/>
          </w:tcPr>
          <w:p>
            <w:pPr>
              <w:tabs>
                <w:tab w:val="clear" w:pos="426"/>
              </w:tabs>
              <w:adjustRightInd/>
              <w:snapToGrid/>
              <w:spacing w:line="240" w:lineRule="auto"/>
              <w:jc w:val="center"/>
              <w:rPr>
                <w:rFonts w:cs="Arial"/>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1" w:type="dxa"/>
            <w:vAlign w:val="center"/>
          </w:tcPr>
          <w:p>
            <w:pPr>
              <w:tabs>
                <w:tab w:val="clear" w:pos="426"/>
              </w:tabs>
              <w:adjustRightInd/>
              <w:snapToGrid/>
              <w:spacing w:line="240" w:lineRule="auto"/>
              <w:jc w:val="center"/>
              <w:rPr>
                <w:rFonts w:cs="Arial"/>
                <w:bCs/>
                <w:szCs w:val="21"/>
                <w:highlight w:val="none"/>
              </w:rPr>
            </w:pPr>
            <w:r>
              <w:rPr>
                <w:rFonts w:hint="eastAsia" w:cs="Arial"/>
                <w:bCs/>
                <w:szCs w:val="21"/>
                <w:highlight w:val="none"/>
              </w:rPr>
              <w:t>3</w:t>
            </w:r>
          </w:p>
        </w:tc>
        <w:tc>
          <w:tcPr>
            <w:tcW w:w="2375" w:type="dxa"/>
            <w:vAlign w:val="center"/>
          </w:tcPr>
          <w:p>
            <w:pPr>
              <w:tabs>
                <w:tab w:val="clear" w:pos="426"/>
              </w:tabs>
              <w:adjustRightInd/>
              <w:snapToGrid/>
              <w:spacing w:line="240" w:lineRule="auto"/>
              <w:jc w:val="center"/>
              <w:rPr>
                <w:rFonts w:cs="Arial"/>
                <w:bCs/>
                <w:szCs w:val="21"/>
                <w:highlight w:val="none"/>
              </w:rPr>
            </w:pPr>
          </w:p>
        </w:tc>
        <w:tc>
          <w:tcPr>
            <w:tcW w:w="1593" w:type="dxa"/>
            <w:vAlign w:val="center"/>
          </w:tcPr>
          <w:p>
            <w:pPr>
              <w:tabs>
                <w:tab w:val="clear" w:pos="426"/>
              </w:tabs>
              <w:adjustRightInd/>
              <w:snapToGrid/>
              <w:spacing w:line="240" w:lineRule="auto"/>
              <w:jc w:val="center"/>
              <w:rPr>
                <w:rFonts w:cs="Arial"/>
                <w:bCs/>
                <w:szCs w:val="21"/>
                <w:highlight w:val="none"/>
              </w:rPr>
            </w:pPr>
          </w:p>
        </w:tc>
        <w:tc>
          <w:tcPr>
            <w:tcW w:w="1593" w:type="dxa"/>
            <w:vAlign w:val="center"/>
          </w:tcPr>
          <w:p>
            <w:pPr>
              <w:tabs>
                <w:tab w:val="clear" w:pos="426"/>
              </w:tabs>
              <w:adjustRightInd/>
              <w:snapToGrid/>
              <w:spacing w:line="240" w:lineRule="auto"/>
              <w:jc w:val="center"/>
              <w:rPr>
                <w:rFonts w:cs="Arial"/>
                <w:bCs/>
                <w:szCs w:val="21"/>
                <w:highlight w:val="none"/>
              </w:rPr>
            </w:pPr>
          </w:p>
        </w:tc>
        <w:tc>
          <w:tcPr>
            <w:tcW w:w="1594" w:type="dxa"/>
            <w:vAlign w:val="center"/>
          </w:tcPr>
          <w:p>
            <w:pPr>
              <w:tabs>
                <w:tab w:val="clear" w:pos="426"/>
              </w:tabs>
              <w:adjustRightInd/>
              <w:snapToGrid/>
              <w:spacing w:line="240" w:lineRule="auto"/>
              <w:jc w:val="center"/>
              <w:rPr>
                <w:rFonts w:cs="Arial"/>
                <w:bCs/>
                <w:szCs w:val="21"/>
                <w:highlight w:val="none"/>
              </w:rPr>
            </w:pPr>
          </w:p>
        </w:tc>
        <w:tc>
          <w:tcPr>
            <w:tcW w:w="1594" w:type="dxa"/>
            <w:vAlign w:val="center"/>
          </w:tcPr>
          <w:p>
            <w:pPr>
              <w:tabs>
                <w:tab w:val="clear" w:pos="426"/>
              </w:tabs>
              <w:adjustRightInd/>
              <w:snapToGrid/>
              <w:spacing w:line="240" w:lineRule="auto"/>
              <w:jc w:val="center"/>
              <w:rPr>
                <w:rFonts w:cs="Arial"/>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1" w:type="dxa"/>
            <w:vAlign w:val="center"/>
          </w:tcPr>
          <w:p>
            <w:pPr>
              <w:tabs>
                <w:tab w:val="clear" w:pos="426"/>
              </w:tabs>
              <w:adjustRightInd/>
              <w:snapToGrid/>
              <w:spacing w:line="240" w:lineRule="auto"/>
              <w:jc w:val="center"/>
              <w:rPr>
                <w:rFonts w:cs="Arial"/>
                <w:bCs/>
                <w:szCs w:val="21"/>
                <w:highlight w:val="none"/>
              </w:rPr>
            </w:pPr>
            <w:r>
              <w:rPr>
                <w:rFonts w:hint="eastAsia" w:cs="Arial"/>
                <w:bCs/>
                <w:szCs w:val="21"/>
                <w:highlight w:val="none"/>
              </w:rPr>
              <w:t>……</w:t>
            </w:r>
          </w:p>
        </w:tc>
        <w:tc>
          <w:tcPr>
            <w:tcW w:w="2375" w:type="dxa"/>
            <w:vAlign w:val="center"/>
          </w:tcPr>
          <w:p>
            <w:pPr>
              <w:tabs>
                <w:tab w:val="clear" w:pos="426"/>
              </w:tabs>
              <w:adjustRightInd/>
              <w:snapToGrid/>
              <w:spacing w:line="240" w:lineRule="auto"/>
              <w:jc w:val="center"/>
              <w:rPr>
                <w:rFonts w:cs="Arial"/>
                <w:bCs/>
                <w:szCs w:val="21"/>
                <w:highlight w:val="none"/>
              </w:rPr>
            </w:pPr>
          </w:p>
        </w:tc>
        <w:tc>
          <w:tcPr>
            <w:tcW w:w="1593" w:type="dxa"/>
            <w:vAlign w:val="center"/>
          </w:tcPr>
          <w:p>
            <w:pPr>
              <w:tabs>
                <w:tab w:val="clear" w:pos="426"/>
              </w:tabs>
              <w:adjustRightInd/>
              <w:snapToGrid/>
              <w:spacing w:line="240" w:lineRule="auto"/>
              <w:jc w:val="center"/>
              <w:rPr>
                <w:rFonts w:cs="Arial"/>
                <w:bCs/>
                <w:szCs w:val="21"/>
                <w:highlight w:val="none"/>
              </w:rPr>
            </w:pPr>
          </w:p>
        </w:tc>
        <w:tc>
          <w:tcPr>
            <w:tcW w:w="1593" w:type="dxa"/>
            <w:vAlign w:val="center"/>
          </w:tcPr>
          <w:p>
            <w:pPr>
              <w:tabs>
                <w:tab w:val="clear" w:pos="426"/>
              </w:tabs>
              <w:adjustRightInd/>
              <w:snapToGrid/>
              <w:spacing w:line="240" w:lineRule="auto"/>
              <w:jc w:val="center"/>
              <w:rPr>
                <w:rFonts w:cs="Arial"/>
                <w:bCs/>
                <w:szCs w:val="21"/>
                <w:highlight w:val="none"/>
              </w:rPr>
            </w:pPr>
          </w:p>
        </w:tc>
        <w:tc>
          <w:tcPr>
            <w:tcW w:w="1594" w:type="dxa"/>
            <w:vAlign w:val="center"/>
          </w:tcPr>
          <w:p>
            <w:pPr>
              <w:tabs>
                <w:tab w:val="clear" w:pos="426"/>
              </w:tabs>
              <w:adjustRightInd/>
              <w:snapToGrid/>
              <w:spacing w:line="240" w:lineRule="auto"/>
              <w:jc w:val="center"/>
              <w:rPr>
                <w:rFonts w:cs="Arial"/>
                <w:bCs/>
                <w:szCs w:val="21"/>
                <w:highlight w:val="none"/>
              </w:rPr>
            </w:pPr>
          </w:p>
        </w:tc>
        <w:tc>
          <w:tcPr>
            <w:tcW w:w="1594" w:type="dxa"/>
            <w:vAlign w:val="center"/>
          </w:tcPr>
          <w:p>
            <w:pPr>
              <w:tabs>
                <w:tab w:val="clear" w:pos="426"/>
              </w:tabs>
              <w:adjustRightInd/>
              <w:snapToGrid/>
              <w:spacing w:line="240" w:lineRule="auto"/>
              <w:jc w:val="center"/>
              <w:rPr>
                <w:rFonts w:cs="Arial"/>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1" w:type="dxa"/>
            <w:vAlign w:val="center"/>
          </w:tcPr>
          <w:p>
            <w:pPr>
              <w:tabs>
                <w:tab w:val="clear" w:pos="426"/>
              </w:tabs>
              <w:adjustRightInd/>
              <w:snapToGrid/>
              <w:spacing w:line="240" w:lineRule="auto"/>
              <w:jc w:val="center"/>
              <w:rPr>
                <w:rFonts w:cs="Arial"/>
                <w:bCs/>
                <w:szCs w:val="21"/>
                <w:highlight w:val="none"/>
              </w:rPr>
            </w:pPr>
            <w:r>
              <w:rPr>
                <w:rFonts w:hint="eastAsia" w:cs="Arial"/>
                <w:bCs/>
                <w:szCs w:val="21"/>
                <w:highlight w:val="none"/>
              </w:rPr>
              <w:t>……</w:t>
            </w:r>
          </w:p>
        </w:tc>
        <w:tc>
          <w:tcPr>
            <w:tcW w:w="2375" w:type="dxa"/>
            <w:vAlign w:val="center"/>
          </w:tcPr>
          <w:p>
            <w:pPr>
              <w:tabs>
                <w:tab w:val="clear" w:pos="426"/>
              </w:tabs>
              <w:adjustRightInd/>
              <w:snapToGrid/>
              <w:spacing w:line="240" w:lineRule="auto"/>
              <w:jc w:val="center"/>
              <w:rPr>
                <w:rFonts w:cs="Arial"/>
                <w:bCs/>
                <w:szCs w:val="21"/>
                <w:highlight w:val="none"/>
              </w:rPr>
            </w:pPr>
          </w:p>
        </w:tc>
        <w:tc>
          <w:tcPr>
            <w:tcW w:w="1593" w:type="dxa"/>
            <w:vAlign w:val="center"/>
          </w:tcPr>
          <w:p>
            <w:pPr>
              <w:tabs>
                <w:tab w:val="clear" w:pos="426"/>
              </w:tabs>
              <w:adjustRightInd/>
              <w:snapToGrid/>
              <w:spacing w:line="240" w:lineRule="auto"/>
              <w:jc w:val="center"/>
              <w:rPr>
                <w:rFonts w:cs="Arial"/>
                <w:bCs/>
                <w:szCs w:val="21"/>
                <w:highlight w:val="none"/>
              </w:rPr>
            </w:pPr>
          </w:p>
        </w:tc>
        <w:tc>
          <w:tcPr>
            <w:tcW w:w="1593" w:type="dxa"/>
            <w:vAlign w:val="center"/>
          </w:tcPr>
          <w:p>
            <w:pPr>
              <w:tabs>
                <w:tab w:val="clear" w:pos="426"/>
              </w:tabs>
              <w:adjustRightInd/>
              <w:snapToGrid/>
              <w:spacing w:line="240" w:lineRule="auto"/>
              <w:jc w:val="center"/>
              <w:rPr>
                <w:rFonts w:cs="Arial"/>
                <w:bCs/>
                <w:szCs w:val="21"/>
                <w:highlight w:val="none"/>
              </w:rPr>
            </w:pPr>
          </w:p>
        </w:tc>
        <w:tc>
          <w:tcPr>
            <w:tcW w:w="1594" w:type="dxa"/>
            <w:vAlign w:val="center"/>
          </w:tcPr>
          <w:p>
            <w:pPr>
              <w:tabs>
                <w:tab w:val="clear" w:pos="426"/>
              </w:tabs>
              <w:adjustRightInd/>
              <w:snapToGrid/>
              <w:spacing w:line="240" w:lineRule="auto"/>
              <w:jc w:val="center"/>
              <w:rPr>
                <w:rFonts w:cs="Arial"/>
                <w:bCs/>
                <w:szCs w:val="21"/>
                <w:highlight w:val="none"/>
              </w:rPr>
            </w:pPr>
          </w:p>
        </w:tc>
        <w:tc>
          <w:tcPr>
            <w:tcW w:w="1594" w:type="dxa"/>
            <w:vAlign w:val="center"/>
          </w:tcPr>
          <w:p>
            <w:pPr>
              <w:tabs>
                <w:tab w:val="clear" w:pos="426"/>
              </w:tabs>
              <w:adjustRightInd/>
              <w:snapToGrid/>
              <w:spacing w:line="240" w:lineRule="auto"/>
              <w:jc w:val="center"/>
              <w:rPr>
                <w:rFonts w:cs="Arial"/>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1" w:type="dxa"/>
            <w:vAlign w:val="center"/>
          </w:tcPr>
          <w:p>
            <w:pPr>
              <w:tabs>
                <w:tab w:val="clear" w:pos="426"/>
              </w:tabs>
              <w:adjustRightInd/>
              <w:snapToGrid/>
              <w:spacing w:line="240" w:lineRule="auto"/>
              <w:jc w:val="center"/>
              <w:rPr>
                <w:rFonts w:cs="Arial"/>
                <w:bCs/>
                <w:szCs w:val="21"/>
                <w:highlight w:val="none"/>
              </w:rPr>
            </w:pPr>
          </w:p>
        </w:tc>
        <w:tc>
          <w:tcPr>
            <w:tcW w:w="2375" w:type="dxa"/>
            <w:vAlign w:val="center"/>
          </w:tcPr>
          <w:p>
            <w:pPr>
              <w:tabs>
                <w:tab w:val="clear" w:pos="426"/>
              </w:tabs>
              <w:adjustRightInd/>
              <w:snapToGrid/>
              <w:spacing w:line="240" w:lineRule="auto"/>
              <w:jc w:val="center"/>
              <w:rPr>
                <w:rFonts w:cs="Arial"/>
                <w:bCs/>
                <w:szCs w:val="21"/>
                <w:highlight w:val="none"/>
              </w:rPr>
            </w:pPr>
          </w:p>
        </w:tc>
        <w:tc>
          <w:tcPr>
            <w:tcW w:w="1593" w:type="dxa"/>
            <w:vAlign w:val="center"/>
          </w:tcPr>
          <w:p>
            <w:pPr>
              <w:tabs>
                <w:tab w:val="clear" w:pos="426"/>
              </w:tabs>
              <w:adjustRightInd/>
              <w:snapToGrid/>
              <w:spacing w:line="240" w:lineRule="auto"/>
              <w:jc w:val="center"/>
              <w:rPr>
                <w:rFonts w:cs="Arial"/>
                <w:bCs/>
                <w:szCs w:val="21"/>
                <w:highlight w:val="none"/>
              </w:rPr>
            </w:pPr>
          </w:p>
        </w:tc>
        <w:tc>
          <w:tcPr>
            <w:tcW w:w="1593" w:type="dxa"/>
            <w:vAlign w:val="center"/>
          </w:tcPr>
          <w:p>
            <w:pPr>
              <w:tabs>
                <w:tab w:val="clear" w:pos="426"/>
              </w:tabs>
              <w:adjustRightInd/>
              <w:snapToGrid/>
              <w:spacing w:line="240" w:lineRule="auto"/>
              <w:jc w:val="center"/>
              <w:rPr>
                <w:rFonts w:cs="Arial"/>
                <w:bCs/>
                <w:szCs w:val="21"/>
                <w:highlight w:val="none"/>
              </w:rPr>
            </w:pPr>
          </w:p>
        </w:tc>
        <w:tc>
          <w:tcPr>
            <w:tcW w:w="1594" w:type="dxa"/>
            <w:vAlign w:val="center"/>
          </w:tcPr>
          <w:p>
            <w:pPr>
              <w:tabs>
                <w:tab w:val="clear" w:pos="426"/>
              </w:tabs>
              <w:adjustRightInd/>
              <w:snapToGrid/>
              <w:spacing w:line="240" w:lineRule="auto"/>
              <w:jc w:val="center"/>
              <w:rPr>
                <w:rFonts w:cs="Arial"/>
                <w:bCs/>
                <w:szCs w:val="21"/>
                <w:highlight w:val="none"/>
              </w:rPr>
            </w:pPr>
          </w:p>
        </w:tc>
        <w:tc>
          <w:tcPr>
            <w:tcW w:w="1594" w:type="dxa"/>
            <w:vAlign w:val="center"/>
          </w:tcPr>
          <w:p>
            <w:pPr>
              <w:tabs>
                <w:tab w:val="clear" w:pos="426"/>
              </w:tabs>
              <w:adjustRightInd/>
              <w:snapToGrid/>
              <w:spacing w:line="240" w:lineRule="auto"/>
              <w:jc w:val="center"/>
              <w:rPr>
                <w:rFonts w:cs="Arial"/>
                <w:bCs/>
                <w:szCs w:val="21"/>
                <w:highlight w:val="none"/>
              </w:rPr>
            </w:pPr>
          </w:p>
        </w:tc>
      </w:tr>
    </w:tbl>
    <w:p>
      <w:pPr>
        <w:tabs>
          <w:tab w:val="clear" w:pos="426"/>
        </w:tabs>
        <w:spacing w:line="240" w:lineRule="auto"/>
        <w:rPr>
          <w:rFonts w:cs="Arial"/>
          <w:bCs/>
          <w:szCs w:val="21"/>
          <w:highlight w:val="none"/>
        </w:rPr>
      </w:pPr>
      <w:bookmarkStart w:id="90" w:name="_Hlk535526122"/>
      <w:r>
        <w:rPr>
          <w:rFonts w:hint="eastAsia" w:cs="Arial"/>
          <w:bCs/>
          <w:szCs w:val="21"/>
          <w:highlight w:val="none"/>
        </w:rPr>
        <w:t>备注：</w:t>
      </w:r>
    </w:p>
    <w:p>
      <w:pPr>
        <w:tabs>
          <w:tab w:val="clear" w:pos="426"/>
        </w:tabs>
        <w:spacing w:line="240" w:lineRule="auto"/>
        <w:ind w:firstLine="420" w:firstLineChars="200"/>
        <w:rPr>
          <w:rFonts w:cs="Arial"/>
          <w:bCs/>
          <w:szCs w:val="21"/>
          <w:highlight w:val="none"/>
        </w:rPr>
      </w:pPr>
      <w:r>
        <w:rPr>
          <w:rFonts w:hint="eastAsia" w:cs="Arial"/>
          <w:bCs/>
          <w:szCs w:val="21"/>
          <w:highlight w:val="none"/>
        </w:rPr>
        <w:t>1.“招标技术要求”一栏应填写招标文件第三章“具体技术要求”的内容，"投标技术响应"一栏必须详细填写投标产品的具体参数，不得照搬照抄招标文件的技术要求，否则评标委员会有权认定为不合格响应，“偏离情况”一栏应如实填写“正偏离”、“负偏离”或“无偏离”。</w:t>
      </w:r>
    </w:p>
    <w:p>
      <w:pPr>
        <w:tabs>
          <w:tab w:val="clear" w:pos="426"/>
        </w:tabs>
        <w:spacing w:line="240" w:lineRule="auto"/>
        <w:ind w:firstLine="420" w:firstLineChars="200"/>
        <w:rPr>
          <w:rFonts w:cs="Arial"/>
          <w:bCs/>
          <w:szCs w:val="21"/>
          <w:highlight w:val="none"/>
        </w:rPr>
      </w:pPr>
      <w:r>
        <w:rPr>
          <w:rFonts w:hint="eastAsia" w:cs="Arial"/>
          <w:bCs/>
          <w:szCs w:val="21"/>
          <w:highlight w:val="none"/>
        </w:rPr>
        <w:t>2.若“招标技术要求”要求对投标产品的技术参数提供相应的证明资料，以证明投标人响应的真实性，投标人应按照招标文件的要求提供证明资料（例如：制造商公布的产品说明书、或产品彩页、或我国政府机构出具的产品检验和核准证件等）。投标人应在"说明"一栏中列出技术参数的证明资料名称，并指明该证明资料在投标文件中的具体位置。</w:t>
      </w:r>
    </w:p>
    <w:p>
      <w:pPr>
        <w:tabs>
          <w:tab w:val="clear" w:pos="426"/>
        </w:tabs>
        <w:spacing w:line="240" w:lineRule="auto"/>
        <w:ind w:firstLine="420" w:firstLineChars="200"/>
        <w:rPr>
          <w:rFonts w:cs="Arial"/>
          <w:bCs/>
          <w:szCs w:val="21"/>
          <w:highlight w:val="none"/>
        </w:rPr>
      </w:pPr>
      <w:r>
        <w:rPr>
          <w:rFonts w:hint="eastAsia" w:cs="Arial"/>
          <w:bCs/>
          <w:szCs w:val="21"/>
          <w:highlight w:val="none"/>
        </w:rPr>
        <w:t>若“招标技术要求”没有要求对投标产品的技术参数提供相应的证明资料，投标人所提供的《技术规格偏离表》即为对招标技术要求作出投标技术响应的书面承诺，投标人在中标后应严格按照承诺内容供货和履约，否则采购人有权将相关情况报政府采购主管部门并依据相关法律法规追究投标人的责任。</w:t>
      </w:r>
    </w:p>
    <w:p>
      <w:pPr>
        <w:tabs>
          <w:tab w:val="clear" w:pos="426"/>
        </w:tabs>
        <w:spacing w:line="240" w:lineRule="auto"/>
        <w:ind w:firstLine="420" w:firstLineChars="200"/>
        <w:rPr>
          <w:rFonts w:cs="Arial"/>
          <w:bCs/>
          <w:szCs w:val="21"/>
          <w:highlight w:val="none"/>
        </w:rPr>
      </w:pPr>
      <w:r>
        <w:rPr>
          <w:rFonts w:hint="eastAsia" w:cs="Arial"/>
          <w:bCs/>
          <w:szCs w:val="21"/>
          <w:highlight w:val="none"/>
        </w:rPr>
        <w:t>3.证明资料（均为原件复印件）的提供要求：</w:t>
      </w:r>
    </w:p>
    <w:p>
      <w:pPr>
        <w:tabs>
          <w:tab w:val="clear" w:pos="426"/>
        </w:tabs>
        <w:spacing w:line="240" w:lineRule="auto"/>
        <w:ind w:firstLine="420" w:firstLineChars="200"/>
        <w:rPr>
          <w:rFonts w:cs="Arial"/>
          <w:bCs/>
          <w:szCs w:val="21"/>
          <w:highlight w:val="none"/>
        </w:rPr>
      </w:pPr>
      <w:r>
        <w:rPr>
          <w:rFonts w:hint="eastAsia" w:cs="Arial"/>
          <w:bCs/>
          <w:szCs w:val="21"/>
          <w:highlight w:val="none"/>
        </w:rPr>
        <w:t>（1）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清晰度应该能够在纸质文件上被阅读、识别和判断；</w:t>
      </w:r>
    </w:p>
    <w:p>
      <w:pPr>
        <w:tabs>
          <w:tab w:val="clear" w:pos="426"/>
        </w:tabs>
        <w:spacing w:line="240" w:lineRule="auto"/>
        <w:ind w:firstLine="420" w:firstLineChars="200"/>
        <w:rPr>
          <w:rFonts w:cs="Arial"/>
          <w:bCs/>
          <w:szCs w:val="21"/>
          <w:highlight w:val="none"/>
        </w:rPr>
      </w:pPr>
      <w:r>
        <w:rPr>
          <w:rFonts w:hint="eastAsia" w:cs="Arial"/>
          <w:bCs/>
          <w:szCs w:val="21"/>
          <w:highlight w:val="none"/>
        </w:rPr>
        <w:t>（2）我国政府机构出具的产品检验和核准证件应为证件正面、背面和附件标注的全部具体内容；产品检验和核准证件的尺寸和清晰度应该能够被阅读、识别和判断。</w:t>
      </w:r>
    </w:p>
    <w:p>
      <w:pPr>
        <w:tabs>
          <w:tab w:val="clear" w:pos="426"/>
        </w:tabs>
        <w:spacing w:line="240" w:lineRule="auto"/>
        <w:ind w:firstLine="420" w:firstLineChars="200"/>
        <w:rPr>
          <w:rFonts w:cs="Arial"/>
          <w:bCs/>
          <w:szCs w:val="21"/>
          <w:highlight w:val="none"/>
        </w:rPr>
      </w:pPr>
      <w:r>
        <w:rPr>
          <w:rFonts w:hint="eastAsia" w:cs="Arial"/>
          <w:bCs/>
          <w:szCs w:val="21"/>
          <w:highlight w:val="none"/>
        </w:rPr>
        <w:t>（3）未达到以上提供要求的，评标委员会有权认定为不合格响应，其相关分数予以扣减。</w:t>
      </w:r>
    </w:p>
    <w:bookmarkEnd w:id="90"/>
    <w:p>
      <w:pPr>
        <w:tabs>
          <w:tab w:val="clear" w:pos="426"/>
        </w:tabs>
        <w:ind w:firstLine="420" w:firstLineChars="200"/>
        <w:rPr>
          <w:rFonts w:cs="Arial"/>
          <w:bCs/>
          <w:szCs w:val="21"/>
          <w:highlight w:val="none"/>
        </w:rPr>
      </w:pPr>
    </w:p>
    <w:p>
      <w:pPr>
        <w:tabs>
          <w:tab w:val="clear" w:pos="426"/>
        </w:tabs>
        <w:ind w:firstLine="420" w:firstLineChars="200"/>
        <w:rPr>
          <w:rFonts w:cs="Arial"/>
          <w:bCs/>
          <w:szCs w:val="21"/>
          <w:highlight w:val="none"/>
        </w:rPr>
      </w:pPr>
    </w:p>
    <w:p>
      <w:pPr>
        <w:numPr>
          <w:ilvl w:val="0"/>
          <w:numId w:val="25"/>
        </w:numPr>
        <w:adjustRightInd/>
        <w:snapToGrid/>
        <w:spacing w:before="280" w:after="290" w:line="377" w:lineRule="auto"/>
        <w:outlineLvl w:val="2"/>
        <w:rPr>
          <w:b/>
          <w:sz w:val="24"/>
          <w:highlight w:val="none"/>
        </w:rPr>
      </w:pPr>
      <w:r>
        <w:rPr>
          <w:spacing w:val="4"/>
          <w:highlight w:val="none"/>
          <w:u w:val="single"/>
        </w:rPr>
        <w:br w:type="page"/>
      </w:r>
      <w:r>
        <w:rPr>
          <w:rFonts w:hint="eastAsia"/>
          <w:b/>
          <w:sz w:val="24"/>
          <w:highlight w:val="none"/>
          <w:lang w:eastAsia="zh-CN"/>
        </w:rPr>
        <w:t>公司实力</w:t>
      </w:r>
    </w:p>
    <w:p>
      <w:pPr>
        <w:numPr>
          <w:ilvl w:val="0"/>
          <w:numId w:val="25"/>
        </w:numPr>
        <w:shd w:val="clear" w:color="auto" w:fill="FFFFFF"/>
        <w:adjustRightInd/>
        <w:snapToGrid/>
        <w:spacing w:before="280" w:after="290" w:line="377" w:lineRule="auto"/>
        <w:outlineLvl w:val="2"/>
        <w:rPr>
          <w:rFonts w:hint="eastAsia"/>
          <w:b/>
          <w:sz w:val="24"/>
          <w:highlight w:val="none"/>
          <w:lang w:eastAsia="zh-CN"/>
        </w:rPr>
      </w:pPr>
      <w:r>
        <w:rPr>
          <w:rFonts w:hint="eastAsia"/>
          <w:b/>
          <w:sz w:val="24"/>
          <w:highlight w:val="none"/>
          <w:lang w:val="en-US" w:eastAsia="zh-CN"/>
        </w:rPr>
        <w:t xml:space="preserve"> </w:t>
      </w:r>
      <w:r>
        <w:rPr>
          <w:rFonts w:hint="eastAsia"/>
          <w:b/>
          <w:sz w:val="24"/>
          <w:highlight w:val="none"/>
          <w:lang w:eastAsia="zh-CN"/>
        </w:rPr>
        <w:t>商务条款偏离情况</w:t>
      </w:r>
    </w:p>
    <w:p>
      <w:pPr>
        <w:widowControl w:val="0"/>
        <w:shd w:val="clear" w:color="auto" w:fill="auto"/>
        <w:tabs>
          <w:tab w:val="clear" w:pos="426"/>
        </w:tabs>
        <w:adjustRightInd/>
        <w:snapToGrid/>
        <w:spacing w:line="300" w:lineRule="auto"/>
        <w:jc w:val="center"/>
        <w:rPr>
          <w:rFonts w:cs="Times New Roman"/>
          <w:bCs/>
          <w:kern w:val="2"/>
          <w:sz w:val="32"/>
          <w:szCs w:val="32"/>
          <w:highlight w:val="none"/>
        </w:rPr>
      </w:pPr>
      <w:r>
        <w:rPr>
          <w:rFonts w:hint="eastAsia"/>
          <w:highlight w:val="none"/>
          <w:lang w:val="en-US" w:eastAsia="zh-CN"/>
        </w:rPr>
        <w:t xml:space="preserve"> </w:t>
      </w:r>
      <w:r>
        <w:rPr>
          <w:rFonts w:hint="eastAsia" w:cs="Times New Roman"/>
          <w:bCs/>
          <w:kern w:val="2"/>
          <w:sz w:val="32"/>
          <w:szCs w:val="32"/>
          <w:highlight w:val="none"/>
        </w:rPr>
        <w:t>商务需求偏离表</w:t>
      </w:r>
    </w:p>
    <w:p>
      <w:pPr>
        <w:tabs>
          <w:tab w:val="clear" w:pos="426"/>
        </w:tabs>
        <w:rPr>
          <w:rFonts w:cs="Arial"/>
          <w:bCs/>
          <w:szCs w:val="21"/>
          <w:highlight w:val="none"/>
        </w:rPr>
      </w:pPr>
    </w:p>
    <w:p>
      <w:pPr>
        <w:tabs>
          <w:tab w:val="clear" w:pos="426"/>
        </w:tabs>
        <w:rPr>
          <w:rFonts w:cs="Arial"/>
          <w:bCs/>
          <w:szCs w:val="21"/>
          <w:highlight w:val="none"/>
        </w:rPr>
      </w:pPr>
      <w:r>
        <w:rPr>
          <w:rFonts w:hint="eastAsia" w:cs="Arial"/>
          <w:bCs/>
          <w:szCs w:val="21"/>
          <w:highlight w:val="none"/>
        </w:rPr>
        <w:t>项目名称：项目编号：包号：</w:t>
      </w:r>
    </w:p>
    <w:tbl>
      <w:tblPr>
        <w:tblStyle w:val="44"/>
        <w:tblW w:w="95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209"/>
        <w:gridCol w:w="82"/>
        <w:gridCol w:w="1862"/>
        <w:gridCol w:w="2659"/>
        <w:gridCol w:w="1169"/>
        <w:gridCol w:w="19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pPr>
              <w:tabs>
                <w:tab w:val="clear" w:pos="426"/>
              </w:tabs>
              <w:spacing w:line="240" w:lineRule="auto"/>
              <w:jc w:val="center"/>
              <w:rPr>
                <w:highlight w:val="none"/>
              </w:rPr>
            </w:pPr>
            <w:r>
              <w:rPr>
                <w:rFonts w:hint="eastAsia"/>
                <w:highlight w:val="none"/>
              </w:rPr>
              <w:t>序号</w:t>
            </w:r>
          </w:p>
        </w:tc>
        <w:tc>
          <w:tcPr>
            <w:tcW w:w="1209" w:type="dxa"/>
            <w:vAlign w:val="center"/>
          </w:tcPr>
          <w:p>
            <w:pPr>
              <w:tabs>
                <w:tab w:val="clear" w:pos="426"/>
              </w:tabs>
              <w:spacing w:line="240" w:lineRule="auto"/>
              <w:jc w:val="center"/>
              <w:rPr>
                <w:highlight w:val="none"/>
              </w:rPr>
            </w:pPr>
            <w:r>
              <w:rPr>
                <w:rFonts w:hint="eastAsia"/>
                <w:highlight w:val="none"/>
              </w:rPr>
              <w:t>目录</w:t>
            </w:r>
          </w:p>
        </w:tc>
        <w:tc>
          <w:tcPr>
            <w:tcW w:w="1944" w:type="dxa"/>
            <w:gridSpan w:val="2"/>
            <w:vAlign w:val="center"/>
          </w:tcPr>
          <w:p>
            <w:pPr>
              <w:tabs>
                <w:tab w:val="clear" w:pos="426"/>
              </w:tabs>
              <w:spacing w:line="240" w:lineRule="auto"/>
              <w:jc w:val="center"/>
              <w:rPr>
                <w:highlight w:val="none"/>
              </w:rPr>
            </w:pPr>
            <w:r>
              <w:rPr>
                <w:rFonts w:hint="eastAsia"/>
                <w:highlight w:val="none"/>
              </w:rPr>
              <w:t>招标商务条款</w:t>
            </w:r>
          </w:p>
        </w:tc>
        <w:tc>
          <w:tcPr>
            <w:tcW w:w="2659" w:type="dxa"/>
            <w:vAlign w:val="center"/>
          </w:tcPr>
          <w:p>
            <w:pPr>
              <w:tabs>
                <w:tab w:val="clear" w:pos="426"/>
              </w:tabs>
              <w:spacing w:line="240" w:lineRule="auto"/>
              <w:jc w:val="center"/>
              <w:rPr>
                <w:highlight w:val="none"/>
              </w:rPr>
            </w:pPr>
            <w:r>
              <w:rPr>
                <w:rFonts w:hint="eastAsia"/>
                <w:highlight w:val="none"/>
              </w:rPr>
              <w:t>投标商务响应</w:t>
            </w:r>
          </w:p>
        </w:tc>
        <w:tc>
          <w:tcPr>
            <w:tcW w:w="1169" w:type="dxa"/>
            <w:vAlign w:val="center"/>
          </w:tcPr>
          <w:p>
            <w:pPr>
              <w:tabs>
                <w:tab w:val="clear" w:pos="426"/>
              </w:tabs>
              <w:spacing w:line="240" w:lineRule="auto"/>
              <w:jc w:val="center"/>
              <w:rPr>
                <w:highlight w:val="none"/>
              </w:rPr>
            </w:pPr>
            <w:r>
              <w:rPr>
                <w:rFonts w:hint="eastAsia"/>
                <w:highlight w:val="none"/>
              </w:rPr>
              <w:t>偏离情况</w:t>
            </w:r>
          </w:p>
        </w:tc>
        <w:tc>
          <w:tcPr>
            <w:tcW w:w="1914" w:type="dxa"/>
            <w:vAlign w:val="center"/>
          </w:tcPr>
          <w:p>
            <w:pPr>
              <w:tabs>
                <w:tab w:val="clear" w:pos="426"/>
              </w:tabs>
              <w:spacing w:line="240" w:lineRule="auto"/>
              <w:jc w:val="center"/>
              <w:rPr>
                <w:highlight w:val="none"/>
              </w:rPr>
            </w:pPr>
            <w:r>
              <w:rPr>
                <w:rFonts w:hint="eastAsia"/>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70" w:type="dxa"/>
            <w:gridSpan w:val="7"/>
            <w:vAlign w:val="center"/>
          </w:tcPr>
          <w:p>
            <w:pPr>
              <w:tabs>
                <w:tab w:val="clear" w:pos="426"/>
              </w:tabs>
              <w:spacing w:line="240" w:lineRule="auto"/>
              <w:jc w:val="left"/>
              <w:rPr>
                <w:highlight w:val="none"/>
              </w:rPr>
            </w:pPr>
            <w:r>
              <w:rPr>
                <w:rFonts w:hint="eastAsia"/>
                <w:highlight w:val="none"/>
              </w:rPr>
              <w:t>（一）免费保修期内售后服务要求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pPr>
              <w:tabs>
                <w:tab w:val="clear" w:pos="426"/>
              </w:tabs>
              <w:spacing w:line="240" w:lineRule="auto"/>
              <w:jc w:val="center"/>
              <w:rPr>
                <w:highlight w:val="none"/>
              </w:rPr>
            </w:pPr>
          </w:p>
        </w:tc>
        <w:tc>
          <w:tcPr>
            <w:tcW w:w="1291" w:type="dxa"/>
            <w:gridSpan w:val="2"/>
            <w:vAlign w:val="center"/>
          </w:tcPr>
          <w:p>
            <w:pPr>
              <w:tabs>
                <w:tab w:val="clear" w:pos="426"/>
              </w:tabs>
              <w:spacing w:line="240" w:lineRule="auto"/>
              <w:jc w:val="center"/>
              <w:rPr>
                <w:highlight w:val="none"/>
              </w:rPr>
            </w:pPr>
          </w:p>
        </w:tc>
        <w:tc>
          <w:tcPr>
            <w:tcW w:w="1862" w:type="dxa"/>
            <w:vAlign w:val="center"/>
          </w:tcPr>
          <w:p>
            <w:pPr>
              <w:tabs>
                <w:tab w:val="clear" w:pos="426"/>
              </w:tabs>
              <w:spacing w:line="240" w:lineRule="auto"/>
              <w:jc w:val="center"/>
              <w:rPr>
                <w:highlight w:val="none"/>
              </w:rPr>
            </w:pPr>
          </w:p>
        </w:tc>
        <w:tc>
          <w:tcPr>
            <w:tcW w:w="2659" w:type="dxa"/>
            <w:vAlign w:val="center"/>
          </w:tcPr>
          <w:p>
            <w:pPr>
              <w:tabs>
                <w:tab w:val="clear" w:pos="426"/>
              </w:tabs>
              <w:spacing w:line="240" w:lineRule="auto"/>
              <w:jc w:val="center"/>
              <w:rPr>
                <w:highlight w:val="none"/>
              </w:rPr>
            </w:pPr>
          </w:p>
        </w:tc>
        <w:tc>
          <w:tcPr>
            <w:tcW w:w="1169" w:type="dxa"/>
            <w:vAlign w:val="center"/>
          </w:tcPr>
          <w:p>
            <w:pPr>
              <w:tabs>
                <w:tab w:val="clear" w:pos="426"/>
              </w:tabs>
              <w:spacing w:line="240" w:lineRule="auto"/>
              <w:jc w:val="center"/>
              <w:rPr>
                <w:highlight w:val="none"/>
              </w:rPr>
            </w:pPr>
          </w:p>
        </w:tc>
        <w:tc>
          <w:tcPr>
            <w:tcW w:w="1914" w:type="dxa"/>
            <w:vAlign w:val="center"/>
          </w:tcPr>
          <w:p>
            <w:pPr>
              <w:tabs>
                <w:tab w:val="clear" w:pos="426"/>
              </w:tabs>
              <w:spacing w:line="240" w:lineRule="auto"/>
              <w:jc w:val="cente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pPr>
              <w:tabs>
                <w:tab w:val="clear" w:pos="426"/>
              </w:tabs>
              <w:spacing w:line="240" w:lineRule="auto"/>
              <w:jc w:val="center"/>
              <w:rPr>
                <w:highlight w:val="none"/>
              </w:rPr>
            </w:pPr>
          </w:p>
        </w:tc>
        <w:tc>
          <w:tcPr>
            <w:tcW w:w="1291" w:type="dxa"/>
            <w:gridSpan w:val="2"/>
            <w:vAlign w:val="center"/>
          </w:tcPr>
          <w:p>
            <w:pPr>
              <w:tabs>
                <w:tab w:val="clear" w:pos="426"/>
              </w:tabs>
              <w:spacing w:line="240" w:lineRule="auto"/>
              <w:jc w:val="center"/>
              <w:rPr>
                <w:highlight w:val="none"/>
              </w:rPr>
            </w:pPr>
          </w:p>
        </w:tc>
        <w:tc>
          <w:tcPr>
            <w:tcW w:w="1862" w:type="dxa"/>
            <w:vAlign w:val="center"/>
          </w:tcPr>
          <w:p>
            <w:pPr>
              <w:tabs>
                <w:tab w:val="clear" w:pos="426"/>
              </w:tabs>
              <w:spacing w:line="240" w:lineRule="auto"/>
              <w:jc w:val="center"/>
              <w:rPr>
                <w:highlight w:val="none"/>
              </w:rPr>
            </w:pPr>
          </w:p>
        </w:tc>
        <w:tc>
          <w:tcPr>
            <w:tcW w:w="2659" w:type="dxa"/>
            <w:vAlign w:val="center"/>
          </w:tcPr>
          <w:p>
            <w:pPr>
              <w:tabs>
                <w:tab w:val="clear" w:pos="426"/>
              </w:tabs>
              <w:spacing w:line="240" w:lineRule="auto"/>
              <w:jc w:val="center"/>
              <w:rPr>
                <w:highlight w:val="none"/>
              </w:rPr>
            </w:pPr>
          </w:p>
        </w:tc>
        <w:tc>
          <w:tcPr>
            <w:tcW w:w="1169" w:type="dxa"/>
            <w:vAlign w:val="center"/>
          </w:tcPr>
          <w:p>
            <w:pPr>
              <w:tabs>
                <w:tab w:val="clear" w:pos="426"/>
              </w:tabs>
              <w:spacing w:line="240" w:lineRule="auto"/>
              <w:jc w:val="center"/>
              <w:rPr>
                <w:highlight w:val="none"/>
              </w:rPr>
            </w:pPr>
          </w:p>
        </w:tc>
        <w:tc>
          <w:tcPr>
            <w:tcW w:w="1914" w:type="dxa"/>
            <w:vAlign w:val="center"/>
          </w:tcPr>
          <w:p>
            <w:pPr>
              <w:tabs>
                <w:tab w:val="clear" w:pos="426"/>
              </w:tabs>
              <w:spacing w:line="240" w:lineRule="auto"/>
              <w:jc w:val="cente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pPr>
              <w:tabs>
                <w:tab w:val="clear" w:pos="426"/>
              </w:tabs>
              <w:spacing w:line="240" w:lineRule="auto"/>
              <w:jc w:val="center"/>
              <w:rPr>
                <w:highlight w:val="none"/>
              </w:rPr>
            </w:pPr>
          </w:p>
        </w:tc>
        <w:tc>
          <w:tcPr>
            <w:tcW w:w="1291" w:type="dxa"/>
            <w:gridSpan w:val="2"/>
            <w:vAlign w:val="center"/>
          </w:tcPr>
          <w:p>
            <w:pPr>
              <w:tabs>
                <w:tab w:val="clear" w:pos="426"/>
              </w:tabs>
              <w:spacing w:line="240" w:lineRule="auto"/>
              <w:jc w:val="center"/>
              <w:rPr>
                <w:highlight w:val="none"/>
              </w:rPr>
            </w:pPr>
          </w:p>
        </w:tc>
        <w:tc>
          <w:tcPr>
            <w:tcW w:w="1862" w:type="dxa"/>
            <w:vAlign w:val="center"/>
          </w:tcPr>
          <w:p>
            <w:pPr>
              <w:tabs>
                <w:tab w:val="clear" w:pos="426"/>
              </w:tabs>
              <w:spacing w:line="240" w:lineRule="auto"/>
              <w:jc w:val="center"/>
              <w:rPr>
                <w:highlight w:val="none"/>
              </w:rPr>
            </w:pPr>
          </w:p>
        </w:tc>
        <w:tc>
          <w:tcPr>
            <w:tcW w:w="2659" w:type="dxa"/>
            <w:vAlign w:val="center"/>
          </w:tcPr>
          <w:p>
            <w:pPr>
              <w:tabs>
                <w:tab w:val="clear" w:pos="426"/>
              </w:tabs>
              <w:spacing w:line="240" w:lineRule="auto"/>
              <w:jc w:val="center"/>
              <w:rPr>
                <w:highlight w:val="none"/>
              </w:rPr>
            </w:pPr>
          </w:p>
        </w:tc>
        <w:tc>
          <w:tcPr>
            <w:tcW w:w="1169" w:type="dxa"/>
            <w:vAlign w:val="center"/>
          </w:tcPr>
          <w:p>
            <w:pPr>
              <w:tabs>
                <w:tab w:val="clear" w:pos="426"/>
              </w:tabs>
              <w:spacing w:line="240" w:lineRule="auto"/>
              <w:jc w:val="center"/>
              <w:rPr>
                <w:highlight w:val="none"/>
              </w:rPr>
            </w:pPr>
          </w:p>
        </w:tc>
        <w:tc>
          <w:tcPr>
            <w:tcW w:w="1914" w:type="dxa"/>
            <w:vAlign w:val="center"/>
          </w:tcPr>
          <w:p>
            <w:pPr>
              <w:tabs>
                <w:tab w:val="clear" w:pos="426"/>
              </w:tabs>
              <w:spacing w:line="240" w:lineRule="auto"/>
              <w:jc w:val="cente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70" w:type="dxa"/>
            <w:gridSpan w:val="7"/>
            <w:vAlign w:val="center"/>
          </w:tcPr>
          <w:p>
            <w:pPr>
              <w:tabs>
                <w:tab w:val="clear" w:pos="426"/>
              </w:tabs>
              <w:spacing w:line="240" w:lineRule="auto"/>
              <w:jc w:val="left"/>
              <w:rPr>
                <w:highlight w:val="none"/>
              </w:rPr>
            </w:pPr>
            <w:r>
              <w:rPr>
                <w:rFonts w:hint="eastAsia"/>
                <w:highlight w:val="none"/>
              </w:rPr>
              <w:t>（二）免费保修期外售后服务要求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pPr>
              <w:tabs>
                <w:tab w:val="clear" w:pos="426"/>
              </w:tabs>
              <w:spacing w:line="240" w:lineRule="auto"/>
              <w:jc w:val="center"/>
              <w:rPr>
                <w:highlight w:val="none"/>
              </w:rPr>
            </w:pPr>
          </w:p>
        </w:tc>
        <w:tc>
          <w:tcPr>
            <w:tcW w:w="1291" w:type="dxa"/>
            <w:gridSpan w:val="2"/>
            <w:vAlign w:val="center"/>
          </w:tcPr>
          <w:p>
            <w:pPr>
              <w:tabs>
                <w:tab w:val="clear" w:pos="426"/>
              </w:tabs>
              <w:spacing w:line="240" w:lineRule="auto"/>
              <w:jc w:val="center"/>
              <w:rPr>
                <w:highlight w:val="none"/>
              </w:rPr>
            </w:pPr>
          </w:p>
        </w:tc>
        <w:tc>
          <w:tcPr>
            <w:tcW w:w="1862" w:type="dxa"/>
            <w:vAlign w:val="center"/>
          </w:tcPr>
          <w:p>
            <w:pPr>
              <w:tabs>
                <w:tab w:val="clear" w:pos="426"/>
              </w:tabs>
              <w:spacing w:line="240" w:lineRule="auto"/>
              <w:jc w:val="center"/>
              <w:rPr>
                <w:highlight w:val="none"/>
              </w:rPr>
            </w:pPr>
          </w:p>
        </w:tc>
        <w:tc>
          <w:tcPr>
            <w:tcW w:w="2659" w:type="dxa"/>
            <w:vAlign w:val="center"/>
          </w:tcPr>
          <w:p>
            <w:pPr>
              <w:tabs>
                <w:tab w:val="clear" w:pos="426"/>
              </w:tabs>
              <w:spacing w:line="240" w:lineRule="auto"/>
              <w:jc w:val="center"/>
              <w:rPr>
                <w:highlight w:val="none"/>
              </w:rPr>
            </w:pPr>
          </w:p>
        </w:tc>
        <w:tc>
          <w:tcPr>
            <w:tcW w:w="1169" w:type="dxa"/>
            <w:vAlign w:val="center"/>
          </w:tcPr>
          <w:p>
            <w:pPr>
              <w:tabs>
                <w:tab w:val="clear" w:pos="426"/>
              </w:tabs>
              <w:spacing w:line="240" w:lineRule="auto"/>
              <w:jc w:val="center"/>
              <w:rPr>
                <w:highlight w:val="none"/>
              </w:rPr>
            </w:pPr>
          </w:p>
        </w:tc>
        <w:tc>
          <w:tcPr>
            <w:tcW w:w="1914" w:type="dxa"/>
            <w:vAlign w:val="center"/>
          </w:tcPr>
          <w:p>
            <w:pPr>
              <w:tabs>
                <w:tab w:val="clear" w:pos="426"/>
              </w:tabs>
              <w:spacing w:line="240" w:lineRule="auto"/>
              <w:jc w:val="cente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pPr>
              <w:tabs>
                <w:tab w:val="clear" w:pos="426"/>
              </w:tabs>
              <w:spacing w:line="240" w:lineRule="auto"/>
              <w:jc w:val="center"/>
              <w:rPr>
                <w:highlight w:val="none"/>
              </w:rPr>
            </w:pPr>
          </w:p>
        </w:tc>
        <w:tc>
          <w:tcPr>
            <w:tcW w:w="1291" w:type="dxa"/>
            <w:gridSpan w:val="2"/>
            <w:vAlign w:val="center"/>
          </w:tcPr>
          <w:p>
            <w:pPr>
              <w:tabs>
                <w:tab w:val="clear" w:pos="426"/>
              </w:tabs>
              <w:spacing w:line="240" w:lineRule="auto"/>
              <w:jc w:val="center"/>
              <w:rPr>
                <w:highlight w:val="none"/>
              </w:rPr>
            </w:pPr>
          </w:p>
        </w:tc>
        <w:tc>
          <w:tcPr>
            <w:tcW w:w="1862" w:type="dxa"/>
            <w:vAlign w:val="center"/>
          </w:tcPr>
          <w:p>
            <w:pPr>
              <w:tabs>
                <w:tab w:val="clear" w:pos="426"/>
              </w:tabs>
              <w:spacing w:line="240" w:lineRule="auto"/>
              <w:jc w:val="center"/>
              <w:rPr>
                <w:highlight w:val="none"/>
              </w:rPr>
            </w:pPr>
          </w:p>
        </w:tc>
        <w:tc>
          <w:tcPr>
            <w:tcW w:w="2659" w:type="dxa"/>
            <w:vAlign w:val="center"/>
          </w:tcPr>
          <w:p>
            <w:pPr>
              <w:tabs>
                <w:tab w:val="clear" w:pos="426"/>
              </w:tabs>
              <w:spacing w:line="240" w:lineRule="auto"/>
              <w:jc w:val="center"/>
              <w:rPr>
                <w:highlight w:val="none"/>
              </w:rPr>
            </w:pPr>
          </w:p>
        </w:tc>
        <w:tc>
          <w:tcPr>
            <w:tcW w:w="1169" w:type="dxa"/>
            <w:vAlign w:val="center"/>
          </w:tcPr>
          <w:p>
            <w:pPr>
              <w:tabs>
                <w:tab w:val="clear" w:pos="426"/>
              </w:tabs>
              <w:spacing w:line="240" w:lineRule="auto"/>
              <w:jc w:val="center"/>
              <w:rPr>
                <w:highlight w:val="none"/>
              </w:rPr>
            </w:pPr>
          </w:p>
        </w:tc>
        <w:tc>
          <w:tcPr>
            <w:tcW w:w="1914" w:type="dxa"/>
            <w:vAlign w:val="center"/>
          </w:tcPr>
          <w:p>
            <w:pPr>
              <w:tabs>
                <w:tab w:val="clear" w:pos="426"/>
              </w:tabs>
              <w:spacing w:line="240" w:lineRule="auto"/>
              <w:jc w:val="cente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pPr>
              <w:tabs>
                <w:tab w:val="clear" w:pos="426"/>
              </w:tabs>
              <w:spacing w:line="240" w:lineRule="auto"/>
              <w:jc w:val="center"/>
              <w:rPr>
                <w:highlight w:val="none"/>
              </w:rPr>
            </w:pPr>
          </w:p>
        </w:tc>
        <w:tc>
          <w:tcPr>
            <w:tcW w:w="1291" w:type="dxa"/>
            <w:gridSpan w:val="2"/>
            <w:vAlign w:val="center"/>
          </w:tcPr>
          <w:p>
            <w:pPr>
              <w:tabs>
                <w:tab w:val="clear" w:pos="426"/>
              </w:tabs>
              <w:spacing w:line="240" w:lineRule="auto"/>
              <w:jc w:val="center"/>
              <w:rPr>
                <w:highlight w:val="none"/>
              </w:rPr>
            </w:pPr>
          </w:p>
        </w:tc>
        <w:tc>
          <w:tcPr>
            <w:tcW w:w="1862" w:type="dxa"/>
            <w:vAlign w:val="center"/>
          </w:tcPr>
          <w:p>
            <w:pPr>
              <w:tabs>
                <w:tab w:val="clear" w:pos="426"/>
              </w:tabs>
              <w:spacing w:line="240" w:lineRule="auto"/>
              <w:jc w:val="center"/>
              <w:rPr>
                <w:highlight w:val="none"/>
              </w:rPr>
            </w:pPr>
          </w:p>
        </w:tc>
        <w:tc>
          <w:tcPr>
            <w:tcW w:w="2659" w:type="dxa"/>
            <w:vAlign w:val="center"/>
          </w:tcPr>
          <w:p>
            <w:pPr>
              <w:tabs>
                <w:tab w:val="clear" w:pos="426"/>
              </w:tabs>
              <w:spacing w:line="240" w:lineRule="auto"/>
              <w:jc w:val="center"/>
              <w:rPr>
                <w:highlight w:val="none"/>
              </w:rPr>
            </w:pPr>
          </w:p>
        </w:tc>
        <w:tc>
          <w:tcPr>
            <w:tcW w:w="1169" w:type="dxa"/>
            <w:vAlign w:val="center"/>
          </w:tcPr>
          <w:p>
            <w:pPr>
              <w:tabs>
                <w:tab w:val="clear" w:pos="426"/>
              </w:tabs>
              <w:spacing w:line="240" w:lineRule="auto"/>
              <w:jc w:val="center"/>
              <w:rPr>
                <w:highlight w:val="none"/>
              </w:rPr>
            </w:pPr>
          </w:p>
        </w:tc>
        <w:tc>
          <w:tcPr>
            <w:tcW w:w="1914" w:type="dxa"/>
            <w:vAlign w:val="center"/>
          </w:tcPr>
          <w:p>
            <w:pPr>
              <w:tabs>
                <w:tab w:val="clear" w:pos="426"/>
              </w:tabs>
              <w:spacing w:line="240" w:lineRule="auto"/>
              <w:jc w:val="cente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70" w:type="dxa"/>
            <w:gridSpan w:val="7"/>
            <w:vAlign w:val="center"/>
          </w:tcPr>
          <w:p>
            <w:pPr>
              <w:tabs>
                <w:tab w:val="clear" w:pos="426"/>
              </w:tabs>
              <w:spacing w:line="240" w:lineRule="auto"/>
              <w:jc w:val="left"/>
              <w:rPr>
                <w:highlight w:val="none"/>
              </w:rPr>
            </w:pPr>
            <w:r>
              <w:rPr>
                <w:rFonts w:hint="eastAsia"/>
                <w:highlight w:val="none"/>
              </w:rPr>
              <w:t>（三）其他商务要求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pPr>
              <w:tabs>
                <w:tab w:val="clear" w:pos="426"/>
              </w:tabs>
              <w:spacing w:line="240" w:lineRule="auto"/>
              <w:jc w:val="center"/>
              <w:rPr>
                <w:highlight w:val="none"/>
              </w:rPr>
            </w:pPr>
          </w:p>
        </w:tc>
        <w:tc>
          <w:tcPr>
            <w:tcW w:w="1291" w:type="dxa"/>
            <w:gridSpan w:val="2"/>
            <w:vAlign w:val="center"/>
          </w:tcPr>
          <w:p>
            <w:pPr>
              <w:tabs>
                <w:tab w:val="clear" w:pos="426"/>
              </w:tabs>
              <w:spacing w:line="240" w:lineRule="auto"/>
              <w:jc w:val="center"/>
              <w:rPr>
                <w:highlight w:val="none"/>
              </w:rPr>
            </w:pPr>
          </w:p>
        </w:tc>
        <w:tc>
          <w:tcPr>
            <w:tcW w:w="1862" w:type="dxa"/>
            <w:vAlign w:val="center"/>
          </w:tcPr>
          <w:p>
            <w:pPr>
              <w:tabs>
                <w:tab w:val="clear" w:pos="426"/>
              </w:tabs>
              <w:spacing w:line="240" w:lineRule="auto"/>
              <w:jc w:val="center"/>
              <w:rPr>
                <w:highlight w:val="none"/>
              </w:rPr>
            </w:pPr>
          </w:p>
        </w:tc>
        <w:tc>
          <w:tcPr>
            <w:tcW w:w="2659" w:type="dxa"/>
            <w:vAlign w:val="center"/>
          </w:tcPr>
          <w:p>
            <w:pPr>
              <w:tabs>
                <w:tab w:val="clear" w:pos="426"/>
              </w:tabs>
              <w:spacing w:line="240" w:lineRule="auto"/>
              <w:jc w:val="center"/>
              <w:rPr>
                <w:highlight w:val="none"/>
              </w:rPr>
            </w:pPr>
          </w:p>
        </w:tc>
        <w:tc>
          <w:tcPr>
            <w:tcW w:w="1169" w:type="dxa"/>
            <w:vAlign w:val="center"/>
          </w:tcPr>
          <w:p>
            <w:pPr>
              <w:tabs>
                <w:tab w:val="clear" w:pos="426"/>
              </w:tabs>
              <w:spacing w:line="240" w:lineRule="auto"/>
              <w:jc w:val="center"/>
              <w:rPr>
                <w:highlight w:val="none"/>
              </w:rPr>
            </w:pPr>
          </w:p>
        </w:tc>
        <w:tc>
          <w:tcPr>
            <w:tcW w:w="1914" w:type="dxa"/>
            <w:vAlign w:val="center"/>
          </w:tcPr>
          <w:p>
            <w:pPr>
              <w:tabs>
                <w:tab w:val="clear" w:pos="426"/>
              </w:tabs>
              <w:spacing w:line="240" w:lineRule="auto"/>
              <w:jc w:val="cente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pPr>
              <w:tabs>
                <w:tab w:val="clear" w:pos="426"/>
              </w:tabs>
              <w:spacing w:line="240" w:lineRule="auto"/>
              <w:jc w:val="center"/>
              <w:rPr>
                <w:highlight w:val="none"/>
              </w:rPr>
            </w:pPr>
          </w:p>
        </w:tc>
        <w:tc>
          <w:tcPr>
            <w:tcW w:w="1291" w:type="dxa"/>
            <w:gridSpan w:val="2"/>
            <w:vAlign w:val="center"/>
          </w:tcPr>
          <w:p>
            <w:pPr>
              <w:tabs>
                <w:tab w:val="clear" w:pos="426"/>
              </w:tabs>
              <w:spacing w:line="240" w:lineRule="auto"/>
              <w:jc w:val="center"/>
              <w:rPr>
                <w:highlight w:val="none"/>
              </w:rPr>
            </w:pPr>
          </w:p>
        </w:tc>
        <w:tc>
          <w:tcPr>
            <w:tcW w:w="1862" w:type="dxa"/>
            <w:vAlign w:val="center"/>
          </w:tcPr>
          <w:p>
            <w:pPr>
              <w:tabs>
                <w:tab w:val="clear" w:pos="426"/>
              </w:tabs>
              <w:spacing w:line="240" w:lineRule="auto"/>
              <w:jc w:val="center"/>
              <w:rPr>
                <w:highlight w:val="none"/>
              </w:rPr>
            </w:pPr>
          </w:p>
        </w:tc>
        <w:tc>
          <w:tcPr>
            <w:tcW w:w="2659" w:type="dxa"/>
            <w:vAlign w:val="center"/>
          </w:tcPr>
          <w:p>
            <w:pPr>
              <w:tabs>
                <w:tab w:val="clear" w:pos="426"/>
              </w:tabs>
              <w:spacing w:line="240" w:lineRule="auto"/>
              <w:jc w:val="center"/>
              <w:rPr>
                <w:highlight w:val="none"/>
              </w:rPr>
            </w:pPr>
          </w:p>
        </w:tc>
        <w:tc>
          <w:tcPr>
            <w:tcW w:w="1169" w:type="dxa"/>
            <w:vAlign w:val="center"/>
          </w:tcPr>
          <w:p>
            <w:pPr>
              <w:tabs>
                <w:tab w:val="clear" w:pos="426"/>
              </w:tabs>
              <w:spacing w:line="240" w:lineRule="auto"/>
              <w:jc w:val="center"/>
              <w:rPr>
                <w:highlight w:val="none"/>
              </w:rPr>
            </w:pPr>
          </w:p>
        </w:tc>
        <w:tc>
          <w:tcPr>
            <w:tcW w:w="1914" w:type="dxa"/>
            <w:vAlign w:val="center"/>
          </w:tcPr>
          <w:p>
            <w:pPr>
              <w:tabs>
                <w:tab w:val="clear" w:pos="426"/>
              </w:tabs>
              <w:spacing w:line="240" w:lineRule="auto"/>
              <w:jc w:val="cente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pPr>
              <w:tabs>
                <w:tab w:val="clear" w:pos="426"/>
              </w:tabs>
              <w:spacing w:line="240" w:lineRule="auto"/>
              <w:jc w:val="center"/>
              <w:rPr>
                <w:highlight w:val="none"/>
              </w:rPr>
            </w:pPr>
          </w:p>
        </w:tc>
        <w:tc>
          <w:tcPr>
            <w:tcW w:w="1291" w:type="dxa"/>
            <w:gridSpan w:val="2"/>
            <w:vAlign w:val="center"/>
          </w:tcPr>
          <w:p>
            <w:pPr>
              <w:rPr>
                <w:highlight w:val="none"/>
              </w:rPr>
            </w:pPr>
          </w:p>
        </w:tc>
        <w:tc>
          <w:tcPr>
            <w:tcW w:w="1862" w:type="dxa"/>
            <w:vAlign w:val="center"/>
          </w:tcPr>
          <w:p>
            <w:pPr>
              <w:tabs>
                <w:tab w:val="clear" w:pos="426"/>
              </w:tabs>
              <w:spacing w:line="240" w:lineRule="auto"/>
              <w:jc w:val="center"/>
              <w:rPr>
                <w:highlight w:val="none"/>
              </w:rPr>
            </w:pPr>
          </w:p>
        </w:tc>
        <w:tc>
          <w:tcPr>
            <w:tcW w:w="2659" w:type="dxa"/>
            <w:vAlign w:val="center"/>
          </w:tcPr>
          <w:p>
            <w:pPr>
              <w:tabs>
                <w:tab w:val="clear" w:pos="426"/>
              </w:tabs>
              <w:spacing w:line="240" w:lineRule="auto"/>
              <w:jc w:val="center"/>
              <w:rPr>
                <w:highlight w:val="none"/>
              </w:rPr>
            </w:pPr>
          </w:p>
        </w:tc>
        <w:tc>
          <w:tcPr>
            <w:tcW w:w="1169" w:type="dxa"/>
            <w:vAlign w:val="center"/>
          </w:tcPr>
          <w:p>
            <w:pPr>
              <w:tabs>
                <w:tab w:val="clear" w:pos="426"/>
              </w:tabs>
              <w:spacing w:line="240" w:lineRule="auto"/>
              <w:jc w:val="center"/>
              <w:rPr>
                <w:highlight w:val="none"/>
              </w:rPr>
            </w:pPr>
          </w:p>
        </w:tc>
        <w:tc>
          <w:tcPr>
            <w:tcW w:w="1914" w:type="dxa"/>
            <w:vAlign w:val="center"/>
          </w:tcPr>
          <w:p>
            <w:pPr>
              <w:tabs>
                <w:tab w:val="clear" w:pos="426"/>
              </w:tabs>
              <w:spacing w:line="240" w:lineRule="auto"/>
              <w:jc w:val="center"/>
              <w:rPr>
                <w:highlight w:val="none"/>
              </w:rPr>
            </w:pPr>
          </w:p>
        </w:tc>
      </w:tr>
    </w:tbl>
    <w:p>
      <w:pPr>
        <w:tabs>
          <w:tab w:val="clear" w:pos="426"/>
        </w:tabs>
        <w:rPr>
          <w:rFonts w:cs="Arial"/>
          <w:bCs/>
          <w:szCs w:val="21"/>
          <w:highlight w:val="none"/>
        </w:rPr>
      </w:pPr>
      <w:r>
        <w:rPr>
          <w:rFonts w:hint="eastAsia" w:cs="Arial"/>
          <w:bCs/>
          <w:szCs w:val="21"/>
          <w:highlight w:val="none"/>
        </w:rPr>
        <w:t>备注：</w:t>
      </w:r>
    </w:p>
    <w:p>
      <w:pPr>
        <w:tabs>
          <w:tab w:val="clear" w:pos="426"/>
        </w:tabs>
        <w:ind w:firstLine="630" w:firstLineChars="300"/>
        <w:rPr>
          <w:rFonts w:cs="Arial"/>
          <w:bCs/>
          <w:szCs w:val="21"/>
          <w:highlight w:val="none"/>
        </w:rPr>
      </w:pPr>
      <w:r>
        <w:rPr>
          <w:rFonts w:hint="eastAsia" w:cs="Arial"/>
          <w:bCs/>
          <w:szCs w:val="21"/>
          <w:highlight w:val="none"/>
        </w:rPr>
        <w:t>1. “招标商务条款”一栏必须填写招标文件第三章“商务需求”的内容进行填写。</w:t>
      </w:r>
    </w:p>
    <w:p>
      <w:pPr>
        <w:tabs>
          <w:tab w:val="clear" w:pos="426"/>
        </w:tabs>
        <w:ind w:firstLine="630" w:firstLineChars="300"/>
        <w:rPr>
          <w:rFonts w:cs="Arial"/>
          <w:bCs/>
          <w:szCs w:val="21"/>
          <w:highlight w:val="none"/>
        </w:rPr>
      </w:pPr>
      <w:r>
        <w:rPr>
          <w:rFonts w:hint="eastAsia" w:cs="Arial"/>
          <w:bCs/>
          <w:szCs w:val="21"/>
          <w:highlight w:val="none"/>
        </w:rPr>
        <w:t>2. “投标商务响应</w:t>
      </w:r>
      <w:r>
        <w:rPr>
          <w:rFonts w:cs="Arial"/>
          <w:bCs/>
          <w:szCs w:val="21"/>
          <w:highlight w:val="none"/>
        </w:rPr>
        <w:t>”</w:t>
      </w:r>
      <w:r>
        <w:rPr>
          <w:rFonts w:hint="eastAsia" w:cs="Arial"/>
          <w:bCs/>
          <w:szCs w:val="21"/>
          <w:highlight w:val="none"/>
        </w:rPr>
        <w:t>一栏必须详细填写投标商务条款的内容。</w:t>
      </w:r>
    </w:p>
    <w:p>
      <w:pPr>
        <w:tabs>
          <w:tab w:val="clear" w:pos="426"/>
        </w:tabs>
        <w:ind w:firstLine="630" w:firstLineChars="300"/>
        <w:rPr>
          <w:rFonts w:cs="Arial"/>
          <w:bCs/>
          <w:szCs w:val="21"/>
          <w:highlight w:val="none"/>
        </w:rPr>
      </w:pPr>
      <w:r>
        <w:rPr>
          <w:rFonts w:hint="eastAsia" w:cs="Arial"/>
          <w:bCs/>
          <w:szCs w:val="21"/>
          <w:highlight w:val="none"/>
        </w:rPr>
        <w:t>3.“偏离情况”栏中应填写“正偏离”、“负偏离”或 “无偏离</w:t>
      </w:r>
      <w:r>
        <w:rPr>
          <w:rFonts w:cs="Arial"/>
          <w:bCs/>
          <w:szCs w:val="21"/>
          <w:highlight w:val="none"/>
        </w:rPr>
        <w:t>”</w:t>
      </w:r>
      <w:r>
        <w:rPr>
          <w:rFonts w:hint="eastAsia" w:cs="Arial"/>
          <w:bCs/>
          <w:szCs w:val="21"/>
          <w:highlight w:val="none"/>
        </w:rPr>
        <w:t>。</w:t>
      </w:r>
    </w:p>
    <w:p>
      <w:pPr>
        <w:tabs>
          <w:tab w:val="clear" w:pos="426"/>
        </w:tabs>
        <w:ind w:firstLine="420" w:firstLineChars="200"/>
        <w:rPr>
          <w:rFonts w:cs="Arial"/>
          <w:bCs/>
          <w:szCs w:val="21"/>
          <w:highlight w:val="none"/>
        </w:rPr>
      </w:pPr>
    </w:p>
    <w:p>
      <w:pPr>
        <w:tabs>
          <w:tab w:val="clear" w:pos="426"/>
        </w:tabs>
        <w:ind w:firstLine="420" w:firstLineChars="200"/>
        <w:rPr>
          <w:rFonts w:cs="Arial"/>
          <w:bCs/>
          <w:szCs w:val="21"/>
          <w:highlight w:val="none"/>
        </w:rPr>
      </w:pPr>
    </w:p>
    <w:p>
      <w:pPr>
        <w:shd w:val="clear" w:color="auto" w:fill="auto"/>
        <w:tabs>
          <w:tab w:val="clear" w:pos="426"/>
        </w:tabs>
        <w:adjustRightInd/>
        <w:snapToGrid/>
        <w:spacing w:line="240" w:lineRule="auto"/>
        <w:jc w:val="left"/>
        <w:rPr>
          <w:b/>
          <w:sz w:val="24"/>
          <w:highlight w:val="none"/>
        </w:rPr>
      </w:pPr>
    </w:p>
    <w:p>
      <w:pPr>
        <w:widowControl w:val="0"/>
        <w:shd w:val="clear" w:color="auto" w:fill="auto"/>
        <w:tabs>
          <w:tab w:val="clear" w:pos="426"/>
        </w:tabs>
        <w:adjustRightInd/>
        <w:snapToGrid/>
        <w:spacing w:line="300" w:lineRule="auto"/>
        <w:jc w:val="center"/>
        <w:rPr>
          <w:rFonts w:cs="Times New Roman"/>
          <w:bCs/>
          <w:kern w:val="2"/>
          <w:sz w:val="32"/>
          <w:szCs w:val="32"/>
          <w:highlight w:val="none"/>
        </w:rPr>
      </w:pPr>
    </w:p>
    <w:p>
      <w:pPr>
        <w:numPr>
          <w:ilvl w:val="0"/>
          <w:numId w:val="25"/>
        </w:numPr>
        <w:adjustRightInd/>
        <w:snapToGrid/>
        <w:spacing w:before="280" w:after="290" w:line="377" w:lineRule="auto"/>
        <w:outlineLvl w:val="2"/>
        <w:rPr>
          <w:b/>
          <w:sz w:val="24"/>
          <w:highlight w:val="none"/>
        </w:rPr>
      </w:pPr>
      <w:r>
        <w:rPr>
          <w:rFonts w:hint="eastAsia"/>
          <w:b/>
          <w:sz w:val="24"/>
          <w:highlight w:val="none"/>
        </w:rPr>
        <w:t>同类业绩情况一览表</w:t>
      </w:r>
    </w:p>
    <w:p>
      <w:pPr>
        <w:widowControl w:val="0"/>
        <w:shd w:val="clear" w:color="auto" w:fill="auto"/>
        <w:tabs>
          <w:tab w:val="clear" w:pos="426"/>
        </w:tabs>
        <w:adjustRightInd/>
        <w:snapToGrid/>
        <w:spacing w:line="300" w:lineRule="auto"/>
        <w:jc w:val="center"/>
        <w:rPr>
          <w:rFonts w:cs="Times New Roman"/>
          <w:bCs/>
          <w:kern w:val="2"/>
          <w:sz w:val="32"/>
          <w:szCs w:val="32"/>
          <w:highlight w:val="none"/>
        </w:rPr>
      </w:pPr>
      <w:bookmarkStart w:id="91" w:name="_Toc480789487"/>
      <w:bookmarkStart w:id="92" w:name="_Toc480756083"/>
      <w:bookmarkStart w:id="93" w:name="_Toc52165085"/>
      <w:bookmarkStart w:id="94" w:name="_Toc275865617"/>
      <w:bookmarkStart w:id="95" w:name="_Toc50737333"/>
      <w:bookmarkStart w:id="96" w:name="_Toc50737301"/>
      <w:bookmarkStart w:id="97" w:name="_Toc50691044"/>
      <w:bookmarkStart w:id="98" w:name="_Toc50736481"/>
      <w:bookmarkStart w:id="99" w:name="_Toc480754216"/>
      <w:bookmarkStart w:id="100" w:name="_Toc480755937"/>
      <w:r>
        <w:rPr>
          <w:rFonts w:hint="eastAsia" w:cs="Times New Roman"/>
          <w:bCs/>
          <w:kern w:val="2"/>
          <w:sz w:val="32"/>
          <w:szCs w:val="32"/>
          <w:highlight w:val="none"/>
        </w:rPr>
        <w:t>同类业绩情况一览表</w:t>
      </w:r>
      <w:bookmarkEnd w:id="91"/>
      <w:bookmarkEnd w:id="92"/>
      <w:bookmarkEnd w:id="93"/>
      <w:bookmarkEnd w:id="94"/>
      <w:bookmarkEnd w:id="95"/>
      <w:bookmarkEnd w:id="96"/>
      <w:bookmarkEnd w:id="97"/>
      <w:bookmarkEnd w:id="98"/>
      <w:bookmarkEnd w:id="99"/>
      <w:bookmarkEnd w:id="100"/>
    </w:p>
    <w:p>
      <w:pPr>
        <w:tabs>
          <w:tab w:val="clear" w:pos="426"/>
        </w:tabs>
        <w:wordWrap w:val="0"/>
        <w:rPr>
          <w:highlight w:val="none"/>
        </w:rPr>
      </w:pPr>
    </w:p>
    <w:p>
      <w:pPr>
        <w:tabs>
          <w:tab w:val="clear" w:pos="426"/>
        </w:tabs>
        <w:wordWrap w:val="0"/>
        <w:rPr>
          <w:highlight w:val="none"/>
          <w:u w:val="single"/>
        </w:rPr>
      </w:pPr>
      <w:r>
        <w:rPr>
          <w:rFonts w:hint="eastAsia"/>
          <w:highlight w:val="none"/>
        </w:rPr>
        <w:t>项目名称：项目编号：</w:t>
      </w:r>
    </w:p>
    <w:p>
      <w:pPr>
        <w:tabs>
          <w:tab w:val="clear" w:pos="426"/>
        </w:tabs>
        <w:spacing w:line="440" w:lineRule="exact"/>
        <w:jc w:val="center"/>
        <w:rPr>
          <w:b/>
          <w:bCs/>
          <w:sz w:val="28"/>
          <w:szCs w:val="28"/>
          <w:highlight w:val="none"/>
        </w:rPr>
      </w:pPr>
      <w:r>
        <w:rPr>
          <w:rFonts w:hint="eastAsia"/>
          <w:b/>
          <w:bCs/>
          <w:sz w:val="28"/>
          <w:szCs w:val="28"/>
          <w:highlight w:val="none"/>
        </w:rPr>
        <w:t>（格式自定）</w:t>
      </w:r>
    </w:p>
    <w:p>
      <w:pPr>
        <w:tabs>
          <w:tab w:val="clear" w:pos="426"/>
        </w:tabs>
        <w:spacing w:line="440" w:lineRule="exact"/>
        <w:rPr>
          <w:bCs/>
          <w:highlight w:val="none"/>
        </w:rPr>
      </w:pPr>
    </w:p>
    <w:p>
      <w:pPr>
        <w:tabs>
          <w:tab w:val="clear" w:pos="426"/>
        </w:tabs>
        <w:spacing w:line="440" w:lineRule="exact"/>
        <w:rPr>
          <w:bCs/>
          <w:highlight w:val="none"/>
        </w:rPr>
      </w:pPr>
    </w:p>
    <w:p>
      <w:pPr>
        <w:tabs>
          <w:tab w:val="clear" w:pos="426"/>
        </w:tabs>
        <w:spacing w:line="440" w:lineRule="exact"/>
        <w:rPr>
          <w:bCs/>
          <w:highlight w:val="none"/>
        </w:rPr>
      </w:pPr>
    </w:p>
    <w:p>
      <w:pPr>
        <w:tabs>
          <w:tab w:val="clear" w:pos="426"/>
        </w:tabs>
        <w:spacing w:line="440" w:lineRule="exact"/>
        <w:rPr>
          <w:bCs/>
          <w:highlight w:val="none"/>
        </w:rPr>
      </w:pPr>
    </w:p>
    <w:p>
      <w:pPr>
        <w:tabs>
          <w:tab w:val="clear" w:pos="426"/>
        </w:tabs>
        <w:spacing w:line="440" w:lineRule="exact"/>
        <w:rPr>
          <w:szCs w:val="21"/>
          <w:highlight w:val="none"/>
        </w:rPr>
      </w:pPr>
      <w:r>
        <w:rPr>
          <w:rFonts w:hint="eastAsia"/>
          <w:bCs/>
          <w:highlight w:val="none"/>
        </w:rPr>
        <w:t>备注：</w:t>
      </w:r>
      <w:r>
        <w:rPr>
          <w:rFonts w:hint="eastAsia"/>
          <w:szCs w:val="21"/>
          <w:highlight w:val="none"/>
        </w:rPr>
        <w:t>根据评审表的要求提交相应资料。</w:t>
      </w:r>
    </w:p>
    <w:p>
      <w:pPr>
        <w:tabs>
          <w:tab w:val="clear" w:pos="426"/>
        </w:tabs>
        <w:spacing w:line="500" w:lineRule="exact"/>
        <w:rPr>
          <w:sz w:val="24"/>
          <w:highlight w:val="none"/>
        </w:rPr>
      </w:pPr>
    </w:p>
    <w:p>
      <w:pPr>
        <w:tabs>
          <w:tab w:val="clear" w:pos="426"/>
        </w:tabs>
        <w:spacing w:line="500" w:lineRule="exact"/>
        <w:rPr>
          <w:sz w:val="24"/>
          <w:highlight w:val="none"/>
        </w:rPr>
      </w:pPr>
    </w:p>
    <w:p>
      <w:pPr>
        <w:numPr>
          <w:ilvl w:val="0"/>
          <w:numId w:val="25"/>
        </w:numPr>
        <w:adjustRightInd/>
        <w:snapToGrid/>
        <w:spacing w:before="280" w:after="290" w:line="377" w:lineRule="auto"/>
        <w:outlineLvl w:val="2"/>
        <w:rPr>
          <w:b/>
          <w:sz w:val="24"/>
          <w:highlight w:val="none"/>
        </w:rPr>
      </w:pPr>
      <w:r>
        <w:rPr>
          <w:spacing w:val="4"/>
          <w:highlight w:val="none"/>
          <w:u w:val="single"/>
        </w:rPr>
        <w:br w:type="page"/>
      </w:r>
      <w:r>
        <w:rPr>
          <w:rFonts w:hint="eastAsia"/>
          <w:b/>
          <w:bCs/>
          <w:sz w:val="24"/>
          <w:highlight w:val="none"/>
        </w:rPr>
        <w:t>中小企业声明函及残疾人福利性单位声明函（或省级以上监狱管理局、戒毒管理局（含新疆生产建设兵团）出具的属于监狱企业的证明文件）（可选）</w:t>
      </w:r>
    </w:p>
    <w:p>
      <w:pPr>
        <w:tabs>
          <w:tab w:val="clear" w:pos="426"/>
        </w:tabs>
        <w:ind w:left="-2" w:leftChars="-1" w:firstLine="420" w:firstLineChars="200"/>
        <w:rPr>
          <w:bCs/>
          <w:szCs w:val="21"/>
          <w:highlight w:val="none"/>
        </w:rPr>
      </w:pPr>
      <w:r>
        <w:rPr>
          <w:rFonts w:hint="eastAsia"/>
          <w:bCs/>
          <w:szCs w:val="21"/>
          <w:highlight w:val="none"/>
        </w:rPr>
        <w:t>（</w:t>
      </w:r>
      <w:r>
        <w:rPr>
          <w:bCs/>
          <w:szCs w:val="21"/>
          <w:highlight w:val="none"/>
        </w:rPr>
        <w:t>1）中小企业声明函（仅限中小企业）</w:t>
      </w:r>
    </w:p>
    <w:p>
      <w:pPr>
        <w:tabs>
          <w:tab w:val="clear" w:pos="426"/>
        </w:tabs>
        <w:ind w:left="-2" w:leftChars="-1" w:firstLine="420" w:firstLineChars="200"/>
        <w:rPr>
          <w:bCs/>
          <w:szCs w:val="21"/>
          <w:highlight w:val="none"/>
        </w:rPr>
      </w:pPr>
    </w:p>
    <w:p>
      <w:pPr>
        <w:tabs>
          <w:tab w:val="clear" w:pos="426"/>
        </w:tabs>
        <w:ind w:left="-2" w:leftChars="-1" w:firstLine="420" w:firstLineChars="200"/>
        <w:rPr>
          <w:bCs/>
          <w:szCs w:val="21"/>
          <w:highlight w:val="none"/>
        </w:rPr>
      </w:pPr>
      <w:r>
        <w:rPr>
          <w:rFonts w:hint="eastAsia"/>
          <w:bCs/>
          <w:szCs w:val="21"/>
          <w:highlight w:val="none"/>
        </w:rPr>
        <w:t>本公司郑重声明，根据《政府采购促进中小企业发展暂行办法》（财库〔</w:t>
      </w:r>
      <w:r>
        <w:rPr>
          <w:bCs/>
          <w:szCs w:val="21"/>
          <w:highlight w:val="none"/>
        </w:rPr>
        <w:t>2011〕181号）的规定，本公司为______（请填写：中型、小型、微型）企业。即，本公司同时满足以下条件：</w:t>
      </w:r>
    </w:p>
    <w:p>
      <w:pPr>
        <w:tabs>
          <w:tab w:val="clear" w:pos="426"/>
        </w:tabs>
        <w:ind w:left="-2" w:leftChars="-1" w:firstLine="420" w:firstLineChars="200"/>
        <w:rPr>
          <w:bCs/>
          <w:szCs w:val="21"/>
          <w:highlight w:val="none"/>
        </w:rPr>
      </w:pPr>
      <w:r>
        <w:rPr>
          <w:bCs/>
          <w:szCs w:val="21"/>
          <w:highlight w:val="none"/>
        </w:rPr>
        <w:t>1.根据《工业和信息化部、国家统计局、国家发展和改革委员会、财政部关于印发中小企业划型标准规定的通知》（工信部联企业〔2011〕300号）规定的划分标准，本公司为______（请填写：中型、小型、微型）企业。</w:t>
      </w:r>
    </w:p>
    <w:p>
      <w:pPr>
        <w:tabs>
          <w:tab w:val="clear" w:pos="426"/>
        </w:tabs>
        <w:ind w:left="-2" w:leftChars="-1" w:firstLine="420" w:firstLineChars="200"/>
        <w:rPr>
          <w:bCs/>
          <w:szCs w:val="21"/>
          <w:highlight w:val="none"/>
        </w:rPr>
      </w:pPr>
      <w:r>
        <w:rPr>
          <w:bCs/>
          <w:szCs w:val="21"/>
          <w:highlight w:val="none"/>
        </w:rPr>
        <w:t>2.本公司参加______单位的______项目采购活动提供本企业制造的货物，由本企业承担工程、提供服务，或者提供其他______（请填写：中型、小型、微型）企业制造的货物。本条所称货物不包括使用大型企业注册商标的货物。</w:t>
      </w:r>
    </w:p>
    <w:p>
      <w:pPr>
        <w:tabs>
          <w:tab w:val="clear" w:pos="426"/>
        </w:tabs>
        <w:ind w:left="-2" w:leftChars="-1" w:firstLine="420" w:firstLineChars="200"/>
        <w:rPr>
          <w:bCs/>
          <w:szCs w:val="21"/>
          <w:highlight w:val="none"/>
        </w:rPr>
      </w:pPr>
      <w:r>
        <w:rPr>
          <w:rFonts w:hint="eastAsia"/>
          <w:bCs/>
          <w:szCs w:val="21"/>
          <w:highlight w:val="none"/>
        </w:rPr>
        <w:t>本公司对上述声明的真实性负责。如有虚假，将依法承担相应责任。</w:t>
      </w:r>
    </w:p>
    <w:p>
      <w:pPr>
        <w:tabs>
          <w:tab w:val="clear" w:pos="426"/>
        </w:tabs>
        <w:ind w:left="-2" w:leftChars="-1" w:firstLine="420" w:firstLineChars="200"/>
        <w:rPr>
          <w:bCs/>
          <w:szCs w:val="21"/>
          <w:highlight w:val="none"/>
        </w:rPr>
      </w:pPr>
    </w:p>
    <w:p>
      <w:pPr>
        <w:tabs>
          <w:tab w:val="clear" w:pos="426"/>
        </w:tabs>
        <w:ind w:left="-2" w:leftChars="-1" w:firstLine="420" w:firstLineChars="200"/>
        <w:rPr>
          <w:bCs/>
          <w:szCs w:val="21"/>
          <w:highlight w:val="none"/>
        </w:rPr>
      </w:pPr>
      <w:r>
        <w:rPr>
          <w:rFonts w:hint="eastAsia"/>
          <w:bCs/>
          <w:szCs w:val="21"/>
          <w:highlight w:val="none"/>
        </w:rPr>
        <w:t>（</w:t>
      </w:r>
      <w:r>
        <w:rPr>
          <w:bCs/>
          <w:szCs w:val="21"/>
          <w:highlight w:val="none"/>
        </w:rPr>
        <w:t>2）残疾人福利性单位声明函（仅限残疾人福利性单位）</w:t>
      </w:r>
    </w:p>
    <w:p>
      <w:pPr>
        <w:tabs>
          <w:tab w:val="clear" w:pos="426"/>
        </w:tabs>
        <w:ind w:left="-2" w:leftChars="-1" w:firstLine="420" w:firstLineChars="200"/>
        <w:rPr>
          <w:bCs/>
          <w:szCs w:val="21"/>
          <w:highlight w:val="none"/>
        </w:rPr>
      </w:pPr>
    </w:p>
    <w:p>
      <w:pPr>
        <w:tabs>
          <w:tab w:val="clear" w:pos="426"/>
        </w:tabs>
        <w:ind w:left="-2" w:leftChars="-1" w:firstLine="420" w:firstLineChars="200"/>
        <w:rPr>
          <w:bCs/>
          <w:szCs w:val="21"/>
          <w:highlight w:val="none"/>
        </w:rPr>
      </w:pPr>
      <w:r>
        <w:rPr>
          <w:rFonts w:hint="eastAsia"/>
          <w:bCs/>
          <w:szCs w:val="21"/>
          <w:highlight w:val="none"/>
        </w:rPr>
        <w:t>本单位郑重声明，根据《财政部</w:t>
      </w:r>
      <w:r>
        <w:rPr>
          <w:bCs/>
          <w:szCs w:val="21"/>
          <w:highlight w:val="none"/>
        </w:rPr>
        <w:t xml:space="preserve">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tabs>
          <w:tab w:val="clear" w:pos="426"/>
        </w:tabs>
        <w:ind w:left="-2" w:leftChars="-1" w:firstLine="420" w:firstLineChars="200"/>
        <w:rPr>
          <w:bCs/>
          <w:szCs w:val="21"/>
          <w:highlight w:val="none"/>
        </w:rPr>
      </w:pPr>
      <w:r>
        <w:rPr>
          <w:rFonts w:hint="eastAsia"/>
          <w:bCs/>
          <w:szCs w:val="21"/>
          <w:highlight w:val="none"/>
        </w:rPr>
        <w:t>本单位对上述声明的真实性负责。如有虚假，将依法承担相应责任。</w:t>
      </w:r>
    </w:p>
    <w:p>
      <w:pPr>
        <w:tabs>
          <w:tab w:val="clear" w:pos="426"/>
        </w:tabs>
        <w:ind w:left="-2" w:leftChars="-1" w:firstLine="420" w:firstLineChars="200"/>
        <w:rPr>
          <w:bCs/>
          <w:szCs w:val="21"/>
          <w:highlight w:val="none"/>
        </w:rPr>
      </w:pPr>
    </w:p>
    <w:p>
      <w:pPr>
        <w:tabs>
          <w:tab w:val="clear" w:pos="426"/>
        </w:tabs>
        <w:ind w:left="-2" w:leftChars="-1" w:firstLine="420" w:firstLineChars="200"/>
        <w:rPr>
          <w:bCs/>
          <w:szCs w:val="21"/>
          <w:highlight w:val="none"/>
          <w:lang w:val="en-GB"/>
        </w:rPr>
      </w:pPr>
      <w:r>
        <w:rPr>
          <w:rFonts w:hint="eastAsia"/>
          <w:bCs/>
          <w:szCs w:val="21"/>
          <w:highlight w:val="none"/>
        </w:rPr>
        <w:t>（</w:t>
      </w:r>
      <w:r>
        <w:rPr>
          <w:bCs/>
          <w:szCs w:val="21"/>
          <w:highlight w:val="none"/>
        </w:rPr>
        <w:t>3）省级以上监狱管理局、戒毒管理局（含新疆生产建设兵团）出具的属于监狱企业的证明文件（仅限监狱企业，格式自定）</w:t>
      </w:r>
    </w:p>
    <w:p>
      <w:pPr>
        <w:tabs>
          <w:tab w:val="clear" w:pos="426"/>
        </w:tabs>
        <w:ind w:firstLine="420" w:firstLineChars="200"/>
        <w:rPr>
          <w:highlight w:val="none"/>
        </w:rPr>
      </w:pPr>
    </w:p>
    <w:p>
      <w:pPr>
        <w:tabs>
          <w:tab w:val="clear" w:pos="426"/>
        </w:tabs>
        <w:spacing w:line="500" w:lineRule="exact"/>
        <w:rPr>
          <w:highlight w:val="none"/>
          <w:u w:val="single"/>
        </w:rPr>
      </w:pPr>
      <w:r>
        <w:rPr>
          <w:rFonts w:hint="eastAsia"/>
          <w:spacing w:val="4"/>
          <w:highlight w:val="none"/>
        </w:rPr>
        <w:t>投标人名称（盖公章）：</w:t>
      </w:r>
    </w:p>
    <w:p>
      <w:pPr>
        <w:tabs>
          <w:tab w:val="clear" w:pos="426"/>
        </w:tabs>
        <w:spacing w:line="440" w:lineRule="exact"/>
        <w:rPr>
          <w:spacing w:val="4"/>
          <w:highlight w:val="none"/>
        </w:rPr>
      </w:pPr>
      <w:r>
        <w:rPr>
          <w:rFonts w:hint="eastAsia"/>
          <w:highlight w:val="none"/>
        </w:rPr>
        <w:t>法定代表人或投标人授权代表（签名或盖章）：</w:t>
      </w:r>
    </w:p>
    <w:p>
      <w:pPr>
        <w:tabs>
          <w:tab w:val="clear" w:pos="426"/>
        </w:tabs>
        <w:spacing w:line="440" w:lineRule="exact"/>
        <w:rPr>
          <w:spacing w:val="4"/>
          <w:highlight w:val="none"/>
          <w:u w:val="single"/>
        </w:rPr>
      </w:pPr>
      <w:r>
        <w:rPr>
          <w:rFonts w:hint="eastAsia"/>
          <w:spacing w:val="4"/>
          <w:highlight w:val="none"/>
        </w:rPr>
        <w:t>职务：</w:t>
      </w:r>
    </w:p>
    <w:p>
      <w:pPr>
        <w:tabs>
          <w:tab w:val="clear" w:pos="426"/>
        </w:tabs>
        <w:spacing w:line="440" w:lineRule="exact"/>
        <w:rPr>
          <w:spacing w:val="4"/>
          <w:highlight w:val="none"/>
          <w:u w:val="single"/>
        </w:rPr>
      </w:pPr>
      <w:r>
        <w:rPr>
          <w:rFonts w:hint="eastAsia"/>
          <w:spacing w:val="4"/>
          <w:highlight w:val="none"/>
        </w:rPr>
        <w:t>日期：</w:t>
      </w:r>
    </w:p>
    <w:p>
      <w:pPr>
        <w:tabs>
          <w:tab w:val="clear" w:pos="426"/>
        </w:tabs>
        <w:spacing w:line="440" w:lineRule="exact"/>
        <w:rPr>
          <w:rFonts w:cs="Times New Roman"/>
          <w:bCs/>
          <w:kern w:val="2"/>
          <w:sz w:val="32"/>
          <w:szCs w:val="32"/>
          <w:highlight w:val="none"/>
        </w:rPr>
      </w:pPr>
    </w:p>
    <w:p>
      <w:pPr>
        <w:tabs>
          <w:tab w:val="clear" w:pos="426"/>
        </w:tabs>
        <w:spacing w:line="500" w:lineRule="exact"/>
        <w:rPr>
          <w:sz w:val="24"/>
          <w:highlight w:val="none"/>
        </w:rPr>
      </w:pPr>
    </w:p>
    <w:p>
      <w:pPr>
        <w:numPr>
          <w:ilvl w:val="0"/>
          <w:numId w:val="25"/>
        </w:numPr>
        <w:adjustRightInd/>
        <w:snapToGrid/>
        <w:spacing w:before="280" w:after="290" w:line="377" w:lineRule="auto"/>
        <w:outlineLvl w:val="2"/>
        <w:rPr>
          <w:b/>
          <w:sz w:val="24"/>
          <w:highlight w:val="none"/>
        </w:rPr>
      </w:pPr>
      <w:r>
        <w:rPr>
          <w:highlight w:val="none"/>
        </w:rPr>
        <w:br w:type="page"/>
      </w:r>
      <w:r>
        <w:rPr>
          <w:rFonts w:hint="eastAsia"/>
          <w:b/>
          <w:sz w:val="24"/>
          <w:highlight w:val="none"/>
        </w:rPr>
        <w:t>招标代理服务费承诺书</w:t>
      </w:r>
    </w:p>
    <w:p>
      <w:pPr>
        <w:widowControl w:val="0"/>
        <w:shd w:val="clear" w:color="auto" w:fill="auto"/>
        <w:tabs>
          <w:tab w:val="clear" w:pos="426"/>
        </w:tabs>
        <w:adjustRightInd/>
        <w:snapToGrid/>
        <w:spacing w:line="300" w:lineRule="auto"/>
        <w:jc w:val="center"/>
        <w:outlineLvl w:val="2"/>
        <w:rPr>
          <w:rFonts w:cs="Times New Roman"/>
          <w:bCs/>
          <w:kern w:val="2"/>
          <w:sz w:val="32"/>
          <w:szCs w:val="32"/>
          <w:highlight w:val="none"/>
        </w:rPr>
      </w:pPr>
      <w:bookmarkStart w:id="101" w:name="_Toc275865624"/>
      <w:bookmarkStart w:id="102" w:name="_Toc480754217"/>
      <w:bookmarkStart w:id="103" w:name="_Toc480755938"/>
      <w:bookmarkStart w:id="104" w:name="_Toc480756084"/>
      <w:bookmarkStart w:id="105" w:name="_Toc480789488"/>
      <w:r>
        <w:rPr>
          <w:rFonts w:hint="eastAsia" w:cs="Times New Roman"/>
          <w:bCs/>
          <w:kern w:val="2"/>
          <w:sz w:val="32"/>
          <w:szCs w:val="32"/>
          <w:highlight w:val="none"/>
        </w:rPr>
        <w:t>招标代理服务费承诺书</w:t>
      </w:r>
      <w:bookmarkEnd w:id="101"/>
      <w:bookmarkEnd w:id="102"/>
      <w:bookmarkEnd w:id="103"/>
      <w:bookmarkEnd w:id="104"/>
      <w:bookmarkEnd w:id="105"/>
    </w:p>
    <w:p>
      <w:pPr>
        <w:tabs>
          <w:tab w:val="clear" w:pos="426"/>
        </w:tabs>
        <w:adjustRightInd/>
        <w:snapToGrid/>
        <w:rPr>
          <w:b/>
          <w:highlight w:val="none"/>
        </w:rPr>
      </w:pPr>
    </w:p>
    <w:p>
      <w:pPr>
        <w:tabs>
          <w:tab w:val="clear" w:pos="426"/>
        </w:tabs>
        <w:adjustRightInd/>
        <w:snapToGrid/>
        <w:rPr>
          <w:b/>
          <w:highlight w:val="none"/>
        </w:rPr>
      </w:pPr>
      <w:r>
        <w:rPr>
          <w:rFonts w:hint="eastAsia"/>
          <w:b/>
          <w:highlight w:val="none"/>
        </w:rPr>
        <w:t>深圳市深水水务咨询有限公司：</w:t>
      </w:r>
    </w:p>
    <w:p>
      <w:pPr>
        <w:tabs>
          <w:tab w:val="clear" w:pos="426"/>
        </w:tabs>
        <w:adjustRightInd/>
        <w:snapToGrid/>
        <w:ind w:firstLine="420" w:firstLineChars="200"/>
        <w:rPr>
          <w:szCs w:val="21"/>
          <w:highlight w:val="none"/>
        </w:rPr>
      </w:pPr>
      <w:r>
        <w:rPr>
          <w:rFonts w:hint="eastAsia"/>
          <w:highlight w:val="none"/>
        </w:rPr>
        <w:t>本公司</w:t>
      </w:r>
      <w:r>
        <w:rPr>
          <w:rFonts w:hint="eastAsia"/>
          <w:highlight w:val="none"/>
          <w:u w:val="single"/>
        </w:rPr>
        <w:t xml:space="preserve"> (投标人名称)  </w:t>
      </w:r>
      <w:r>
        <w:rPr>
          <w:rFonts w:hint="eastAsia"/>
          <w:highlight w:val="none"/>
        </w:rPr>
        <w:t>在参加</w:t>
      </w:r>
      <w:r>
        <w:rPr>
          <w:rFonts w:hint="eastAsia"/>
          <w:highlight w:val="none"/>
          <w:u w:val="single"/>
        </w:rPr>
        <w:t>（项目名称）</w:t>
      </w:r>
      <w:r>
        <w:rPr>
          <w:rFonts w:hint="eastAsia"/>
          <w:highlight w:val="none"/>
        </w:rPr>
        <w:t>(项目编号：</w:t>
      </w:r>
      <w:r>
        <w:rPr>
          <w:rFonts w:hint="eastAsia"/>
          <w:highlight w:val="none"/>
          <w:u w:val="single"/>
        </w:rPr>
        <w:t>（项目编号）</w:t>
      </w:r>
      <w:r>
        <w:rPr>
          <w:rFonts w:hint="eastAsia"/>
          <w:highlight w:val="none"/>
        </w:rPr>
        <w:t>)的招标中如获中标</w:t>
      </w:r>
      <w:r>
        <w:rPr>
          <w:rFonts w:hint="eastAsia"/>
          <w:szCs w:val="21"/>
          <w:highlight w:val="none"/>
        </w:rPr>
        <w:t>，我公司保证按照招标文件</w:t>
      </w:r>
      <w:r>
        <w:rPr>
          <w:rFonts w:hint="eastAsia"/>
          <w:highlight w:val="none"/>
        </w:rPr>
        <w:t>的</w:t>
      </w:r>
      <w:r>
        <w:rPr>
          <w:rFonts w:hint="eastAsia"/>
          <w:szCs w:val="21"/>
          <w:highlight w:val="none"/>
        </w:rPr>
        <w:t>规定缴纳“招标代理服务费”后，凭领取人身份证复印件并加盖公章领取《中标通知书》。如采用电汇或银行转账，我</w:t>
      </w:r>
      <w:r>
        <w:rPr>
          <w:rFonts w:hint="eastAsia"/>
          <w:highlight w:val="none"/>
        </w:rPr>
        <w:t>公</w:t>
      </w:r>
      <w:r>
        <w:rPr>
          <w:rFonts w:hint="eastAsia"/>
          <w:szCs w:val="21"/>
          <w:highlight w:val="none"/>
        </w:rPr>
        <w:t>司将同时递交招标代理服务费缴费凭证复印件并加盖公章。</w:t>
      </w:r>
    </w:p>
    <w:p>
      <w:pPr>
        <w:tabs>
          <w:tab w:val="clear" w:pos="426"/>
        </w:tabs>
        <w:adjustRightInd/>
        <w:snapToGrid/>
        <w:ind w:firstLine="420" w:firstLineChars="200"/>
        <w:rPr>
          <w:highlight w:val="none"/>
        </w:rPr>
      </w:pPr>
      <w:r>
        <w:rPr>
          <w:rFonts w:hint="eastAsia"/>
          <w:highlight w:val="none"/>
        </w:rPr>
        <w:t>如我公司违反上款承诺，愿凭贵公司开出的相关通知，同意（采购代理机构名称）办理支付手续，并愿承担由此引起的一切法律责任。</w:t>
      </w:r>
    </w:p>
    <w:p>
      <w:pPr>
        <w:tabs>
          <w:tab w:val="clear" w:pos="426"/>
        </w:tabs>
        <w:adjustRightInd/>
        <w:snapToGrid/>
        <w:ind w:firstLine="420" w:firstLineChars="200"/>
        <w:rPr>
          <w:highlight w:val="none"/>
        </w:rPr>
      </w:pPr>
      <w:r>
        <w:rPr>
          <w:rFonts w:hint="eastAsia"/>
          <w:highlight w:val="none"/>
        </w:rPr>
        <w:t>特此承诺!</w:t>
      </w:r>
    </w:p>
    <w:p>
      <w:pPr>
        <w:tabs>
          <w:tab w:val="clear" w:pos="426"/>
        </w:tabs>
        <w:spacing w:line="520" w:lineRule="exact"/>
        <w:ind w:left="424" w:leftChars="202"/>
        <w:rPr>
          <w:highlight w:val="none"/>
          <w:u w:val="single"/>
        </w:rPr>
      </w:pPr>
      <w:r>
        <w:rPr>
          <w:rFonts w:hint="eastAsia"/>
          <w:highlight w:val="none"/>
        </w:rPr>
        <w:t>投标人名称(盖公章):</w:t>
      </w:r>
    </w:p>
    <w:p>
      <w:pPr>
        <w:tabs>
          <w:tab w:val="clear" w:pos="426"/>
        </w:tabs>
        <w:spacing w:line="520" w:lineRule="exact"/>
        <w:ind w:left="424" w:leftChars="202"/>
        <w:rPr>
          <w:highlight w:val="none"/>
          <w:u w:val="single"/>
        </w:rPr>
      </w:pPr>
      <w:r>
        <w:rPr>
          <w:rFonts w:hint="eastAsia"/>
          <w:highlight w:val="none"/>
        </w:rPr>
        <w:t>投标人地址:</w:t>
      </w:r>
    </w:p>
    <w:p>
      <w:pPr>
        <w:tabs>
          <w:tab w:val="clear" w:pos="426"/>
        </w:tabs>
        <w:spacing w:line="520" w:lineRule="exact"/>
        <w:ind w:left="424" w:leftChars="202"/>
        <w:rPr>
          <w:highlight w:val="none"/>
        </w:rPr>
      </w:pPr>
      <w:r>
        <w:rPr>
          <w:rFonts w:hint="eastAsia"/>
          <w:highlight w:val="none"/>
        </w:rPr>
        <w:t>电话:</w:t>
      </w:r>
    </w:p>
    <w:p>
      <w:pPr>
        <w:tabs>
          <w:tab w:val="clear" w:pos="426"/>
        </w:tabs>
        <w:spacing w:line="520" w:lineRule="exact"/>
        <w:ind w:left="424" w:leftChars="202"/>
        <w:rPr>
          <w:highlight w:val="none"/>
        </w:rPr>
      </w:pPr>
      <w:r>
        <w:rPr>
          <w:rFonts w:hint="eastAsia"/>
          <w:highlight w:val="none"/>
        </w:rPr>
        <w:t>传真:</w:t>
      </w:r>
    </w:p>
    <w:p>
      <w:pPr>
        <w:tabs>
          <w:tab w:val="clear" w:pos="426"/>
        </w:tabs>
        <w:spacing w:line="520" w:lineRule="exact"/>
        <w:ind w:left="424" w:leftChars="202"/>
        <w:rPr>
          <w:highlight w:val="none"/>
          <w:u w:val="single"/>
        </w:rPr>
      </w:pPr>
      <w:r>
        <w:rPr>
          <w:rFonts w:hint="eastAsia"/>
          <w:highlight w:val="none"/>
        </w:rPr>
        <w:t>法定代表人或投标人授权代表（签名或盖章）</w:t>
      </w:r>
    </w:p>
    <w:p>
      <w:pPr>
        <w:tabs>
          <w:tab w:val="clear" w:pos="426"/>
        </w:tabs>
        <w:spacing w:line="520" w:lineRule="exact"/>
        <w:ind w:left="424" w:leftChars="202"/>
        <w:rPr>
          <w:highlight w:val="none"/>
          <w:u w:val="single"/>
        </w:rPr>
      </w:pPr>
    </w:p>
    <w:p>
      <w:pPr>
        <w:tabs>
          <w:tab w:val="clear" w:pos="426"/>
        </w:tabs>
        <w:spacing w:line="520" w:lineRule="exact"/>
        <w:ind w:left="424" w:leftChars="202"/>
        <w:rPr>
          <w:highlight w:val="none"/>
        </w:rPr>
      </w:pPr>
    </w:p>
    <w:p>
      <w:pPr>
        <w:tabs>
          <w:tab w:val="clear" w:pos="426"/>
        </w:tabs>
        <w:spacing w:line="520" w:lineRule="exact"/>
        <w:ind w:left="424" w:leftChars="202"/>
        <w:rPr>
          <w:highlight w:val="none"/>
        </w:rPr>
      </w:pPr>
    </w:p>
    <w:p>
      <w:pPr>
        <w:tabs>
          <w:tab w:val="clear" w:pos="426"/>
        </w:tabs>
        <w:spacing w:line="520" w:lineRule="exact"/>
        <w:ind w:left="424" w:leftChars="202"/>
        <w:rPr>
          <w:highlight w:val="none"/>
        </w:rPr>
      </w:pPr>
    </w:p>
    <w:p>
      <w:pPr>
        <w:widowControl w:val="0"/>
        <w:shd w:val="clear" w:color="auto" w:fill="auto"/>
        <w:tabs>
          <w:tab w:val="clear" w:pos="426"/>
        </w:tabs>
        <w:adjustRightInd/>
        <w:snapToGrid/>
        <w:spacing w:line="300" w:lineRule="auto"/>
        <w:jc w:val="center"/>
        <w:rPr>
          <w:rFonts w:cs="Times New Roman"/>
          <w:bCs/>
          <w:kern w:val="2"/>
          <w:sz w:val="32"/>
          <w:szCs w:val="32"/>
          <w:highlight w:val="none"/>
        </w:rPr>
      </w:pPr>
    </w:p>
    <w:p>
      <w:pPr>
        <w:shd w:val="clear" w:color="auto" w:fill="auto"/>
        <w:tabs>
          <w:tab w:val="clear" w:pos="426"/>
        </w:tabs>
        <w:adjustRightInd/>
        <w:snapToGrid/>
        <w:spacing w:line="240" w:lineRule="auto"/>
        <w:jc w:val="left"/>
        <w:rPr>
          <w:rFonts w:cs="Times New Roman"/>
          <w:bCs/>
          <w:kern w:val="2"/>
          <w:sz w:val="32"/>
          <w:szCs w:val="32"/>
          <w:highlight w:val="none"/>
        </w:rPr>
      </w:pPr>
      <w:r>
        <w:rPr>
          <w:rFonts w:cs="Times New Roman"/>
          <w:bCs/>
          <w:kern w:val="2"/>
          <w:sz w:val="32"/>
          <w:szCs w:val="32"/>
          <w:highlight w:val="none"/>
        </w:rPr>
        <w:br w:type="page"/>
      </w:r>
    </w:p>
    <w:p>
      <w:pPr>
        <w:widowControl w:val="0"/>
        <w:shd w:val="clear" w:color="auto" w:fill="auto"/>
        <w:tabs>
          <w:tab w:val="clear" w:pos="426"/>
        </w:tabs>
        <w:adjustRightInd/>
        <w:snapToGrid/>
        <w:spacing w:line="300" w:lineRule="auto"/>
        <w:jc w:val="center"/>
        <w:rPr>
          <w:rFonts w:cs="Times New Roman"/>
          <w:bCs/>
          <w:kern w:val="2"/>
          <w:sz w:val="32"/>
          <w:szCs w:val="32"/>
          <w:highlight w:val="none"/>
        </w:rPr>
      </w:pPr>
    </w:p>
    <w:p>
      <w:pPr>
        <w:widowControl w:val="0"/>
        <w:shd w:val="clear" w:color="auto" w:fill="auto"/>
        <w:tabs>
          <w:tab w:val="clear" w:pos="426"/>
        </w:tabs>
        <w:adjustRightInd/>
        <w:snapToGrid/>
        <w:spacing w:line="300" w:lineRule="auto"/>
        <w:jc w:val="center"/>
        <w:rPr>
          <w:rFonts w:cs="Times New Roman"/>
          <w:bCs/>
          <w:kern w:val="2"/>
          <w:sz w:val="32"/>
          <w:szCs w:val="32"/>
          <w:highlight w:val="none"/>
        </w:rPr>
      </w:pPr>
      <w:r>
        <w:rPr>
          <w:rFonts w:hint="eastAsia" w:cs="Times New Roman"/>
          <w:bCs/>
          <w:kern w:val="2"/>
          <w:sz w:val="32"/>
          <w:szCs w:val="32"/>
          <w:highlight w:val="none"/>
        </w:rPr>
        <w:t>招标代理服务费发票开具须知</w:t>
      </w:r>
    </w:p>
    <w:tbl>
      <w:tblPr>
        <w:tblStyle w:val="44"/>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9"/>
        <w:gridCol w:w="73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159" w:type="dxa"/>
            <w:vAlign w:val="center"/>
          </w:tcPr>
          <w:p>
            <w:pPr>
              <w:tabs>
                <w:tab w:val="clear" w:pos="426"/>
              </w:tabs>
              <w:spacing w:line="520" w:lineRule="exact"/>
              <w:rPr>
                <w:b/>
                <w:highlight w:val="none"/>
              </w:rPr>
            </w:pPr>
            <w:r>
              <w:rPr>
                <w:rFonts w:hint="eastAsia"/>
                <w:b/>
                <w:highlight w:val="none"/>
              </w:rPr>
              <w:t>发票类型</w:t>
            </w:r>
          </w:p>
        </w:tc>
        <w:tc>
          <w:tcPr>
            <w:tcW w:w="7363" w:type="dxa"/>
            <w:vAlign w:val="center"/>
          </w:tcPr>
          <w:p>
            <w:pPr>
              <w:tabs>
                <w:tab w:val="clear" w:pos="426"/>
              </w:tabs>
              <w:spacing w:line="520" w:lineRule="exact"/>
              <w:ind w:firstLine="420" w:firstLineChars="200"/>
              <w:rPr>
                <w:highlight w:val="none"/>
              </w:rPr>
            </w:pPr>
            <w:r>
              <w:rPr>
                <w:rFonts w:hint="eastAsia"/>
                <w:highlight w:val="none"/>
              </w:rPr>
              <w:t>□增值税普通发票          □增值税专用发票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atLeast"/>
          <w:jc w:val="center"/>
        </w:trPr>
        <w:tc>
          <w:tcPr>
            <w:tcW w:w="8522" w:type="dxa"/>
            <w:gridSpan w:val="2"/>
            <w:vAlign w:val="center"/>
          </w:tcPr>
          <w:p>
            <w:pPr>
              <w:tabs>
                <w:tab w:val="clear" w:pos="426"/>
              </w:tabs>
              <w:spacing w:line="520" w:lineRule="exact"/>
              <w:rPr>
                <w:highlight w:val="none"/>
              </w:rPr>
            </w:pPr>
            <w:r>
              <w:rPr>
                <w:rFonts w:hint="eastAsia"/>
                <w:highlight w:val="none"/>
              </w:rPr>
              <w:t>如选择增值税专用发票，需提供以下材料，投标时密封于开标信封中：</w:t>
            </w:r>
          </w:p>
          <w:p>
            <w:pPr>
              <w:tabs>
                <w:tab w:val="clear" w:pos="426"/>
              </w:tabs>
              <w:spacing w:line="520" w:lineRule="exact"/>
              <w:rPr>
                <w:highlight w:val="none"/>
              </w:rPr>
            </w:pPr>
            <w:r>
              <w:rPr>
                <w:rFonts w:hint="eastAsia"/>
                <w:highlight w:val="none"/>
              </w:rPr>
              <w:t xml:space="preserve">1、营业执照、一般纳税人资格认定税务通知书或其他可证明具有该项资格证明文件的复印件，加盖单位公章； </w:t>
            </w:r>
          </w:p>
          <w:p>
            <w:pPr>
              <w:tabs>
                <w:tab w:val="clear" w:pos="426"/>
              </w:tabs>
              <w:spacing w:line="520" w:lineRule="exact"/>
              <w:rPr>
                <w:highlight w:val="none"/>
              </w:rPr>
            </w:pPr>
            <w:r>
              <w:rPr>
                <w:rFonts w:hint="eastAsia"/>
                <w:highlight w:val="none"/>
              </w:rPr>
              <w:t>2、客户的开票资料（单位名称、纳税人识别号、地址、电话、开户行全称及账号</w:t>
            </w:r>
            <w:r>
              <w:rPr>
                <w:highlight w:val="none"/>
              </w:rPr>
              <w:t>）</w:t>
            </w:r>
            <w:r>
              <w:rPr>
                <w:rFonts w:hint="eastAsia"/>
                <w:highlight w:val="none"/>
              </w:rPr>
              <w:t>，加盖单位公章。</w:t>
            </w:r>
          </w:p>
        </w:tc>
      </w:tr>
    </w:tbl>
    <w:p>
      <w:pPr>
        <w:tabs>
          <w:tab w:val="clear" w:pos="426"/>
        </w:tabs>
        <w:rPr>
          <w:b/>
          <w:szCs w:val="21"/>
          <w:highlight w:val="none"/>
        </w:rPr>
      </w:pPr>
    </w:p>
    <w:p>
      <w:pPr>
        <w:tabs>
          <w:tab w:val="clear" w:pos="426"/>
        </w:tabs>
        <w:rPr>
          <w:b/>
          <w:szCs w:val="21"/>
          <w:highlight w:val="none"/>
        </w:rPr>
      </w:pPr>
    </w:p>
    <w:p>
      <w:pPr>
        <w:tabs>
          <w:tab w:val="clear" w:pos="426"/>
        </w:tabs>
        <w:jc w:val="center"/>
        <w:rPr>
          <w:b/>
          <w:szCs w:val="21"/>
          <w:highlight w:val="none"/>
        </w:rPr>
      </w:pPr>
      <w:r>
        <w:rPr>
          <w:rFonts w:hint="eastAsia"/>
          <w:b/>
          <w:szCs w:val="21"/>
          <w:highlight w:val="none"/>
        </w:rPr>
        <w:t>附：缴纳</w:t>
      </w:r>
      <w:r>
        <w:rPr>
          <w:b/>
          <w:szCs w:val="21"/>
          <w:highlight w:val="none"/>
        </w:rPr>
        <w:t>招标代理服务费</w:t>
      </w:r>
      <w:r>
        <w:rPr>
          <w:rFonts w:hint="eastAsia"/>
          <w:b/>
          <w:szCs w:val="21"/>
          <w:highlight w:val="none"/>
        </w:rPr>
        <w:t>账号</w:t>
      </w:r>
      <w:r>
        <w:rPr>
          <w:b/>
          <w:szCs w:val="21"/>
          <w:highlight w:val="none"/>
        </w:rPr>
        <w:t>：</w:t>
      </w:r>
    </w:p>
    <w:tbl>
      <w:tblPr>
        <w:tblStyle w:val="44"/>
        <w:tblW w:w="852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943"/>
        <w:gridCol w:w="557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jc w:val="center"/>
        </w:trPr>
        <w:tc>
          <w:tcPr>
            <w:tcW w:w="2943" w:type="dxa"/>
            <w:vAlign w:val="center"/>
          </w:tcPr>
          <w:p>
            <w:pPr>
              <w:tabs>
                <w:tab w:val="clear" w:pos="426"/>
              </w:tabs>
              <w:spacing w:line="240" w:lineRule="auto"/>
              <w:jc w:val="center"/>
              <w:rPr>
                <w:b/>
                <w:szCs w:val="21"/>
                <w:highlight w:val="none"/>
              </w:rPr>
            </w:pPr>
            <w:r>
              <w:rPr>
                <w:b/>
                <w:szCs w:val="21"/>
                <w:highlight w:val="none"/>
              </w:rPr>
              <w:t>收款人名称</w:t>
            </w:r>
          </w:p>
        </w:tc>
        <w:tc>
          <w:tcPr>
            <w:tcW w:w="5579" w:type="dxa"/>
            <w:vAlign w:val="center"/>
          </w:tcPr>
          <w:p>
            <w:pPr>
              <w:tabs>
                <w:tab w:val="clear" w:pos="426"/>
              </w:tabs>
              <w:spacing w:line="240" w:lineRule="auto"/>
              <w:jc w:val="center"/>
              <w:rPr>
                <w:szCs w:val="21"/>
                <w:highlight w:val="none"/>
              </w:rPr>
            </w:pPr>
            <w:r>
              <w:rPr>
                <w:rFonts w:hint="eastAsia"/>
                <w:szCs w:val="21"/>
                <w:highlight w:val="none"/>
              </w:rPr>
              <w:t>深圳市深水水务咨询有限公司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jc w:val="center"/>
        </w:trPr>
        <w:tc>
          <w:tcPr>
            <w:tcW w:w="2943" w:type="dxa"/>
            <w:vAlign w:val="center"/>
          </w:tcPr>
          <w:p>
            <w:pPr>
              <w:tabs>
                <w:tab w:val="clear" w:pos="426"/>
              </w:tabs>
              <w:spacing w:line="240" w:lineRule="auto"/>
              <w:jc w:val="center"/>
              <w:rPr>
                <w:b/>
                <w:szCs w:val="21"/>
                <w:highlight w:val="none"/>
              </w:rPr>
            </w:pPr>
            <w:r>
              <w:rPr>
                <w:b/>
                <w:szCs w:val="21"/>
                <w:highlight w:val="none"/>
              </w:rPr>
              <w:t>开户银行</w:t>
            </w:r>
          </w:p>
        </w:tc>
        <w:tc>
          <w:tcPr>
            <w:tcW w:w="5579" w:type="dxa"/>
            <w:vAlign w:val="center"/>
          </w:tcPr>
          <w:p>
            <w:pPr>
              <w:tabs>
                <w:tab w:val="clear" w:pos="426"/>
              </w:tabs>
              <w:spacing w:line="240" w:lineRule="auto"/>
              <w:jc w:val="center"/>
              <w:rPr>
                <w:b/>
                <w:szCs w:val="21"/>
                <w:highlight w:val="none"/>
              </w:rPr>
            </w:pPr>
            <w:r>
              <w:rPr>
                <w:rFonts w:hint="eastAsia"/>
                <w:highlight w:val="none"/>
              </w:rPr>
              <w:t>中国工商银行深圳红围支行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jc w:val="center"/>
        </w:trPr>
        <w:tc>
          <w:tcPr>
            <w:tcW w:w="2943" w:type="dxa"/>
            <w:vAlign w:val="center"/>
          </w:tcPr>
          <w:p>
            <w:pPr>
              <w:tabs>
                <w:tab w:val="clear" w:pos="426"/>
              </w:tabs>
              <w:spacing w:line="240" w:lineRule="auto"/>
              <w:jc w:val="center"/>
              <w:rPr>
                <w:b/>
                <w:szCs w:val="21"/>
                <w:highlight w:val="none"/>
              </w:rPr>
            </w:pPr>
            <w:r>
              <w:rPr>
                <w:rFonts w:hint="eastAsia"/>
                <w:b/>
                <w:szCs w:val="21"/>
                <w:highlight w:val="none"/>
              </w:rPr>
              <w:t>账</w:t>
            </w:r>
            <w:r>
              <w:rPr>
                <w:b/>
                <w:szCs w:val="21"/>
                <w:highlight w:val="none"/>
              </w:rPr>
              <w:t xml:space="preserve">    号</w:t>
            </w:r>
          </w:p>
        </w:tc>
        <w:tc>
          <w:tcPr>
            <w:tcW w:w="5579" w:type="dxa"/>
            <w:vAlign w:val="center"/>
          </w:tcPr>
          <w:p>
            <w:pPr>
              <w:tabs>
                <w:tab w:val="clear" w:pos="426"/>
              </w:tabs>
              <w:spacing w:line="240" w:lineRule="auto"/>
              <w:jc w:val="center"/>
              <w:rPr>
                <w:b/>
                <w:szCs w:val="21"/>
                <w:highlight w:val="none"/>
              </w:rPr>
            </w:pPr>
            <w:r>
              <w:rPr>
                <w:rFonts w:hint="eastAsia"/>
                <w:highlight w:val="none"/>
              </w:rPr>
              <w:t>4000021219200366130</w:t>
            </w:r>
          </w:p>
        </w:tc>
      </w:tr>
    </w:tbl>
    <w:p>
      <w:pPr>
        <w:tabs>
          <w:tab w:val="clear" w:pos="426"/>
        </w:tabs>
        <w:rPr>
          <w:rFonts w:cs="Arial"/>
          <w:bCs/>
          <w:sz w:val="24"/>
          <w:highlight w:val="none"/>
        </w:rPr>
      </w:pPr>
    </w:p>
    <w:p>
      <w:pPr>
        <w:tabs>
          <w:tab w:val="clear" w:pos="426"/>
        </w:tabs>
        <w:spacing w:line="440" w:lineRule="exact"/>
        <w:rPr>
          <w:spacing w:val="4"/>
          <w:highlight w:val="none"/>
          <w:u w:val="single"/>
        </w:rPr>
      </w:pPr>
    </w:p>
    <w:p>
      <w:pPr>
        <w:numPr>
          <w:ilvl w:val="0"/>
          <w:numId w:val="25"/>
        </w:numPr>
        <w:adjustRightInd/>
        <w:snapToGrid/>
        <w:spacing w:before="280" w:after="290" w:line="377" w:lineRule="auto"/>
        <w:outlineLvl w:val="2"/>
        <w:rPr>
          <w:b/>
          <w:sz w:val="24"/>
          <w:highlight w:val="none"/>
        </w:rPr>
      </w:pPr>
      <w:r>
        <w:rPr>
          <w:spacing w:val="4"/>
          <w:highlight w:val="none"/>
          <w:u w:val="single"/>
        </w:rPr>
        <w:br w:type="page"/>
      </w:r>
      <w:r>
        <w:rPr>
          <w:rFonts w:hint="eastAsia"/>
          <w:b/>
          <w:sz w:val="24"/>
          <w:highlight w:val="none"/>
        </w:rPr>
        <w:t>项目实施方案</w:t>
      </w:r>
    </w:p>
    <w:p>
      <w:pPr>
        <w:widowControl w:val="0"/>
        <w:shd w:val="clear" w:color="auto" w:fill="auto"/>
        <w:tabs>
          <w:tab w:val="clear" w:pos="426"/>
        </w:tabs>
        <w:adjustRightInd/>
        <w:snapToGrid/>
        <w:spacing w:line="300" w:lineRule="auto"/>
        <w:jc w:val="center"/>
        <w:rPr>
          <w:rFonts w:cs="Times New Roman"/>
          <w:bCs/>
          <w:kern w:val="2"/>
          <w:sz w:val="32"/>
          <w:szCs w:val="32"/>
          <w:highlight w:val="none"/>
        </w:rPr>
      </w:pPr>
      <w:r>
        <w:rPr>
          <w:rFonts w:hint="eastAsia" w:cs="Times New Roman"/>
          <w:bCs/>
          <w:kern w:val="2"/>
          <w:sz w:val="32"/>
          <w:szCs w:val="32"/>
          <w:highlight w:val="none"/>
        </w:rPr>
        <w:t>项目实施方案</w:t>
      </w:r>
    </w:p>
    <w:p>
      <w:pPr>
        <w:tabs>
          <w:tab w:val="clear" w:pos="426"/>
        </w:tabs>
        <w:wordWrap w:val="0"/>
        <w:rPr>
          <w:highlight w:val="none"/>
        </w:rPr>
      </w:pPr>
    </w:p>
    <w:p>
      <w:pPr>
        <w:tabs>
          <w:tab w:val="clear" w:pos="426"/>
        </w:tabs>
        <w:wordWrap w:val="0"/>
        <w:rPr>
          <w:highlight w:val="none"/>
          <w:u w:val="single"/>
        </w:rPr>
      </w:pPr>
      <w:r>
        <w:rPr>
          <w:rFonts w:hint="eastAsia"/>
          <w:highlight w:val="none"/>
        </w:rPr>
        <w:t>项目名称：项目编号：</w:t>
      </w:r>
    </w:p>
    <w:p>
      <w:pPr>
        <w:tabs>
          <w:tab w:val="clear" w:pos="426"/>
        </w:tabs>
        <w:rPr>
          <w:rFonts w:cs="Arial"/>
          <w:bCs/>
          <w:szCs w:val="21"/>
          <w:highlight w:val="none"/>
        </w:rPr>
      </w:pPr>
      <w:r>
        <w:rPr>
          <w:rFonts w:hint="eastAsia" w:cs="Arial"/>
          <w:bCs/>
          <w:szCs w:val="21"/>
          <w:highlight w:val="none"/>
        </w:rPr>
        <w:t>主要内容应包括（可根据项目实际情况适当调整内容）</w:t>
      </w:r>
    </w:p>
    <w:p>
      <w:pPr>
        <w:tabs>
          <w:tab w:val="clear" w:pos="426"/>
        </w:tabs>
        <w:spacing w:line="400" w:lineRule="exact"/>
        <w:rPr>
          <w:highlight w:val="none"/>
        </w:rPr>
      </w:pPr>
      <w:r>
        <w:rPr>
          <w:highlight w:val="none"/>
        </w:rPr>
        <w:t>1</w:t>
      </w:r>
      <w:r>
        <w:rPr>
          <w:rFonts w:hint="eastAsia"/>
          <w:highlight w:val="none"/>
        </w:rPr>
        <w:t>.</w:t>
      </w:r>
    </w:p>
    <w:p>
      <w:pPr>
        <w:tabs>
          <w:tab w:val="clear" w:pos="426"/>
        </w:tabs>
        <w:spacing w:line="400" w:lineRule="exact"/>
        <w:rPr>
          <w:highlight w:val="none"/>
        </w:rPr>
      </w:pPr>
      <w:r>
        <w:rPr>
          <w:highlight w:val="none"/>
        </w:rPr>
        <w:t>2</w:t>
      </w:r>
      <w:r>
        <w:rPr>
          <w:rFonts w:hint="eastAsia"/>
          <w:highlight w:val="none"/>
        </w:rPr>
        <w:t>.</w:t>
      </w:r>
    </w:p>
    <w:p>
      <w:pPr>
        <w:tabs>
          <w:tab w:val="clear" w:pos="426"/>
        </w:tabs>
        <w:spacing w:line="400" w:lineRule="exact"/>
        <w:rPr>
          <w:bCs/>
          <w:highlight w:val="none"/>
        </w:rPr>
      </w:pPr>
    </w:p>
    <w:p>
      <w:pPr>
        <w:tabs>
          <w:tab w:val="clear" w:pos="426"/>
        </w:tabs>
        <w:spacing w:line="440" w:lineRule="exact"/>
        <w:rPr>
          <w:bCs/>
          <w:highlight w:val="none"/>
        </w:rPr>
      </w:pPr>
      <w:r>
        <w:rPr>
          <w:rFonts w:hint="eastAsia"/>
          <w:bCs/>
          <w:highlight w:val="none"/>
        </w:rPr>
        <w:t>（备注：该部分须与“技术保障措施”、“施工安全保障措施”、“商务需求”等部分承诺的内容相呼应，不得前后矛盾。）</w:t>
      </w:r>
    </w:p>
    <w:p>
      <w:pPr>
        <w:tabs>
          <w:tab w:val="clear" w:pos="426"/>
        </w:tabs>
        <w:spacing w:line="440" w:lineRule="exact"/>
        <w:rPr>
          <w:bCs/>
          <w:highlight w:val="none"/>
        </w:rPr>
      </w:pPr>
    </w:p>
    <w:p>
      <w:pPr>
        <w:tabs>
          <w:tab w:val="clear" w:pos="426"/>
        </w:tabs>
        <w:spacing w:line="440" w:lineRule="exact"/>
        <w:rPr>
          <w:bCs/>
          <w:highlight w:val="none"/>
        </w:rPr>
      </w:pPr>
    </w:p>
    <w:p>
      <w:pPr>
        <w:tabs>
          <w:tab w:val="clear" w:pos="426"/>
        </w:tabs>
        <w:spacing w:line="440" w:lineRule="exact"/>
        <w:rPr>
          <w:spacing w:val="4"/>
          <w:highlight w:val="none"/>
          <w:u w:val="single"/>
        </w:rPr>
      </w:pPr>
    </w:p>
    <w:p>
      <w:pPr>
        <w:numPr>
          <w:ilvl w:val="0"/>
          <w:numId w:val="25"/>
        </w:numPr>
        <w:adjustRightInd/>
        <w:snapToGrid/>
        <w:spacing w:before="280" w:after="290" w:line="377" w:lineRule="auto"/>
        <w:outlineLvl w:val="2"/>
        <w:rPr>
          <w:b/>
          <w:sz w:val="24"/>
          <w:highlight w:val="none"/>
        </w:rPr>
      </w:pPr>
      <w:r>
        <w:rPr>
          <w:spacing w:val="4"/>
          <w:highlight w:val="none"/>
          <w:u w:val="single"/>
        </w:rPr>
        <w:br w:type="page"/>
      </w:r>
      <w:r>
        <w:rPr>
          <w:rFonts w:hint="eastAsia"/>
          <w:b/>
          <w:sz w:val="24"/>
          <w:highlight w:val="none"/>
        </w:rPr>
        <w:t>售后服务方案</w:t>
      </w:r>
    </w:p>
    <w:p>
      <w:pPr>
        <w:widowControl w:val="0"/>
        <w:shd w:val="clear" w:color="auto" w:fill="auto"/>
        <w:tabs>
          <w:tab w:val="clear" w:pos="426"/>
        </w:tabs>
        <w:adjustRightInd/>
        <w:snapToGrid/>
        <w:spacing w:line="300" w:lineRule="auto"/>
        <w:jc w:val="center"/>
        <w:rPr>
          <w:rFonts w:cs="Times New Roman"/>
          <w:bCs/>
          <w:kern w:val="2"/>
          <w:sz w:val="32"/>
          <w:szCs w:val="32"/>
          <w:highlight w:val="none"/>
        </w:rPr>
      </w:pPr>
      <w:r>
        <w:rPr>
          <w:rFonts w:hint="eastAsia" w:cs="Times New Roman"/>
          <w:bCs/>
          <w:kern w:val="2"/>
          <w:sz w:val="32"/>
          <w:szCs w:val="32"/>
          <w:highlight w:val="none"/>
        </w:rPr>
        <w:t>售后服务方案</w:t>
      </w:r>
    </w:p>
    <w:p>
      <w:pPr>
        <w:tabs>
          <w:tab w:val="clear" w:pos="426"/>
        </w:tabs>
        <w:wordWrap w:val="0"/>
        <w:rPr>
          <w:highlight w:val="none"/>
        </w:rPr>
      </w:pPr>
    </w:p>
    <w:p>
      <w:pPr>
        <w:tabs>
          <w:tab w:val="clear" w:pos="426"/>
        </w:tabs>
        <w:wordWrap w:val="0"/>
        <w:rPr>
          <w:highlight w:val="none"/>
          <w:u w:val="single"/>
        </w:rPr>
      </w:pPr>
      <w:r>
        <w:rPr>
          <w:rFonts w:hint="eastAsia"/>
          <w:highlight w:val="none"/>
        </w:rPr>
        <w:t>项目名称：项目编号：</w:t>
      </w:r>
    </w:p>
    <w:p>
      <w:pPr>
        <w:tabs>
          <w:tab w:val="clear" w:pos="426"/>
        </w:tabs>
        <w:rPr>
          <w:rFonts w:cs="Arial"/>
          <w:bCs/>
          <w:szCs w:val="21"/>
          <w:highlight w:val="none"/>
        </w:rPr>
      </w:pPr>
      <w:r>
        <w:rPr>
          <w:rFonts w:hint="eastAsia" w:cs="Arial"/>
          <w:bCs/>
          <w:szCs w:val="21"/>
          <w:highlight w:val="none"/>
        </w:rPr>
        <w:t>主要内容应包括（可根据项目实际情况适当调整内容）</w:t>
      </w:r>
    </w:p>
    <w:p>
      <w:pPr>
        <w:tabs>
          <w:tab w:val="clear" w:pos="426"/>
        </w:tabs>
        <w:spacing w:line="400" w:lineRule="exact"/>
        <w:rPr>
          <w:highlight w:val="none"/>
        </w:rPr>
      </w:pPr>
      <w:r>
        <w:rPr>
          <w:highlight w:val="none"/>
        </w:rPr>
        <w:t>1、免费</w:t>
      </w:r>
      <w:r>
        <w:rPr>
          <w:rFonts w:hint="eastAsia"/>
          <w:highlight w:val="none"/>
        </w:rPr>
        <w:t>保修</w:t>
      </w:r>
      <w:r>
        <w:rPr>
          <w:highlight w:val="none"/>
        </w:rPr>
        <w:t>期</w:t>
      </w:r>
    </w:p>
    <w:p>
      <w:pPr>
        <w:tabs>
          <w:tab w:val="clear" w:pos="426"/>
        </w:tabs>
        <w:spacing w:line="400" w:lineRule="exact"/>
        <w:rPr>
          <w:highlight w:val="none"/>
        </w:rPr>
      </w:pPr>
      <w:r>
        <w:rPr>
          <w:highlight w:val="none"/>
        </w:rPr>
        <w:t>2、在深圳设立的售后服务机构情况介绍</w:t>
      </w:r>
    </w:p>
    <w:p>
      <w:pPr>
        <w:tabs>
          <w:tab w:val="clear" w:pos="426"/>
        </w:tabs>
        <w:spacing w:line="400" w:lineRule="exact"/>
        <w:rPr>
          <w:highlight w:val="none"/>
        </w:rPr>
      </w:pPr>
      <w:r>
        <w:rPr>
          <w:highlight w:val="none"/>
        </w:rPr>
        <w:t>3、故障或技术支持应急维修响应时间安排；</w:t>
      </w:r>
    </w:p>
    <w:p>
      <w:pPr>
        <w:tabs>
          <w:tab w:val="clear" w:pos="426"/>
        </w:tabs>
        <w:spacing w:line="400" w:lineRule="exact"/>
        <w:rPr>
          <w:highlight w:val="none"/>
        </w:rPr>
      </w:pPr>
      <w:r>
        <w:rPr>
          <w:highlight w:val="none"/>
        </w:rPr>
        <w:t>4、维修服务收费标准、主要零配件价格；</w:t>
      </w:r>
    </w:p>
    <w:p>
      <w:pPr>
        <w:tabs>
          <w:tab w:val="clear" w:pos="426"/>
        </w:tabs>
        <w:spacing w:line="400" w:lineRule="exact"/>
        <w:rPr>
          <w:highlight w:val="none"/>
        </w:rPr>
      </w:pPr>
      <w:r>
        <w:rPr>
          <w:highlight w:val="none"/>
        </w:rPr>
        <w:t>5、质量保证及违约承诺（在履约期间如出现违约情况时所承担的责任和义务）；</w:t>
      </w:r>
    </w:p>
    <w:p>
      <w:pPr>
        <w:tabs>
          <w:tab w:val="clear" w:pos="426"/>
        </w:tabs>
        <w:spacing w:line="440" w:lineRule="exact"/>
        <w:rPr>
          <w:bCs/>
          <w:highlight w:val="none"/>
        </w:rPr>
      </w:pPr>
      <w:r>
        <w:rPr>
          <w:highlight w:val="none"/>
        </w:rPr>
        <w:t>6、服务措施及承诺。</w:t>
      </w:r>
    </w:p>
    <w:p>
      <w:pPr>
        <w:tabs>
          <w:tab w:val="clear" w:pos="426"/>
        </w:tabs>
        <w:spacing w:line="440" w:lineRule="exact"/>
        <w:rPr>
          <w:bCs/>
          <w:highlight w:val="none"/>
        </w:rPr>
      </w:pPr>
    </w:p>
    <w:p>
      <w:pPr>
        <w:tabs>
          <w:tab w:val="clear" w:pos="426"/>
        </w:tabs>
        <w:spacing w:line="440" w:lineRule="exact"/>
        <w:rPr>
          <w:bCs/>
          <w:highlight w:val="none"/>
        </w:rPr>
      </w:pPr>
      <w:r>
        <w:rPr>
          <w:rFonts w:hint="eastAsia"/>
          <w:bCs/>
          <w:highlight w:val="none"/>
        </w:rPr>
        <w:t>（备注：该部分须与“商务需求”承诺的内容相呼应，不得前后矛盾。）</w:t>
      </w:r>
    </w:p>
    <w:p>
      <w:pPr>
        <w:tabs>
          <w:tab w:val="clear" w:pos="426"/>
        </w:tabs>
        <w:spacing w:line="440" w:lineRule="exact"/>
        <w:rPr>
          <w:bCs/>
          <w:highlight w:val="none"/>
        </w:rPr>
      </w:pPr>
    </w:p>
    <w:p>
      <w:pPr>
        <w:tabs>
          <w:tab w:val="clear" w:pos="426"/>
        </w:tabs>
        <w:spacing w:line="500" w:lineRule="exact"/>
        <w:rPr>
          <w:sz w:val="24"/>
          <w:highlight w:val="none"/>
        </w:rPr>
      </w:pPr>
    </w:p>
    <w:p>
      <w:pPr>
        <w:tabs>
          <w:tab w:val="clear" w:pos="426"/>
        </w:tabs>
        <w:spacing w:line="500" w:lineRule="exact"/>
        <w:rPr>
          <w:sz w:val="24"/>
          <w:highlight w:val="none"/>
        </w:rPr>
      </w:pPr>
    </w:p>
    <w:bookmarkEnd w:id="78"/>
    <w:bookmarkEnd w:id="79"/>
    <w:bookmarkEnd w:id="80"/>
    <w:bookmarkEnd w:id="81"/>
    <w:p>
      <w:pPr>
        <w:numPr>
          <w:ilvl w:val="0"/>
          <w:numId w:val="25"/>
        </w:numPr>
        <w:adjustRightInd/>
        <w:snapToGrid/>
        <w:spacing w:before="280" w:after="290" w:line="377" w:lineRule="auto"/>
        <w:outlineLvl w:val="2"/>
        <w:rPr>
          <w:rFonts w:hint="eastAsia"/>
          <w:b/>
          <w:sz w:val="24"/>
          <w:highlight w:val="none"/>
        </w:rPr>
      </w:pPr>
      <w:r>
        <w:rPr>
          <w:bCs/>
          <w:highlight w:val="none"/>
        </w:rPr>
        <w:br w:type="page"/>
      </w:r>
      <w:r>
        <w:rPr>
          <w:rFonts w:hint="eastAsia"/>
          <w:b/>
          <w:sz w:val="24"/>
          <w:highlight w:val="none"/>
        </w:rPr>
        <w:t>招标文件要求的其他内容及投标人认为需要加以说明的其他内容</w:t>
      </w:r>
    </w:p>
    <w:p>
      <w:pPr>
        <w:tabs>
          <w:tab w:val="clear" w:pos="426"/>
        </w:tabs>
        <w:adjustRightInd/>
        <w:snapToGrid/>
        <w:ind w:firstLine="420" w:firstLineChars="200"/>
        <w:rPr>
          <w:highlight w:val="none"/>
        </w:rPr>
      </w:pPr>
      <w:r>
        <w:rPr>
          <w:rFonts w:hint="eastAsia"/>
          <w:highlight w:val="none"/>
        </w:rPr>
        <w:t>提供招标公告和评标信息中关于投标人的其他相关证明文件（如评标信息中涉及的各种证件（身份证除外）、设备发票等，未涉及的可以不提供）。</w:t>
      </w:r>
    </w:p>
    <w:p>
      <w:pPr>
        <w:tabs>
          <w:tab w:val="clear" w:pos="426"/>
        </w:tabs>
        <w:rPr>
          <w:highlight w:val="none"/>
        </w:rPr>
      </w:pPr>
    </w:p>
    <w:p>
      <w:pPr>
        <w:tabs>
          <w:tab w:val="clear" w:pos="426"/>
        </w:tabs>
        <w:rPr>
          <w:highlight w:val="none"/>
        </w:rPr>
      </w:pPr>
    </w:p>
    <w:p>
      <w:pPr>
        <w:pStyle w:val="42"/>
        <w:tabs>
          <w:tab w:val="clear" w:pos="426"/>
        </w:tabs>
        <w:rPr>
          <w:highlight w:val="none"/>
        </w:rPr>
      </w:pPr>
      <w:r>
        <w:rPr>
          <w:highlight w:val="none"/>
        </w:rPr>
        <w:br w:type="page"/>
      </w:r>
      <w:bookmarkStart w:id="106" w:name="_Toc12610129"/>
      <w:r>
        <w:rPr>
          <w:rFonts w:hint="eastAsia"/>
          <w:highlight w:val="none"/>
        </w:rPr>
        <w:t>第二册通用条款</w:t>
      </w:r>
      <w:bookmarkEnd w:id="46"/>
      <w:bookmarkEnd w:id="106"/>
    </w:p>
    <w:p>
      <w:pPr>
        <w:jc w:val="center"/>
        <w:rPr>
          <w:b/>
          <w:highlight w:val="none"/>
        </w:rPr>
      </w:pPr>
      <w:bookmarkStart w:id="107" w:name="_Toc432592821"/>
      <w:bookmarkStart w:id="108" w:name="_Toc398220529"/>
      <w:r>
        <w:rPr>
          <w:rFonts w:hint="eastAsia"/>
          <w:b/>
          <w:highlight w:val="none"/>
        </w:rPr>
        <w:t>（投标人须知）</w:t>
      </w:r>
    </w:p>
    <w:p>
      <w:pPr>
        <w:pStyle w:val="5"/>
        <w:rPr>
          <w:highlight w:val="none"/>
        </w:rPr>
      </w:pPr>
      <w:bookmarkStart w:id="109" w:name="_Toc12610130"/>
      <w:r>
        <w:rPr>
          <w:rFonts w:hint="eastAsia"/>
          <w:highlight w:val="none"/>
        </w:rPr>
        <w:t>第一章 总则</w:t>
      </w:r>
      <w:bookmarkEnd w:id="107"/>
      <w:bookmarkEnd w:id="108"/>
      <w:bookmarkEnd w:id="109"/>
    </w:p>
    <w:p>
      <w:pPr>
        <w:tabs>
          <w:tab w:val="clear" w:pos="426"/>
        </w:tabs>
        <w:rPr>
          <w:highlight w:val="none"/>
        </w:rPr>
      </w:pPr>
      <w:r>
        <w:rPr>
          <w:rFonts w:hint="eastAsia"/>
          <w:highlight w:val="none"/>
        </w:rPr>
        <w:t>1.通用条款说明</w:t>
      </w:r>
    </w:p>
    <w:p>
      <w:pPr>
        <w:tabs>
          <w:tab w:val="clear" w:pos="426"/>
        </w:tabs>
        <w:rPr>
          <w:highlight w:val="none"/>
        </w:rPr>
      </w:pPr>
      <w:r>
        <w:rPr>
          <w:rFonts w:hint="eastAsia"/>
          <w:highlight w:val="none"/>
        </w:rPr>
        <w:t>1.1采购代理机构发出招标文件通用条款版本，列出深圳市政府采购项目进行招标采购所适用的通用条款内容。如有需要，采购代理机构可以对这些条款增加附录或补充内容。</w:t>
      </w:r>
    </w:p>
    <w:p>
      <w:pPr>
        <w:tabs>
          <w:tab w:val="clear" w:pos="426"/>
        </w:tabs>
        <w:rPr>
          <w:highlight w:val="none"/>
        </w:rPr>
      </w:pPr>
      <w:bookmarkStart w:id="110" w:name="_Toc73518119"/>
      <w:bookmarkStart w:id="111" w:name="_Toc73521549"/>
      <w:bookmarkStart w:id="112" w:name="_Toc73521637"/>
      <w:bookmarkStart w:id="113" w:name="_Toc100052366"/>
      <w:bookmarkStart w:id="114" w:name="_Toc60631622"/>
      <w:bookmarkStart w:id="115" w:name="_Toc73517641"/>
      <w:bookmarkStart w:id="116" w:name="_Toc60560627"/>
      <w:bookmarkStart w:id="117" w:name="_Toc60631624"/>
      <w:bookmarkStart w:id="118" w:name="_Toc60560629"/>
      <w:bookmarkStart w:id="119" w:name="_Toc73517643"/>
      <w:bookmarkStart w:id="120" w:name="_Toc73518121"/>
      <w:bookmarkStart w:id="121" w:name="_Toc73521551"/>
      <w:bookmarkStart w:id="122" w:name="_Toc73521639"/>
      <w:bookmarkStart w:id="123" w:name="_Toc100052368"/>
      <w:r>
        <w:rPr>
          <w:rFonts w:hint="eastAsia"/>
          <w:highlight w:val="none"/>
        </w:rPr>
        <w:t>2</w:t>
      </w:r>
      <w:r>
        <w:rPr>
          <w:highlight w:val="none"/>
        </w:rPr>
        <w:t>．</w:t>
      </w:r>
      <w:r>
        <w:rPr>
          <w:rFonts w:hint="eastAsia"/>
          <w:highlight w:val="none"/>
        </w:rPr>
        <w:t>招标说明</w:t>
      </w:r>
      <w:bookmarkEnd w:id="110"/>
      <w:bookmarkEnd w:id="111"/>
      <w:bookmarkEnd w:id="112"/>
      <w:bookmarkEnd w:id="113"/>
      <w:bookmarkEnd w:id="114"/>
      <w:bookmarkEnd w:id="115"/>
      <w:bookmarkEnd w:id="116"/>
    </w:p>
    <w:p>
      <w:pPr>
        <w:tabs>
          <w:tab w:val="clear" w:pos="426"/>
        </w:tabs>
        <w:rPr>
          <w:color w:val="000000"/>
          <w:szCs w:val="21"/>
          <w:highlight w:val="none"/>
        </w:rPr>
      </w:pPr>
      <w:r>
        <w:rPr>
          <w:rFonts w:hint="eastAsia"/>
          <w:highlight w:val="none"/>
        </w:rPr>
        <w:t>本项目按照《深圳经济特区政府采购条例》《深圳网上政府采购管理暂行办法》《深圳市政府采购评标定标分离管理暂行办法》的规定，并参考有关法规、政策、规章、规定通过招标择优选定供应商。</w:t>
      </w:r>
      <w:r>
        <w:rPr>
          <w:rFonts w:hint="eastAsia"/>
          <w:color w:val="000000"/>
          <w:szCs w:val="21"/>
          <w:highlight w:val="none"/>
        </w:rPr>
        <w:t>本招标文件适用于</w:t>
      </w:r>
      <w:r>
        <w:rPr>
          <w:rFonts w:hint="eastAsia"/>
          <w:szCs w:val="21"/>
          <w:highlight w:val="none"/>
        </w:rPr>
        <w:t>采购公告中所述项目的</w:t>
      </w:r>
      <w:r>
        <w:rPr>
          <w:rFonts w:hint="eastAsia"/>
          <w:color w:val="000000"/>
          <w:szCs w:val="21"/>
          <w:highlight w:val="none"/>
        </w:rPr>
        <w:t>政府采购。</w:t>
      </w:r>
    </w:p>
    <w:p>
      <w:pPr>
        <w:tabs>
          <w:tab w:val="clear" w:pos="426"/>
        </w:tabs>
        <w:rPr>
          <w:color w:val="000000"/>
          <w:szCs w:val="21"/>
          <w:highlight w:val="none"/>
        </w:rPr>
      </w:pPr>
      <w:r>
        <w:rPr>
          <w:rFonts w:hint="eastAsia"/>
          <w:color w:val="000000"/>
          <w:szCs w:val="21"/>
          <w:highlight w:val="none"/>
        </w:rPr>
        <w:t>本招标文件的解释权归属深圳市深水水务咨询有限公司。</w:t>
      </w:r>
    </w:p>
    <w:p>
      <w:pPr>
        <w:tabs>
          <w:tab w:val="clear" w:pos="426"/>
        </w:tabs>
        <w:rPr>
          <w:highlight w:val="none"/>
        </w:rPr>
      </w:pPr>
      <w:bookmarkStart w:id="124" w:name="_Toc60560628"/>
      <w:bookmarkStart w:id="125" w:name="_Toc60631623"/>
      <w:bookmarkStart w:id="126" w:name="_Toc73517642"/>
      <w:bookmarkStart w:id="127" w:name="_Toc73518120"/>
      <w:bookmarkStart w:id="128" w:name="_Toc73521550"/>
      <w:bookmarkStart w:id="129" w:name="_Toc73521638"/>
      <w:bookmarkStart w:id="130" w:name="_Toc100052367"/>
      <w:r>
        <w:rPr>
          <w:rFonts w:hint="eastAsia"/>
          <w:highlight w:val="none"/>
        </w:rPr>
        <w:t>3．定义</w:t>
      </w:r>
      <w:bookmarkEnd w:id="124"/>
      <w:bookmarkEnd w:id="125"/>
      <w:bookmarkEnd w:id="126"/>
      <w:bookmarkEnd w:id="127"/>
      <w:bookmarkEnd w:id="128"/>
      <w:bookmarkEnd w:id="129"/>
      <w:bookmarkEnd w:id="130"/>
    </w:p>
    <w:p>
      <w:pPr>
        <w:tabs>
          <w:tab w:val="clear" w:pos="426"/>
        </w:tabs>
        <w:rPr>
          <w:highlight w:val="none"/>
        </w:rPr>
      </w:pPr>
      <w:r>
        <w:rPr>
          <w:highlight w:val="none"/>
        </w:rPr>
        <w:t>招标文件中下列术语应解释为：</w:t>
      </w:r>
    </w:p>
    <w:p>
      <w:pPr>
        <w:tabs>
          <w:tab w:val="clear" w:pos="426"/>
        </w:tabs>
        <w:rPr>
          <w:highlight w:val="none"/>
        </w:rPr>
      </w:pPr>
      <w:r>
        <w:rPr>
          <w:rFonts w:hint="eastAsia"/>
          <w:szCs w:val="21"/>
          <w:highlight w:val="none"/>
        </w:rPr>
        <w:t>3.</w:t>
      </w:r>
      <w:r>
        <w:rPr>
          <w:szCs w:val="21"/>
          <w:highlight w:val="none"/>
        </w:rPr>
        <w:t>1</w:t>
      </w:r>
      <w:r>
        <w:rPr>
          <w:rFonts w:hint="eastAsia"/>
          <w:szCs w:val="21"/>
          <w:highlight w:val="none"/>
        </w:rPr>
        <w:t>“采购代理机构”</w:t>
      </w:r>
      <w:r>
        <w:rPr>
          <w:rFonts w:hint="eastAsia"/>
          <w:highlight w:val="none"/>
        </w:rPr>
        <w:t>系指政府设立的负责本级财政性资金的集中采购和招标组织工作的专门机构；本项目</w:t>
      </w:r>
      <w:r>
        <w:rPr>
          <w:highlight w:val="none"/>
        </w:rPr>
        <w:t>系指</w:t>
      </w:r>
      <w:r>
        <w:rPr>
          <w:rFonts w:hint="eastAsia"/>
          <w:highlight w:val="none"/>
        </w:rPr>
        <w:t>深圳市深水水务咨询有限公司；</w:t>
      </w:r>
    </w:p>
    <w:p>
      <w:pPr>
        <w:tabs>
          <w:tab w:val="clear" w:pos="426"/>
        </w:tabs>
        <w:rPr>
          <w:highlight w:val="none"/>
        </w:rPr>
      </w:pPr>
      <w:r>
        <w:rPr>
          <w:rFonts w:hint="eastAsia"/>
          <w:highlight w:val="none"/>
        </w:rPr>
        <w:t xml:space="preserve">3.2“采购人”或“采购单位”：系指利用财政性资金依法进行政府采购的国家机关、事业单位、团体组织； </w:t>
      </w:r>
    </w:p>
    <w:p>
      <w:pPr>
        <w:tabs>
          <w:tab w:val="clear" w:pos="426"/>
        </w:tabs>
        <w:rPr>
          <w:highlight w:val="none"/>
        </w:rPr>
      </w:pPr>
      <w:r>
        <w:rPr>
          <w:rFonts w:hint="eastAsia"/>
          <w:highlight w:val="none"/>
        </w:rPr>
        <w:t>3.3“投标人”或“投标方”，即供应商，是指参加投标竞争并愿意按照招标文件要求向采购人提供货物、工程或者服务的依法成立的法人、其他组织或者自然人；</w:t>
      </w:r>
    </w:p>
    <w:p>
      <w:pPr>
        <w:tabs>
          <w:tab w:val="clear" w:pos="426"/>
        </w:tabs>
        <w:rPr>
          <w:highlight w:val="none"/>
        </w:rPr>
      </w:pPr>
      <w:r>
        <w:rPr>
          <w:rFonts w:hint="eastAsia"/>
          <w:highlight w:val="none"/>
        </w:rPr>
        <w:t>3.4“评标委员会”和“谈判小组”是依据《深圳经济特区政府采购条例》有关规定组建的专门负责本次招标其评标（谈判）工作的临时性机构；</w:t>
      </w:r>
    </w:p>
    <w:p>
      <w:pPr>
        <w:tabs>
          <w:tab w:val="clear" w:pos="426"/>
        </w:tabs>
        <w:rPr>
          <w:highlight w:val="none"/>
        </w:rPr>
      </w:pPr>
      <w:r>
        <w:rPr>
          <w:rFonts w:hint="eastAsia"/>
          <w:highlight w:val="none"/>
        </w:rPr>
        <w:t>3.5“日期”</w:t>
      </w:r>
      <w:r>
        <w:rPr>
          <w:highlight w:val="none"/>
        </w:rPr>
        <w:t>指</w:t>
      </w:r>
      <w:r>
        <w:rPr>
          <w:rFonts w:hint="eastAsia"/>
          <w:highlight w:val="none"/>
        </w:rPr>
        <w:t>公历日；</w:t>
      </w:r>
    </w:p>
    <w:p>
      <w:pPr>
        <w:tabs>
          <w:tab w:val="clear" w:pos="426"/>
        </w:tabs>
        <w:rPr>
          <w:highlight w:val="none"/>
        </w:rPr>
      </w:pPr>
      <w:r>
        <w:rPr>
          <w:rFonts w:hint="eastAsia"/>
          <w:highlight w:val="none"/>
        </w:rPr>
        <w:t>3.6“合同”指由本次招标所产生的合同或合约文件；</w:t>
      </w:r>
    </w:p>
    <w:p>
      <w:pPr>
        <w:tabs>
          <w:tab w:val="clear" w:pos="426"/>
        </w:tabs>
        <w:rPr>
          <w:highlight w:val="none"/>
        </w:rPr>
      </w:pPr>
      <w:r>
        <w:rPr>
          <w:rFonts w:hint="eastAsia"/>
          <w:highlight w:val="none"/>
        </w:rPr>
        <w:t>3.7招标文件中的标题或题名仅起引导作用，而不应视为对招标文件内容的理解和解释。</w:t>
      </w:r>
    </w:p>
    <w:p>
      <w:pPr>
        <w:tabs>
          <w:tab w:val="clear" w:pos="426"/>
        </w:tabs>
        <w:rPr>
          <w:highlight w:val="none"/>
        </w:rPr>
      </w:pPr>
      <w:r>
        <w:rPr>
          <w:rFonts w:hint="eastAsia"/>
          <w:highlight w:val="none"/>
        </w:rPr>
        <w:t>4. 政府采购供应商责任</w:t>
      </w:r>
    </w:p>
    <w:p>
      <w:pPr>
        <w:tabs>
          <w:tab w:val="clear" w:pos="426"/>
        </w:tabs>
        <w:rPr>
          <w:highlight w:val="none"/>
        </w:rPr>
      </w:pPr>
      <w:r>
        <w:rPr>
          <w:rFonts w:hint="eastAsia"/>
          <w:highlight w:val="none"/>
        </w:rPr>
        <w:t>4.1欢迎诚信、有实力和有社会责任心的供应商参与政府采购事业。</w:t>
      </w:r>
    </w:p>
    <w:p>
      <w:pPr>
        <w:tabs>
          <w:tab w:val="clear" w:pos="426"/>
        </w:tabs>
        <w:rPr>
          <w:highlight w:val="none"/>
        </w:rPr>
      </w:pPr>
      <w:r>
        <w:rPr>
          <w:rFonts w:hint="eastAsia"/>
          <w:highlight w:val="none"/>
        </w:rPr>
        <w:t>4.2供应商在政府采购项目投标过程中应诚实守信，不弄虚作假，不隐瞒真实情况，不围标串标，不恶意质疑投诉。如违反上述要求，经核实后，供应商的投标将作废，将该供应商列入不良记录名单并在网上曝光，同时提请政府采购监督管理部门给予一定年限内禁止参加政府采购活动的处罚或其他处罚。</w:t>
      </w:r>
    </w:p>
    <w:p>
      <w:pPr>
        <w:tabs>
          <w:tab w:val="clear" w:pos="426"/>
        </w:tabs>
        <w:rPr>
          <w:highlight w:val="none"/>
        </w:rPr>
      </w:pPr>
      <w:r>
        <w:rPr>
          <w:rFonts w:hint="eastAsia"/>
          <w:highlight w:val="none"/>
        </w:rPr>
        <w:t>5．</w:t>
      </w:r>
      <w:bookmarkEnd w:id="117"/>
      <w:bookmarkEnd w:id="118"/>
      <w:bookmarkEnd w:id="119"/>
      <w:bookmarkEnd w:id="120"/>
      <w:bookmarkEnd w:id="121"/>
      <w:bookmarkEnd w:id="122"/>
      <w:bookmarkEnd w:id="123"/>
      <w:r>
        <w:rPr>
          <w:rFonts w:hint="eastAsia"/>
          <w:highlight w:val="none"/>
        </w:rPr>
        <w:t>合格的投标人</w:t>
      </w:r>
    </w:p>
    <w:p>
      <w:pPr>
        <w:widowControl w:val="0"/>
        <w:shd w:val="clear" w:color="auto" w:fill="auto"/>
        <w:tabs>
          <w:tab w:val="clear" w:pos="426"/>
        </w:tabs>
        <w:autoSpaceDE w:val="0"/>
        <w:autoSpaceDN w:val="0"/>
        <w:rPr>
          <w:szCs w:val="21"/>
          <w:highlight w:val="none"/>
        </w:rPr>
      </w:pPr>
      <w:bookmarkStart w:id="131" w:name="_Toc100052370"/>
      <w:bookmarkStart w:id="132" w:name="_Toc73521641"/>
      <w:bookmarkStart w:id="133" w:name="_Toc73521553"/>
      <w:bookmarkStart w:id="134" w:name="_Toc73518123"/>
      <w:bookmarkStart w:id="135" w:name="_Toc73517645"/>
      <w:bookmarkStart w:id="136" w:name="_Toc60631626"/>
      <w:bookmarkStart w:id="137" w:name="_Toc60560631"/>
      <w:r>
        <w:rPr>
          <w:rFonts w:hint="eastAsia"/>
          <w:szCs w:val="21"/>
          <w:highlight w:val="none"/>
        </w:rPr>
        <w:t>5.1 投标人是响应招标并且符合招标文件规定资格条件和参加投标竞争的法人、其他组织或者自然人。</w:t>
      </w:r>
    </w:p>
    <w:p>
      <w:pPr>
        <w:widowControl w:val="0"/>
        <w:shd w:val="clear" w:color="auto" w:fill="auto"/>
        <w:tabs>
          <w:tab w:val="clear" w:pos="426"/>
        </w:tabs>
        <w:autoSpaceDE w:val="0"/>
        <w:autoSpaceDN w:val="0"/>
        <w:rPr>
          <w:szCs w:val="21"/>
          <w:highlight w:val="none"/>
          <w:lang w:eastAsia="zh-TW"/>
        </w:rPr>
      </w:pPr>
      <w:r>
        <w:rPr>
          <w:rFonts w:hint="eastAsia"/>
          <w:szCs w:val="21"/>
          <w:highlight w:val="none"/>
        </w:rPr>
        <w:t xml:space="preserve">5.2 </w:t>
      </w:r>
      <w:r>
        <w:rPr>
          <w:rFonts w:hint="eastAsia"/>
          <w:szCs w:val="21"/>
          <w:highlight w:val="none"/>
          <w:lang w:eastAsia="zh-TW"/>
        </w:rPr>
        <w:t>合格的投标人</w:t>
      </w:r>
    </w:p>
    <w:p>
      <w:pPr>
        <w:widowControl w:val="0"/>
        <w:shd w:val="clear" w:color="auto" w:fill="auto"/>
        <w:tabs>
          <w:tab w:val="clear" w:pos="426"/>
        </w:tabs>
        <w:autoSpaceDE w:val="0"/>
        <w:autoSpaceDN w:val="0"/>
        <w:rPr>
          <w:szCs w:val="21"/>
          <w:highlight w:val="none"/>
        </w:rPr>
      </w:pPr>
      <w:r>
        <w:rPr>
          <w:rFonts w:hint="eastAsia"/>
          <w:szCs w:val="21"/>
          <w:highlight w:val="none"/>
        </w:rPr>
        <w:t xml:space="preserve">5.2.1 </w:t>
      </w:r>
      <w:r>
        <w:rPr>
          <w:szCs w:val="21"/>
          <w:highlight w:val="none"/>
        </w:rPr>
        <w:t>具有独立承担民事责任的能力。</w:t>
      </w:r>
    </w:p>
    <w:p>
      <w:pPr>
        <w:widowControl w:val="0"/>
        <w:shd w:val="clear" w:color="auto" w:fill="auto"/>
        <w:tabs>
          <w:tab w:val="clear" w:pos="426"/>
        </w:tabs>
        <w:autoSpaceDE w:val="0"/>
        <w:autoSpaceDN w:val="0"/>
        <w:rPr>
          <w:szCs w:val="21"/>
          <w:highlight w:val="none"/>
        </w:rPr>
      </w:pPr>
      <w:r>
        <w:rPr>
          <w:rFonts w:hint="eastAsia"/>
          <w:szCs w:val="21"/>
          <w:highlight w:val="none"/>
        </w:rPr>
        <w:t xml:space="preserve">5.2.2 </w:t>
      </w:r>
      <w:r>
        <w:rPr>
          <w:szCs w:val="21"/>
          <w:highlight w:val="none"/>
        </w:rPr>
        <w:t>具有良好的商业信誉和健全的财务会计制度</w:t>
      </w:r>
      <w:r>
        <w:rPr>
          <w:rFonts w:hint="eastAsia"/>
          <w:szCs w:val="21"/>
          <w:highlight w:val="none"/>
        </w:rPr>
        <w:t>。</w:t>
      </w:r>
    </w:p>
    <w:p>
      <w:pPr>
        <w:widowControl w:val="0"/>
        <w:shd w:val="clear" w:color="auto" w:fill="auto"/>
        <w:tabs>
          <w:tab w:val="clear" w:pos="426"/>
        </w:tabs>
        <w:autoSpaceDE w:val="0"/>
        <w:autoSpaceDN w:val="0"/>
        <w:rPr>
          <w:szCs w:val="21"/>
          <w:highlight w:val="none"/>
        </w:rPr>
      </w:pPr>
      <w:r>
        <w:rPr>
          <w:rFonts w:hint="eastAsia"/>
          <w:szCs w:val="21"/>
          <w:highlight w:val="none"/>
        </w:rPr>
        <w:t xml:space="preserve">5.2.3 </w:t>
      </w:r>
      <w:r>
        <w:rPr>
          <w:szCs w:val="21"/>
          <w:highlight w:val="none"/>
        </w:rPr>
        <w:t>具有履行合同所必需的设备和专业技术能力</w:t>
      </w:r>
      <w:r>
        <w:rPr>
          <w:rFonts w:hint="eastAsia"/>
          <w:szCs w:val="21"/>
          <w:highlight w:val="none"/>
        </w:rPr>
        <w:t>。</w:t>
      </w:r>
    </w:p>
    <w:p>
      <w:pPr>
        <w:widowControl w:val="0"/>
        <w:shd w:val="clear" w:color="auto" w:fill="auto"/>
        <w:tabs>
          <w:tab w:val="clear" w:pos="426"/>
        </w:tabs>
        <w:autoSpaceDE w:val="0"/>
        <w:autoSpaceDN w:val="0"/>
        <w:rPr>
          <w:szCs w:val="21"/>
          <w:highlight w:val="none"/>
        </w:rPr>
      </w:pPr>
      <w:r>
        <w:rPr>
          <w:rFonts w:hint="eastAsia"/>
          <w:szCs w:val="21"/>
          <w:highlight w:val="none"/>
        </w:rPr>
        <w:t xml:space="preserve">5.2.4 </w:t>
      </w:r>
      <w:r>
        <w:rPr>
          <w:szCs w:val="21"/>
          <w:highlight w:val="none"/>
        </w:rPr>
        <w:t>有依法缴纳税收和社会保障资金的良好记录</w:t>
      </w:r>
      <w:r>
        <w:rPr>
          <w:rFonts w:hint="eastAsia"/>
          <w:szCs w:val="21"/>
          <w:highlight w:val="none"/>
        </w:rPr>
        <w:t>。</w:t>
      </w:r>
    </w:p>
    <w:p>
      <w:pPr>
        <w:widowControl w:val="0"/>
        <w:shd w:val="clear" w:color="auto" w:fill="auto"/>
        <w:tabs>
          <w:tab w:val="clear" w:pos="426"/>
        </w:tabs>
        <w:autoSpaceDE w:val="0"/>
        <w:autoSpaceDN w:val="0"/>
        <w:rPr>
          <w:szCs w:val="21"/>
          <w:highlight w:val="none"/>
        </w:rPr>
      </w:pPr>
      <w:r>
        <w:rPr>
          <w:rFonts w:hint="eastAsia"/>
          <w:szCs w:val="21"/>
          <w:highlight w:val="none"/>
        </w:rPr>
        <w:t xml:space="preserve">5.2.5 </w:t>
      </w:r>
      <w:r>
        <w:rPr>
          <w:szCs w:val="21"/>
          <w:highlight w:val="none"/>
        </w:rPr>
        <w:t>参加政府采购活动前三年内，在经营活动中没有重大违法记录</w:t>
      </w:r>
      <w:r>
        <w:rPr>
          <w:rFonts w:hint="eastAsia"/>
          <w:szCs w:val="21"/>
          <w:highlight w:val="none"/>
        </w:rPr>
        <w:t>。</w:t>
      </w:r>
    </w:p>
    <w:p>
      <w:pPr>
        <w:widowControl w:val="0"/>
        <w:shd w:val="clear" w:color="auto" w:fill="auto"/>
        <w:tabs>
          <w:tab w:val="clear" w:pos="426"/>
        </w:tabs>
        <w:autoSpaceDE w:val="0"/>
        <w:autoSpaceDN w:val="0"/>
        <w:rPr>
          <w:szCs w:val="21"/>
          <w:highlight w:val="none"/>
        </w:rPr>
      </w:pPr>
      <w:r>
        <w:rPr>
          <w:rFonts w:hint="eastAsia"/>
          <w:szCs w:val="21"/>
          <w:highlight w:val="none"/>
        </w:rPr>
        <w:t xml:space="preserve">5.2.6 </w:t>
      </w:r>
      <w:r>
        <w:rPr>
          <w:szCs w:val="21"/>
          <w:highlight w:val="none"/>
        </w:rPr>
        <w:t>法律、行政法规规定的其他条件</w:t>
      </w:r>
      <w:r>
        <w:rPr>
          <w:rFonts w:hint="eastAsia"/>
          <w:szCs w:val="21"/>
          <w:highlight w:val="none"/>
        </w:rPr>
        <w:t>。</w:t>
      </w:r>
    </w:p>
    <w:p>
      <w:pPr>
        <w:widowControl w:val="0"/>
        <w:shd w:val="clear" w:color="auto" w:fill="auto"/>
        <w:tabs>
          <w:tab w:val="clear" w:pos="426"/>
        </w:tabs>
        <w:autoSpaceDE w:val="0"/>
        <w:autoSpaceDN w:val="0"/>
        <w:rPr>
          <w:szCs w:val="21"/>
          <w:highlight w:val="none"/>
        </w:rPr>
      </w:pPr>
      <w:r>
        <w:rPr>
          <w:rFonts w:hint="eastAsia"/>
          <w:szCs w:val="21"/>
          <w:highlight w:val="none"/>
        </w:rPr>
        <w:t>5.2.7 只有在法律上和财务上独立、合法运作并独立于采购人和政府采购代理机构的供货商才能参加投标。</w:t>
      </w:r>
    </w:p>
    <w:p>
      <w:pPr>
        <w:widowControl w:val="0"/>
        <w:shd w:val="clear" w:color="auto" w:fill="auto"/>
        <w:tabs>
          <w:tab w:val="clear" w:pos="426"/>
        </w:tabs>
        <w:autoSpaceDE w:val="0"/>
        <w:autoSpaceDN w:val="0"/>
        <w:rPr>
          <w:b/>
          <w:szCs w:val="21"/>
          <w:highlight w:val="none"/>
        </w:rPr>
      </w:pPr>
      <w:r>
        <w:rPr>
          <w:rFonts w:hint="eastAsia"/>
          <w:szCs w:val="21"/>
          <w:highlight w:val="none"/>
        </w:rPr>
        <w:t>5.2.8 法定代表人或单位负责人为同一人或者存在直接控股、管理关系的不同单位不得同时参与同一个项目（包组）的竞争。</w:t>
      </w:r>
    </w:p>
    <w:p>
      <w:pPr>
        <w:widowControl w:val="0"/>
        <w:shd w:val="clear" w:color="auto" w:fill="auto"/>
        <w:tabs>
          <w:tab w:val="clear" w:pos="426"/>
        </w:tabs>
        <w:autoSpaceDE w:val="0"/>
        <w:autoSpaceDN w:val="0"/>
        <w:rPr>
          <w:szCs w:val="21"/>
          <w:highlight w:val="none"/>
        </w:rPr>
      </w:pPr>
      <w:r>
        <w:rPr>
          <w:rFonts w:hint="eastAsia"/>
          <w:szCs w:val="21"/>
          <w:highlight w:val="none"/>
        </w:rPr>
        <w:t>5.2.9 符合</w:t>
      </w:r>
      <w:r>
        <w:rPr>
          <w:rFonts w:hint="eastAsia" w:cs="黑体"/>
          <w:szCs w:val="21"/>
          <w:highlight w:val="none"/>
        </w:rPr>
        <w:t>第一章采购公告“投标人资格要求”</w:t>
      </w:r>
      <w:r>
        <w:rPr>
          <w:rFonts w:hint="eastAsia"/>
          <w:szCs w:val="21"/>
          <w:highlight w:val="none"/>
        </w:rPr>
        <w:t>的条款</w:t>
      </w:r>
      <w:r>
        <w:rPr>
          <w:rFonts w:hint="eastAsia" w:cs="黑体"/>
          <w:szCs w:val="21"/>
          <w:highlight w:val="none"/>
        </w:rPr>
        <w:t>。</w:t>
      </w:r>
    </w:p>
    <w:p>
      <w:pPr>
        <w:widowControl w:val="0"/>
        <w:shd w:val="clear" w:color="auto" w:fill="auto"/>
        <w:tabs>
          <w:tab w:val="clear" w:pos="426"/>
        </w:tabs>
        <w:autoSpaceDE w:val="0"/>
        <w:autoSpaceDN w:val="0"/>
        <w:rPr>
          <w:szCs w:val="21"/>
          <w:highlight w:val="none"/>
        </w:rPr>
      </w:pPr>
      <w:r>
        <w:rPr>
          <w:rFonts w:hint="eastAsia"/>
          <w:szCs w:val="21"/>
          <w:highlight w:val="none"/>
        </w:rPr>
        <w:t>5.3 中标人是指经法定程序确定并授予合同的投标人。</w:t>
      </w:r>
    </w:p>
    <w:p>
      <w:pPr>
        <w:tabs>
          <w:tab w:val="clear" w:pos="426"/>
        </w:tabs>
        <w:rPr>
          <w:highlight w:val="none"/>
        </w:rPr>
      </w:pPr>
      <w:r>
        <w:rPr>
          <w:rFonts w:hint="eastAsia"/>
          <w:highlight w:val="none"/>
        </w:rPr>
        <w:t>6．联合体投标</w:t>
      </w:r>
    </w:p>
    <w:p>
      <w:pPr>
        <w:tabs>
          <w:tab w:val="clear" w:pos="426"/>
        </w:tabs>
        <w:rPr>
          <w:highlight w:val="none"/>
        </w:rPr>
      </w:pPr>
      <w:r>
        <w:rPr>
          <w:rFonts w:hint="eastAsia"/>
          <w:highlight w:val="none"/>
        </w:rPr>
        <w:t>6.1　以下有关联合体投标的条款仅适用于允许投标人组成联合体投标的项目。</w:t>
      </w:r>
    </w:p>
    <w:p>
      <w:pPr>
        <w:tabs>
          <w:tab w:val="clear" w:pos="426"/>
        </w:tabs>
        <w:rPr>
          <w:highlight w:val="none"/>
        </w:rPr>
      </w:pPr>
      <w:r>
        <w:rPr>
          <w:rFonts w:hint="eastAsia"/>
          <w:highlight w:val="none"/>
        </w:rPr>
        <w:t>6.2　由两个或两个以上的自然人、法人或者其他组织可以组成一个联合体，以一个供应商的身份共同投标时，应符合以下原则：</w:t>
      </w:r>
    </w:p>
    <w:p>
      <w:pPr>
        <w:tabs>
          <w:tab w:val="clear" w:pos="426"/>
        </w:tabs>
        <w:rPr>
          <w:color w:val="000000"/>
          <w:highlight w:val="none"/>
        </w:rPr>
      </w:pPr>
      <w:r>
        <w:rPr>
          <w:rFonts w:hint="eastAsia"/>
          <w:color w:val="000000"/>
          <w:highlight w:val="none"/>
        </w:rPr>
        <w:t>6.2.</w:t>
      </w:r>
      <w:r>
        <w:rPr>
          <w:rFonts w:hint="eastAsia"/>
          <w:bCs/>
          <w:color w:val="000000"/>
          <w:highlight w:val="none"/>
        </w:rPr>
        <w:t>1投标联合体应满足采购公告有关投标人资格要求中对联合体的要求；</w:t>
      </w:r>
    </w:p>
    <w:p>
      <w:pPr>
        <w:tabs>
          <w:tab w:val="clear" w:pos="426"/>
        </w:tabs>
        <w:rPr>
          <w:color w:val="000000"/>
          <w:highlight w:val="none"/>
        </w:rPr>
      </w:pPr>
      <w:r>
        <w:rPr>
          <w:rFonts w:hint="eastAsia"/>
          <w:color w:val="000000"/>
          <w:highlight w:val="none"/>
        </w:rPr>
        <w:t>6.2.2对于采购公告中所要求投标人应具有的某一资质，若联合体各方均具有，则将以联合体各方中最低的资质等级作为联合体在这一资质条件上的资质等级；联合体各方的不同资质可优势互补。</w:t>
      </w:r>
    </w:p>
    <w:p>
      <w:pPr>
        <w:tabs>
          <w:tab w:val="clear" w:pos="426"/>
        </w:tabs>
        <w:rPr>
          <w:color w:val="000000"/>
          <w:highlight w:val="none"/>
        </w:rPr>
      </w:pPr>
      <w:r>
        <w:rPr>
          <w:rFonts w:hint="eastAsia"/>
          <w:color w:val="000000"/>
          <w:highlight w:val="none"/>
        </w:rPr>
        <w:t>6.2.3投标人的投标文件及中标后签署的合同协议对联合体各方均具法律约束力；</w:t>
      </w:r>
    </w:p>
    <w:p>
      <w:pPr>
        <w:tabs>
          <w:tab w:val="clear" w:pos="426"/>
        </w:tabs>
        <w:rPr>
          <w:color w:val="000000"/>
          <w:highlight w:val="none"/>
        </w:rPr>
      </w:pPr>
      <w:r>
        <w:rPr>
          <w:rFonts w:hint="eastAsia"/>
          <w:color w:val="000000"/>
          <w:highlight w:val="none"/>
        </w:rPr>
        <w:t>6.2.4联合体各方应当签订共同投标协议，明确约定各方拟承担的工作和责任，并将该共同投标协议随投标文件一并递交给政府采购代理机构；</w:t>
      </w:r>
    </w:p>
    <w:p>
      <w:pPr>
        <w:tabs>
          <w:tab w:val="clear" w:pos="426"/>
        </w:tabs>
        <w:rPr>
          <w:color w:val="000000"/>
          <w:highlight w:val="none"/>
        </w:rPr>
      </w:pPr>
      <w:r>
        <w:rPr>
          <w:rFonts w:hint="eastAsia"/>
          <w:color w:val="000000"/>
          <w:highlight w:val="none"/>
        </w:rPr>
        <w:t>6.2.5联合体的各方应当共同推荐一联合体投标授权代表人，由联合体各方提交一份授权书，证明其有资格代表联合体各方签署投标文件，该授权书作为投标文件的组成部分一并提交给政府采购代理机构；</w:t>
      </w:r>
    </w:p>
    <w:p>
      <w:pPr>
        <w:tabs>
          <w:tab w:val="clear" w:pos="426"/>
        </w:tabs>
        <w:rPr>
          <w:color w:val="000000"/>
          <w:highlight w:val="none"/>
        </w:rPr>
      </w:pPr>
      <w:r>
        <w:rPr>
          <w:rFonts w:hint="eastAsia"/>
          <w:color w:val="000000"/>
          <w:highlight w:val="none"/>
        </w:rPr>
        <w:t>6.2.6参加联合体的各方不得再以自己的名义单独投标，不得同时参加两个或两个以上的联合体投标、不得以分包商或其它形式参与投标，出现上述情况者，其投标和与此有关联合体、总包单位的投标将被拒绝；</w:t>
      </w:r>
    </w:p>
    <w:p>
      <w:pPr>
        <w:tabs>
          <w:tab w:val="clear" w:pos="426"/>
        </w:tabs>
        <w:rPr>
          <w:color w:val="000000"/>
          <w:highlight w:val="none"/>
        </w:rPr>
      </w:pPr>
      <w:r>
        <w:rPr>
          <w:rFonts w:hint="eastAsia"/>
          <w:color w:val="000000"/>
          <w:highlight w:val="none"/>
        </w:rPr>
        <w:t>6.2.7除非另有规定或说明，本须知中“投标人”一词亦指联合体各方。</w:t>
      </w:r>
    </w:p>
    <w:p>
      <w:pPr>
        <w:tabs>
          <w:tab w:val="clear" w:pos="426"/>
        </w:tabs>
        <w:rPr>
          <w:highlight w:val="none"/>
        </w:rPr>
      </w:pPr>
      <w:r>
        <w:rPr>
          <w:rFonts w:hint="eastAsia"/>
          <w:highlight w:val="none"/>
        </w:rPr>
        <w:t>7. 合格的服务和货物</w:t>
      </w:r>
    </w:p>
    <w:p>
      <w:pPr>
        <w:widowControl w:val="0"/>
        <w:shd w:val="clear" w:color="auto" w:fill="auto"/>
        <w:tabs>
          <w:tab w:val="clear" w:pos="426"/>
        </w:tabs>
        <w:autoSpaceDE w:val="0"/>
        <w:autoSpaceDN w:val="0"/>
        <w:rPr>
          <w:szCs w:val="21"/>
          <w:highlight w:val="none"/>
        </w:rPr>
      </w:pPr>
      <w:r>
        <w:rPr>
          <w:rFonts w:hint="eastAsia"/>
          <w:szCs w:val="21"/>
          <w:highlight w:val="none"/>
        </w:rPr>
        <w:t>7.1 “服务” 是指投标人按招标文件规定完成的全部服务内容，其中包括完成服务所需的货物，及须承担的技术支持、培训和其它伴随服务。</w:t>
      </w:r>
    </w:p>
    <w:p>
      <w:pPr>
        <w:widowControl w:val="0"/>
        <w:shd w:val="clear" w:color="auto" w:fill="auto"/>
        <w:tabs>
          <w:tab w:val="clear" w:pos="426"/>
        </w:tabs>
        <w:autoSpaceDE w:val="0"/>
        <w:autoSpaceDN w:val="0"/>
        <w:rPr>
          <w:rFonts w:cs="黑体"/>
          <w:b/>
          <w:bCs/>
          <w:szCs w:val="21"/>
          <w:highlight w:val="none"/>
        </w:rPr>
      </w:pPr>
      <w:r>
        <w:rPr>
          <w:rFonts w:hint="eastAsia"/>
          <w:szCs w:val="21"/>
          <w:highlight w:val="none"/>
        </w:rPr>
        <w:t>7.2 “货物”是指投标人制造或组织符合招标文件要求的货物等。投标的货物必须是其合法生产、合法来源的符合国家有关标准要求的货物，并满足招标文件规定的规格、参数、质量、价格、有效期、售后服务等要求。</w:t>
      </w:r>
    </w:p>
    <w:p>
      <w:pPr>
        <w:widowControl w:val="0"/>
        <w:shd w:val="clear" w:color="auto" w:fill="auto"/>
        <w:tabs>
          <w:tab w:val="clear" w:pos="426"/>
        </w:tabs>
        <w:autoSpaceDE w:val="0"/>
        <w:autoSpaceDN w:val="0"/>
        <w:rPr>
          <w:szCs w:val="21"/>
          <w:highlight w:val="none"/>
        </w:rPr>
      </w:pPr>
      <w:r>
        <w:rPr>
          <w:rFonts w:hint="eastAsia"/>
          <w:szCs w:val="21"/>
          <w:highlight w:val="none"/>
        </w:rPr>
        <w:t>7.3 投标人提供的所有服务，其质量、技术等特征必须符合国家、行业现行法律、法规的相关标准和《中华人民共和国政府采购法》的有关规定及用户需求。</w:t>
      </w:r>
    </w:p>
    <w:p>
      <w:pPr>
        <w:widowControl w:val="0"/>
        <w:shd w:val="clear" w:color="auto" w:fill="auto"/>
        <w:tabs>
          <w:tab w:val="clear" w:pos="426"/>
        </w:tabs>
        <w:autoSpaceDE w:val="0"/>
        <w:autoSpaceDN w:val="0"/>
        <w:rPr>
          <w:szCs w:val="21"/>
          <w:highlight w:val="none"/>
        </w:rPr>
      </w:pPr>
      <w:r>
        <w:rPr>
          <w:rFonts w:hint="eastAsia"/>
          <w:szCs w:val="21"/>
          <w:highlight w:val="none"/>
        </w:rPr>
        <w:t>7.4 采购人有权拒绝接受任何不合格的服务，由此产生的费用及相关后果均由供应商自行承担。</w:t>
      </w:r>
    </w:p>
    <w:p>
      <w:pPr>
        <w:widowControl w:val="0"/>
        <w:shd w:val="clear" w:color="auto" w:fill="auto"/>
        <w:tabs>
          <w:tab w:val="clear" w:pos="426"/>
        </w:tabs>
        <w:autoSpaceDE w:val="0"/>
        <w:autoSpaceDN w:val="0"/>
        <w:rPr>
          <w:szCs w:val="21"/>
          <w:highlight w:val="none"/>
        </w:rPr>
      </w:pPr>
      <w:r>
        <w:rPr>
          <w:rFonts w:hint="eastAsia"/>
          <w:szCs w:val="21"/>
          <w:highlight w:val="none"/>
        </w:rPr>
        <w:t>7.5 投标人应保证本项目的投标技术、服务或其任何一部分不会产生因第三方提出侵犯其专利权、商标权或其他知识产权而引起的法律和经济纠纷；如果投标人不拥有相应的知识产权，则须在报价中包括合法获取该知识产权的相关费用，并在投标文件中附有相关证明文件。如因第三方提出其专利权、商标权或其他知识产权的侵权之诉，则一切法律责任由投标人承担。</w:t>
      </w:r>
    </w:p>
    <w:p>
      <w:pPr>
        <w:tabs>
          <w:tab w:val="clear" w:pos="426"/>
        </w:tabs>
        <w:rPr>
          <w:highlight w:val="none"/>
        </w:rPr>
      </w:pPr>
      <w:r>
        <w:rPr>
          <w:rFonts w:hint="eastAsia"/>
          <w:highlight w:val="none"/>
        </w:rPr>
        <w:t>8．投标费用</w:t>
      </w:r>
      <w:bookmarkEnd w:id="131"/>
      <w:bookmarkEnd w:id="132"/>
      <w:bookmarkEnd w:id="133"/>
      <w:bookmarkEnd w:id="134"/>
      <w:bookmarkEnd w:id="135"/>
      <w:bookmarkEnd w:id="136"/>
      <w:bookmarkEnd w:id="137"/>
    </w:p>
    <w:p>
      <w:pPr>
        <w:tabs>
          <w:tab w:val="clear" w:pos="426"/>
        </w:tabs>
        <w:rPr>
          <w:highlight w:val="none"/>
        </w:rPr>
      </w:pPr>
      <w:r>
        <w:rPr>
          <w:rFonts w:hint="eastAsia"/>
          <w:highlight w:val="none"/>
        </w:rPr>
        <w:t>不论投标结果如何，投标人应承担其编制投标文件与递交投标文件所涉及的一切费用。</w:t>
      </w:r>
      <w:r>
        <w:rPr>
          <w:rFonts w:hint="eastAsia"/>
          <w:szCs w:val="21"/>
          <w:highlight w:val="none"/>
          <w:lang w:eastAsia="zh-TW"/>
        </w:rPr>
        <w:t>不论投标的结果如何</w:t>
      </w:r>
      <w:r>
        <w:rPr>
          <w:rFonts w:hint="eastAsia"/>
          <w:szCs w:val="21"/>
          <w:highlight w:val="none"/>
        </w:rPr>
        <w:t>，</w:t>
      </w:r>
      <w:r>
        <w:rPr>
          <w:rFonts w:hint="eastAsia"/>
          <w:szCs w:val="21"/>
          <w:highlight w:val="none"/>
          <w:lang w:eastAsia="zh-TW"/>
        </w:rPr>
        <w:t>招标采购单位均无义务和责任承担这些费用</w:t>
      </w:r>
      <w:r>
        <w:rPr>
          <w:rFonts w:hint="eastAsia"/>
          <w:szCs w:val="21"/>
          <w:highlight w:val="none"/>
        </w:rPr>
        <w:t>。</w:t>
      </w:r>
    </w:p>
    <w:p>
      <w:pPr>
        <w:tabs>
          <w:tab w:val="clear" w:pos="426"/>
        </w:tabs>
        <w:rPr>
          <w:highlight w:val="none"/>
        </w:rPr>
      </w:pPr>
      <w:bookmarkStart w:id="138" w:name="_Toc60631627"/>
      <w:bookmarkStart w:id="139" w:name="_Toc100052371"/>
      <w:bookmarkStart w:id="140" w:name="_Toc73517646"/>
      <w:bookmarkStart w:id="141" w:name="_Toc73521642"/>
      <w:bookmarkStart w:id="142" w:name="_Toc73521554"/>
      <w:bookmarkStart w:id="143" w:name="_Toc73518124"/>
      <w:bookmarkStart w:id="144" w:name="_Toc60560632"/>
      <w:r>
        <w:rPr>
          <w:rFonts w:hint="eastAsia"/>
          <w:highlight w:val="none"/>
        </w:rPr>
        <w:t>9．踏勘现场</w:t>
      </w:r>
      <w:bookmarkEnd w:id="138"/>
      <w:bookmarkEnd w:id="139"/>
      <w:bookmarkEnd w:id="140"/>
      <w:bookmarkEnd w:id="141"/>
      <w:bookmarkEnd w:id="142"/>
      <w:bookmarkEnd w:id="143"/>
      <w:bookmarkEnd w:id="144"/>
    </w:p>
    <w:p>
      <w:pPr>
        <w:tabs>
          <w:tab w:val="clear" w:pos="426"/>
        </w:tabs>
        <w:rPr>
          <w:highlight w:val="none"/>
        </w:rPr>
      </w:pPr>
      <w:bookmarkStart w:id="145" w:name="_Toc78260681"/>
      <w:bookmarkStart w:id="146" w:name="_Toc100052372"/>
      <w:r>
        <w:rPr>
          <w:rFonts w:hint="eastAsia"/>
          <w:highlight w:val="none"/>
        </w:rPr>
        <w:t>9.1如有需要，采购代理机构或采购单位将组织投标人对项目现场及周围环境进行踏勘，以便投标人获取有关编制投标文件和签署合同所需的所有资料。踏勘现场所发生的费用和风险由投标人自己承担，投标人应按采购公告所约定的时间、地点统一踏勘现场。</w:t>
      </w:r>
    </w:p>
    <w:p>
      <w:pPr>
        <w:tabs>
          <w:tab w:val="clear" w:pos="426"/>
        </w:tabs>
        <w:rPr>
          <w:highlight w:val="none"/>
        </w:rPr>
      </w:pPr>
      <w:r>
        <w:rPr>
          <w:rFonts w:hint="eastAsia"/>
          <w:highlight w:val="none"/>
        </w:rPr>
        <w:t>9.2投标人及其人员经过采购单位的允许，可以踏勘目的进入采购单位的项目现场。若本项目招标文件要求投标人于统一时间地点踏勘现场的，投标人按时前往。</w:t>
      </w:r>
    </w:p>
    <w:p>
      <w:pPr>
        <w:tabs>
          <w:tab w:val="clear" w:pos="426"/>
        </w:tabs>
        <w:rPr>
          <w:highlight w:val="none"/>
        </w:rPr>
      </w:pPr>
      <w:r>
        <w:rPr>
          <w:rFonts w:hint="eastAsia"/>
          <w:highlight w:val="none"/>
        </w:rPr>
        <w:t>9.3采购单位必须通过采购代理机构向投标人提供有关现场的资料和数据。</w:t>
      </w:r>
    </w:p>
    <w:p>
      <w:pPr>
        <w:tabs>
          <w:tab w:val="clear" w:pos="426"/>
        </w:tabs>
        <w:rPr>
          <w:highlight w:val="none"/>
        </w:rPr>
      </w:pPr>
      <w:r>
        <w:rPr>
          <w:rFonts w:hint="eastAsia"/>
          <w:highlight w:val="none"/>
        </w:rPr>
        <w:t>9.4任何人或任何组织在踏勘现场时向投标人提交的任何书面或口头上的资料，未经采购代理机构在网上发布或书面通知，均作无效处理。采购代理机构对投标人由此而做出的推论、理解和结论概不负责。</w:t>
      </w:r>
    </w:p>
    <w:p>
      <w:pPr>
        <w:tabs>
          <w:tab w:val="clear" w:pos="426"/>
        </w:tabs>
        <w:rPr>
          <w:highlight w:val="none"/>
        </w:rPr>
      </w:pPr>
      <w:r>
        <w:rPr>
          <w:rFonts w:hint="eastAsia"/>
          <w:highlight w:val="none"/>
        </w:rPr>
        <w:t>9.5 未参与现场踏勘不作为否定投标人资格的理由。</w:t>
      </w:r>
    </w:p>
    <w:p>
      <w:pPr>
        <w:tabs>
          <w:tab w:val="clear" w:pos="426"/>
        </w:tabs>
        <w:rPr>
          <w:highlight w:val="none"/>
        </w:rPr>
      </w:pPr>
      <w:r>
        <w:rPr>
          <w:rFonts w:hint="eastAsia"/>
          <w:highlight w:val="none"/>
        </w:rPr>
        <w:t>10．招标</w:t>
      </w:r>
      <w:bookmarkEnd w:id="145"/>
      <w:r>
        <w:rPr>
          <w:rFonts w:hint="eastAsia"/>
          <w:highlight w:val="none"/>
        </w:rPr>
        <w:t>答疑</w:t>
      </w:r>
      <w:bookmarkEnd w:id="146"/>
    </w:p>
    <w:p>
      <w:pPr>
        <w:tabs>
          <w:tab w:val="clear" w:pos="426"/>
        </w:tabs>
        <w:rPr>
          <w:highlight w:val="none"/>
        </w:rPr>
      </w:pPr>
      <w:r>
        <w:rPr>
          <w:rFonts w:hint="eastAsia"/>
          <w:highlight w:val="none"/>
        </w:rPr>
        <w:t>10.1招标答疑的目的是澄清、解答投标人在查阅招标文件后或现场踏勘中可能提出的与投标有关的疑问或询问。</w:t>
      </w:r>
    </w:p>
    <w:p>
      <w:pPr>
        <w:tabs>
          <w:tab w:val="clear" w:pos="426"/>
        </w:tabs>
        <w:rPr>
          <w:highlight w:val="none"/>
        </w:rPr>
      </w:pPr>
      <w:r>
        <w:rPr>
          <w:rFonts w:hint="eastAsia"/>
          <w:highlight w:val="none"/>
        </w:rPr>
        <w:t>10.2投标人提出的与投标有关的问题须在招标文件规定的答疑截止时间前以 “质疑函</w:t>
      </w:r>
      <w:r>
        <w:rPr>
          <w:highlight w:val="none"/>
        </w:rPr>
        <w:t>”</w:t>
      </w:r>
      <w:r>
        <w:rPr>
          <w:rFonts w:hint="eastAsia"/>
          <w:highlight w:val="none"/>
        </w:rPr>
        <w:t>的形式提交给采购代理机构，质疑函应该加盖质疑单位公章。</w:t>
      </w:r>
    </w:p>
    <w:p>
      <w:pPr>
        <w:tabs>
          <w:tab w:val="clear" w:pos="426"/>
        </w:tabs>
        <w:rPr>
          <w:highlight w:val="none"/>
        </w:rPr>
      </w:pPr>
      <w:r>
        <w:rPr>
          <w:rFonts w:hint="eastAsia"/>
          <w:highlight w:val="none"/>
        </w:rPr>
        <w:t>10.3采购代理机构对疑问所做出的澄清和解答，以书面答复（包括网站发布信息）为准。答疑纪要的有效性规定按照本通用条款第13</w:t>
      </w:r>
      <w:r>
        <w:rPr>
          <w:highlight w:val="none"/>
        </w:rPr>
        <w:t>.3</w:t>
      </w:r>
      <w:r>
        <w:rPr>
          <w:rFonts w:hint="eastAsia"/>
          <w:highlight w:val="none"/>
        </w:rPr>
        <w:t>、13</w:t>
      </w:r>
      <w:r>
        <w:rPr>
          <w:highlight w:val="none"/>
        </w:rPr>
        <w:t>.4</w:t>
      </w:r>
      <w:r>
        <w:rPr>
          <w:rFonts w:hint="eastAsia"/>
          <w:highlight w:val="none"/>
        </w:rPr>
        <w:t>款规定执行。</w:t>
      </w:r>
    </w:p>
    <w:p>
      <w:pPr>
        <w:tabs>
          <w:tab w:val="clear" w:pos="426"/>
        </w:tabs>
        <w:rPr>
          <w:highlight w:val="none"/>
        </w:rPr>
      </w:pPr>
      <w:r>
        <w:rPr>
          <w:rFonts w:hint="eastAsia"/>
          <w:highlight w:val="none"/>
        </w:rPr>
        <w:t>10.4如采购代理机构认为有必要组织现场答疑会，投标人应按照招标文件规定的时间或采购代理机构另行书面通知（包括网站发布的通知）的时间和地点，参与现场答疑会。</w:t>
      </w:r>
    </w:p>
    <w:p>
      <w:pPr>
        <w:tabs>
          <w:tab w:val="clear" w:pos="426"/>
        </w:tabs>
        <w:rPr>
          <w:highlight w:val="none"/>
        </w:rPr>
      </w:pPr>
      <w:r>
        <w:rPr>
          <w:rFonts w:hint="eastAsia"/>
          <w:highlight w:val="none"/>
        </w:rPr>
        <w:t>10.5未参与招标答疑不作为否定投标人资格的理由。</w:t>
      </w:r>
    </w:p>
    <w:p>
      <w:pPr>
        <w:pStyle w:val="5"/>
        <w:tabs>
          <w:tab w:val="clear" w:pos="426"/>
        </w:tabs>
        <w:rPr>
          <w:highlight w:val="none"/>
        </w:rPr>
      </w:pPr>
      <w:bookmarkStart w:id="147" w:name="bt招标文件"/>
      <w:bookmarkEnd w:id="147"/>
      <w:bookmarkStart w:id="148" w:name="_Toc12610131"/>
      <w:bookmarkStart w:id="149" w:name="_Toc432592822"/>
      <w:bookmarkStart w:id="150" w:name="_Toc398220530"/>
      <w:bookmarkStart w:id="151" w:name="_Toc101074878"/>
      <w:bookmarkStart w:id="152" w:name="_Toc100052373"/>
      <w:bookmarkStart w:id="153" w:name="_Toc73521644"/>
      <w:bookmarkStart w:id="154" w:name="_Toc73521556"/>
      <w:bookmarkStart w:id="155" w:name="_Toc73518126"/>
      <w:bookmarkStart w:id="156" w:name="_Toc73517648"/>
      <w:r>
        <w:rPr>
          <w:rFonts w:hint="eastAsia"/>
          <w:highlight w:val="none"/>
        </w:rPr>
        <w:t>第二章 招标文件</w:t>
      </w:r>
      <w:bookmarkEnd w:id="148"/>
      <w:bookmarkEnd w:id="149"/>
      <w:bookmarkEnd w:id="150"/>
      <w:bookmarkEnd w:id="151"/>
      <w:bookmarkEnd w:id="152"/>
      <w:bookmarkEnd w:id="153"/>
      <w:bookmarkEnd w:id="154"/>
      <w:bookmarkEnd w:id="155"/>
      <w:bookmarkEnd w:id="156"/>
    </w:p>
    <w:p>
      <w:pPr>
        <w:tabs>
          <w:tab w:val="clear" w:pos="426"/>
        </w:tabs>
        <w:rPr>
          <w:highlight w:val="none"/>
        </w:rPr>
      </w:pPr>
      <w:bookmarkStart w:id="157" w:name="_Toc73521557"/>
      <w:bookmarkStart w:id="158" w:name="_Toc73518127"/>
      <w:bookmarkStart w:id="159" w:name="_Toc73517649"/>
      <w:bookmarkStart w:id="160" w:name="_Toc100052374"/>
      <w:bookmarkStart w:id="161" w:name="_Toc73521645"/>
      <w:r>
        <w:rPr>
          <w:rFonts w:hint="eastAsia"/>
          <w:highlight w:val="none"/>
        </w:rPr>
        <w:t>11．招标文件的编制与组成</w:t>
      </w:r>
      <w:bookmarkEnd w:id="157"/>
      <w:bookmarkEnd w:id="158"/>
      <w:bookmarkEnd w:id="159"/>
      <w:bookmarkEnd w:id="160"/>
      <w:bookmarkEnd w:id="161"/>
    </w:p>
    <w:p>
      <w:pPr>
        <w:tabs>
          <w:tab w:val="clear" w:pos="426"/>
        </w:tabs>
        <w:rPr>
          <w:highlight w:val="none"/>
        </w:rPr>
      </w:pPr>
      <w:r>
        <w:rPr>
          <w:rFonts w:hint="eastAsia"/>
          <w:highlight w:val="none"/>
        </w:rPr>
        <w:t>11.1招标文件除以下内容外，采购代理机构在招标（或谈判）期间发出的答疑纪要和其他补充修改函件，均是招标文件的组成部分，对投标人起约束作用；</w:t>
      </w:r>
    </w:p>
    <w:p>
      <w:pPr>
        <w:tabs>
          <w:tab w:val="clear" w:pos="426"/>
        </w:tabs>
        <w:rPr>
          <w:highlight w:val="none"/>
        </w:rPr>
      </w:pPr>
      <w:r>
        <w:rPr>
          <w:rFonts w:hint="eastAsia"/>
          <w:highlight w:val="none"/>
        </w:rPr>
        <w:t>招标文件包括下列内容：</w:t>
      </w:r>
    </w:p>
    <w:p>
      <w:pPr>
        <w:tabs>
          <w:tab w:val="clear" w:pos="426"/>
        </w:tabs>
        <w:rPr>
          <w:highlight w:val="none"/>
        </w:rPr>
      </w:pPr>
      <w:r>
        <w:rPr>
          <w:rFonts w:hint="eastAsia"/>
          <w:highlight w:val="none"/>
        </w:rPr>
        <w:t>项目关键信息</w:t>
      </w:r>
    </w:p>
    <w:p>
      <w:pPr>
        <w:tabs>
          <w:tab w:val="clear" w:pos="426"/>
        </w:tabs>
        <w:rPr>
          <w:highlight w:val="none"/>
        </w:rPr>
      </w:pPr>
      <w:r>
        <w:rPr>
          <w:rFonts w:hint="eastAsia"/>
          <w:highlight w:val="none"/>
        </w:rPr>
        <w:t>评标信息</w:t>
      </w:r>
    </w:p>
    <w:p>
      <w:pPr>
        <w:tabs>
          <w:tab w:val="clear" w:pos="426"/>
        </w:tabs>
        <w:rPr>
          <w:highlight w:val="none"/>
        </w:rPr>
      </w:pPr>
      <w:r>
        <w:rPr>
          <w:rFonts w:hint="eastAsia"/>
          <w:highlight w:val="none"/>
        </w:rPr>
        <w:t>第一册  专用条款</w:t>
      </w:r>
    </w:p>
    <w:p>
      <w:pPr>
        <w:tabs>
          <w:tab w:val="clear" w:pos="426"/>
        </w:tabs>
        <w:rPr>
          <w:highlight w:val="none"/>
        </w:rPr>
      </w:pPr>
      <w:r>
        <w:rPr>
          <w:rFonts w:hint="eastAsia"/>
          <w:highlight w:val="none"/>
        </w:rPr>
        <w:t>第一章  采购公告</w:t>
      </w:r>
    </w:p>
    <w:p>
      <w:pPr>
        <w:tabs>
          <w:tab w:val="clear" w:pos="426"/>
        </w:tabs>
        <w:rPr>
          <w:highlight w:val="none"/>
        </w:rPr>
      </w:pPr>
      <w:r>
        <w:rPr>
          <w:rFonts w:hint="eastAsia"/>
          <w:highlight w:val="none"/>
        </w:rPr>
        <w:t>第二章  招标项目需求</w:t>
      </w:r>
    </w:p>
    <w:p>
      <w:pPr>
        <w:tabs>
          <w:tab w:val="clear" w:pos="426"/>
        </w:tabs>
        <w:rPr>
          <w:highlight w:val="none"/>
        </w:rPr>
      </w:pPr>
      <w:r>
        <w:rPr>
          <w:rFonts w:hint="eastAsia"/>
          <w:highlight w:val="none"/>
        </w:rPr>
        <w:t>第三章  合同条款及格式</w:t>
      </w:r>
    </w:p>
    <w:p>
      <w:pPr>
        <w:tabs>
          <w:tab w:val="clear" w:pos="426"/>
        </w:tabs>
        <w:rPr>
          <w:highlight w:val="none"/>
        </w:rPr>
      </w:pPr>
      <w:r>
        <w:rPr>
          <w:rFonts w:hint="eastAsia"/>
          <w:highlight w:val="none"/>
        </w:rPr>
        <w:t>第四章  投标文件格式、附件</w:t>
      </w:r>
    </w:p>
    <w:p>
      <w:pPr>
        <w:tabs>
          <w:tab w:val="clear" w:pos="426"/>
        </w:tabs>
        <w:rPr>
          <w:highlight w:val="none"/>
        </w:rPr>
      </w:pPr>
      <w:r>
        <w:rPr>
          <w:rFonts w:hint="eastAsia"/>
          <w:highlight w:val="none"/>
        </w:rPr>
        <w:t>第五章  政府采购履约情况反馈表</w:t>
      </w:r>
    </w:p>
    <w:p>
      <w:pPr>
        <w:tabs>
          <w:tab w:val="clear" w:pos="426"/>
        </w:tabs>
        <w:rPr>
          <w:highlight w:val="none"/>
        </w:rPr>
      </w:pPr>
      <w:r>
        <w:rPr>
          <w:rFonts w:hint="eastAsia"/>
          <w:highlight w:val="none"/>
        </w:rPr>
        <w:t>第二册  通用条款</w:t>
      </w:r>
    </w:p>
    <w:p>
      <w:pPr>
        <w:tabs>
          <w:tab w:val="clear" w:pos="426"/>
        </w:tabs>
        <w:rPr>
          <w:highlight w:val="none"/>
        </w:rPr>
      </w:pPr>
      <w:r>
        <w:rPr>
          <w:rFonts w:hint="eastAsia"/>
          <w:highlight w:val="none"/>
        </w:rPr>
        <w:t>第一章  总则</w:t>
      </w:r>
    </w:p>
    <w:p>
      <w:pPr>
        <w:tabs>
          <w:tab w:val="clear" w:pos="426"/>
        </w:tabs>
        <w:rPr>
          <w:highlight w:val="none"/>
        </w:rPr>
      </w:pPr>
      <w:r>
        <w:rPr>
          <w:rFonts w:hint="eastAsia"/>
          <w:highlight w:val="none"/>
        </w:rPr>
        <w:t>第二章  招标文件</w:t>
      </w:r>
    </w:p>
    <w:p>
      <w:pPr>
        <w:tabs>
          <w:tab w:val="clear" w:pos="426"/>
        </w:tabs>
        <w:rPr>
          <w:highlight w:val="none"/>
        </w:rPr>
      </w:pPr>
      <w:r>
        <w:rPr>
          <w:rFonts w:hint="eastAsia"/>
          <w:highlight w:val="none"/>
        </w:rPr>
        <w:t>第三章  投标文件的编制与递交</w:t>
      </w:r>
    </w:p>
    <w:p>
      <w:pPr>
        <w:tabs>
          <w:tab w:val="clear" w:pos="426"/>
        </w:tabs>
        <w:rPr>
          <w:highlight w:val="none"/>
        </w:rPr>
      </w:pPr>
      <w:r>
        <w:rPr>
          <w:rFonts w:hint="eastAsia"/>
          <w:highlight w:val="none"/>
        </w:rPr>
        <w:t>第四章  开标</w:t>
      </w:r>
    </w:p>
    <w:p>
      <w:pPr>
        <w:tabs>
          <w:tab w:val="clear" w:pos="426"/>
        </w:tabs>
        <w:rPr>
          <w:highlight w:val="none"/>
        </w:rPr>
      </w:pPr>
      <w:r>
        <w:rPr>
          <w:rFonts w:hint="eastAsia"/>
          <w:highlight w:val="none"/>
        </w:rPr>
        <w:t>第五章  评标要求</w:t>
      </w:r>
    </w:p>
    <w:p>
      <w:pPr>
        <w:tabs>
          <w:tab w:val="clear" w:pos="426"/>
        </w:tabs>
        <w:rPr>
          <w:highlight w:val="none"/>
        </w:rPr>
      </w:pPr>
      <w:r>
        <w:rPr>
          <w:rFonts w:hint="eastAsia"/>
          <w:highlight w:val="none"/>
        </w:rPr>
        <w:t>第六章  评标程序及评标方法</w:t>
      </w:r>
    </w:p>
    <w:p>
      <w:pPr>
        <w:tabs>
          <w:tab w:val="clear" w:pos="426"/>
        </w:tabs>
        <w:rPr>
          <w:highlight w:val="none"/>
        </w:rPr>
      </w:pPr>
      <w:r>
        <w:rPr>
          <w:rFonts w:hint="eastAsia"/>
          <w:highlight w:val="none"/>
        </w:rPr>
        <w:t>第七章  定标及公示</w:t>
      </w:r>
    </w:p>
    <w:p>
      <w:pPr>
        <w:tabs>
          <w:tab w:val="clear" w:pos="426"/>
        </w:tabs>
        <w:rPr>
          <w:highlight w:val="none"/>
        </w:rPr>
      </w:pPr>
      <w:r>
        <w:rPr>
          <w:rFonts w:hint="eastAsia"/>
          <w:highlight w:val="none"/>
        </w:rPr>
        <w:t>第八章  公开招标失败的后续处理</w:t>
      </w:r>
    </w:p>
    <w:p>
      <w:pPr>
        <w:tabs>
          <w:tab w:val="clear" w:pos="426"/>
        </w:tabs>
        <w:rPr>
          <w:highlight w:val="none"/>
        </w:rPr>
      </w:pPr>
      <w:r>
        <w:rPr>
          <w:rFonts w:hint="eastAsia"/>
          <w:highlight w:val="none"/>
        </w:rPr>
        <w:t>第九章  合同的授予与备案</w:t>
      </w:r>
    </w:p>
    <w:p>
      <w:pPr>
        <w:tabs>
          <w:tab w:val="clear" w:pos="426"/>
        </w:tabs>
        <w:rPr>
          <w:highlight w:val="none"/>
        </w:rPr>
      </w:pPr>
      <w:r>
        <w:rPr>
          <w:rFonts w:hint="eastAsia"/>
          <w:highlight w:val="none"/>
        </w:rPr>
        <w:t>第十章  质疑处理</w:t>
      </w:r>
    </w:p>
    <w:p>
      <w:pPr>
        <w:tabs>
          <w:tab w:val="clear" w:pos="426"/>
        </w:tabs>
        <w:rPr>
          <w:highlight w:val="none"/>
        </w:rPr>
      </w:pPr>
      <w:bookmarkStart w:id="162" w:name="_Toc60560636"/>
      <w:bookmarkStart w:id="163" w:name="_Toc60631631"/>
      <w:bookmarkStart w:id="164" w:name="_Toc73517650"/>
      <w:bookmarkStart w:id="165" w:name="_Toc73518128"/>
      <w:bookmarkStart w:id="166" w:name="_Toc73521558"/>
      <w:bookmarkStart w:id="167" w:name="_Toc73521646"/>
      <w:bookmarkStart w:id="168" w:name="_Toc100052375"/>
      <w:bookmarkStart w:id="169" w:name="_Toc60560637"/>
      <w:bookmarkStart w:id="170" w:name="_Toc60631632"/>
      <w:bookmarkStart w:id="171" w:name="_Toc73517651"/>
      <w:bookmarkStart w:id="172" w:name="_Toc73518129"/>
      <w:bookmarkStart w:id="173" w:name="_Toc73521559"/>
      <w:bookmarkStart w:id="174" w:name="_Toc73521647"/>
      <w:bookmarkStart w:id="175" w:name="_Toc100052376"/>
      <w:r>
        <w:rPr>
          <w:rFonts w:hint="eastAsia"/>
          <w:highlight w:val="none"/>
        </w:rPr>
        <w:t>11.2 投标人购买招标文件后，应仔细检查招标文件的所有内容，如有残缺应在答疑截止时间之前向采购代理机构提出，否则，由此引起的投标损失自负；投标人同时应认真审阅招标文件所有的事项、格式、条款和规范要求等，如果投标人的投标文件没有按招标文件要求提交全部资料或者投标文件没有对招标文件做出实质性响应，其风险应由投标人自行承担，并根据有关条款规定，其投标有可能被拒绝。</w:t>
      </w:r>
    </w:p>
    <w:p>
      <w:pPr>
        <w:tabs>
          <w:tab w:val="clear" w:pos="426"/>
        </w:tabs>
        <w:rPr>
          <w:szCs w:val="21"/>
          <w:highlight w:val="none"/>
        </w:rPr>
      </w:pPr>
      <w:r>
        <w:rPr>
          <w:rFonts w:hint="eastAsia"/>
          <w:szCs w:val="21"/>
          <w:highlight w:val="none"/>
        </w:rPr>
        <w:t>11.3</w:t>
      </w:r>
      <w:r>
        <w:rPr>
          <w:rFonts w:hint="eastAsia"/>
          <w:highlight w:val="none"/>
        </w:rPr>
        <w:t>任何人或任何组织向投标人提交的任何书面或口头资料，未经采购代理机构在网上发布或书面通知，均作无效处理，不得作为招标文件的组成部分。采购代理机构对投标人由此而做出的推论、理解和结论概不负责。</w:t>
      </w:r>
    </w:p>
    <w:p>
      <w:pPr>
        <w:tabs>
          <w:tab w:val="clear" w:pos="426"/>
        </w:tabs>
        <w:rPr>
          <w:highlight w:val="none"/>
        </w:rPr>
      </w:pPr>
      <w:r>
        <w:rPr>
          <w:rFonts w:hint="eastAsia"/>
          <w:highlight w:val="none"/>
        </w:rPr>
        <w:t>12．招标文件的澄清</w:t>
      </w:r>
      <w:bookmarkEnd w:id="162"/>
      <w:bookmarkEnd w:id="163"/>
      <w:bookmarkEnd w:id="164"/>
      <w:bookmarkEnd w:id="165"/>
      <w:bookmarkEnd w:id="166"/>
      <w:bookmarkEnd w:id="167"/>
      <w:bookmarkEnd w:id="168"/>
    </w:p>
    <w:p>
      <w:pPr>
        <w:tabs>
          <w:tab w:val="clear" w:pos="426"/>
        </w:tabs>
        <w:rPr>
          <w:highlight w:val="none"/>
        </w:rPr>
      </w:pPr>
      <w:r>
        <w:rPr>
          <w:rFonts w:hint="eastAsia"/>
          <w:highlight w:val="none"/>
        </w:rPr>
        <w:t>12.1投标人在收到招标文件后，对招标文件任何部分若有任何疑问，或要求澄清招标文件的，均应在采购公告规定的答疑截止时间内，按“质疑函”的形式向采购代理机构提交。不论是采购代理机构根据需要主动对招标文件进行必要的澄清或是根据投标人的要求对招标文件做出澄清，采购代理机构都将在投标截止日期前以书面形式（包括深圳市政府采购中心网站公开发布方式）答复或发送给所有投标人。澄清纪要作为招标文件的组成部分，对投标人起约束作用；</w:t>
      </w:r>
    </w:p>
    <w:p>
      <w:pPr>
        <w:tabs>
          <w:tab w:val="clear" w:pos="426"/>
        </w:tabs>
        <w:rPr>
          <w:highlight w:val="none"/>
        </w:rPr>
      </w:pPr>
      <w:r>
        <w:rPr>
          <w:rFonts w:hint="eastAsia"/>
          <w:highlight w:val="none"/>
        </w:rPr>
        <w:t>12.2对于没有提出澄清又参与了该项目投标的供应商将被视为完全认同该招标文件（含澄清纪要），投标截止期后不再受理针对招标文件的相关质疑或投诉。</w:t>
      </w:r>
    </w:p>
    <w:p>
      <w:pPr>
        <w:tabs>
          <w:tab w:val="clear" w:pos="426"/>
        </w:tabs>
        <w:rPr>
          <w:highlight w:val="none"/>
        </w:rPr>
      </w:pPr>
      <w:r>
        <w:rPr>
          <w:rFonts w:hint="eastAsia"/>
          <w:highlight w:val="none"/>
        </w:rPr>
        <w:t>12.3 对招标文件中描述有歧意或前后不一致的地方，评标委员会有权进行评判，但对同一条款的评判应适用于每个投标人。</w:t>
      </w:r>
    </w:p>
    <w:p>
      <w:pPr>
        <w:tabs>
          <w:tab w:val="clear" w:pos="426"/>
        </w:tabs>
        <w:rPr>
          <w:highlight w:val="none"/>
        </w:rPr>
      </w:pPr>
      <w:r>
        <w:rPr>
          <w:highlight w:val="none"/>
        </w:rPr>
        <w:t>1</w:t>
      </w:r>
      <w:r>
        <w:rPr>
          <w:rFonts w:hint="eastAsia"/>
          <w:highlight w:val="none"/>
        </w:rPr>
        <w:t>3．招标文件的修改</w:t>
      </w:r>
      <w:bookmarkEnd w:id="169"/>
      <w:bookmarkEnd w:id="170"/>
      <w:bookmarkEnd w:id="171"/>
      <w:bookmarkEnd w:id="172"/>
      <w:bookmarkEnd w:id="173"/>
      <w:bookmarkEnd w:id="174"/>
      <w:bookmarkEnd w:id="175"/>
    </w:p>
    <w:p>
      <w:pPr>
        <w:tabs>
          <w:tab w:val="clear" w:pos="426"/>
        </w:tabs>
        <w:rPr>
          <w:highlight w:val="none"/>
        </w:rPr>
      </w:pPr>
      <w:bookmarkStart w:id="176" w:name="bt投标文件"/>
      <w:bookmarkEnd w:id="176"/>
      <w:bookmarkStart w:id="177" w:name="_Toc73517652"/>
      <w:bookmarkStart w:id="178" w:name="_Toc73518130"/>
      <w:bookmarkStart w:id="179" w:name="_Toc73521560"/>
      <w:bookmarkStart w:id="180" w:name="_Toc73521648"/>
      <w:bookmarkStart w:id="181" w:name="_Toc100052377"/>
      <w:bookmarkStart w:id="182" w:name="_Toc101074879"/>
      <w:r>
        <w:rPr>
          <w:highlight w:val="none"/>
        </w:rPr>
        <w:t>1</w:t>
      </w:r>
      <w:r>
        <w:rPr>
          <w:rFonts w:hint="eastAsia"/>
          <w:highlight w:val="none"/>
        </w:rPr>
        <w:t>3.1招标文件发出后，在投标截止日期前任何时候，确需要变更招标内容的，采购代理机构可主动地或在解答投标人提出的澄清问题时对招标文件进行修改；</w:t>
      </w:r>
    </w:p>
    <w:p>
      <w:pPr>
        <w:tabs>
          <w:tab w:val="clear" w:pos="426"/>
        </w:tabs>
        <w:rPr>
          <w:highlight w:val="none"/>
        </w:rPr>
      </w:pPr>
      <w:r>
        <w:rPr>
          <w:highlight w:val="none"/>
        </w:rPr>
        <w:t>1</w:t>
      </w:r>
      <w:r>
        <w:rPr>
          <w:rFonts w:hint="eastAsia"/>
          <w:highlight w:val="none"/>
        </w:rPr>
        <w:t>3.2招标文件的修改以书面形式（包括网站公开发布方式）发送给所有投标人，招标文件的修改内容作为招标文件的组成部分，并具有约束力。</w:t>
      </w:r>
    </w:p>
    <w:p>
      <w:pPr>
        <w:tabs>
          <w:tab w:val="clear" w:pos="426"/>
        </w:tabs>
        <w:rPr>
          <w:highlight w:val="none"/>
        </w:rPr>
      </w:pPr>
      <w:r>
        <w:rPr>
          <w:highlight w:val="none"/>
        </w:rPr>
        <w:t>1</w:t>
      </w:r>
      <w:r>
        <w:rPr>
          <w:rFonts w:hint="eastAsia"/>
          <w:highlight w:val="none"/>
        </w:rPr>
        <w:t>3.3招标文件、招标文件澄清（答疑）纪要、招标文件修改补充通知内容均以书面（包括网站公开发布方式）明确的内容为准。当招标文件、修改补充通知、澄清（答疑）纪要内容相互矛盾时，以最后发出的通知（或纪要）或修改文件为准；</w:t>
      </w:r>
    </w:p>
    <w:p>
      <w:pPr>
        <w:tabs>
          <w:tab w:val="clear" w:pos="426"/>
        </w:tabs>
        <w:rPr>
          <w:highlight w:val="none"/>
        </w:rPr>
      </w:pPr>
      <w:r>
        <w:rPr>
          <w:highlight w:val="none"/>
        </w:rPr>
        <w:t>1</w:t>
      </w:r>
      <w:r>
        <w:rPr>
          <w:rFonts w:hint="eastAsia"/>
          <w:highlight w:val="none"/>
        </w:rPr>
        <w:t>3.4采购代理机构保证招标文件澄清（答疑）纪要和招标文件修改补充通知在投标截止时间前以网站公开发布形式或书面形式发送给所有投标人。为使投标人在编写投标文件时有充分时间对招标文件的修改部分进行研究，采购代理机构可以酌情延长递交投标文件的截止日期，具体时间将在修改补充通知中明确。</w:t>
      </w:r>
    </w:p>
    <w:p>
      <w:pPr>
        <w:pStyle w:val="5"/>
        <w:tabs>
          <w:tab w:val="clear" w:pos="426"/>
        </w:tabs>
        <w:rPr>
          <w:highlight w:val="none"/>
        </w:rPr>
      </w:pPr>
      <w:bookmarkStart w:id="183" w:name="_Toc398220531"/>
      <w:bookmarkStart w:id="184" w:name="_Toc432592823"/>
      <w:bookmarkStart w:id="185" w:name="_Toc12610132"/>
      <w:r>
        <w:rPr>
          <w:rFonts w:hint="eastAsia"/>
          <w:highlight w:val="none"/>
        </w:rPr>
        <w:t>第三章 投标文件</w:t>
      </w:r>
      <w:bookmarkEnd w:id="177"/>
      <w:bookmarkEnd w:id="178"/>
      <w:bookmarkEnd w:id="179"/>
      <w:bookmarkEnd w:id="180"/>
      <w:bookmarkEnd w:id="181"/>
      <w:bookmarkEnd w:id="182"/>
      <w:r>
        <w:rPr>
          <w:rFonts w:hint="eastAsia"/>
          <w:highlight w:val="none"/>
        </w:rPr>
        <w:t>的编制与递交</w:t>
      </w:r>
      <w:bookmarkEnd w:id="183"/>
      <w:bookmarkEnd w:id="184"/>
      <w:bookmarkEnd w:id="185"/>
    </w:p>
    <w:p>
      <w:pPr>
        <w:tabs>
          <w:tab w:val="clear" w:pos="426"/>
        </w:tabs>
        <w:rPr>
          <w:highlight w:val="none"/>
        </w:rPr>
      </w:pPr>
      <w:bookmarkStart w:id="186" w:name="_Toc60560639"/>
      <w:bookmarkStart w:id="187" w:name="_Toc60631634"/>
      <w:bookmarkStart w:id="188" w:name="_Toc73517653"/>
      <w:bookmarkStart w:id="189" w:name="_Toc73518131"/>
      <w:bookmarkStart w:id="190" w:name="_Toc73521561"/>
      <w:bookmarkStart w:id="191" w:name="_Toc73521649"/>
      <w:bookmarkStart w:id="192" w:name="_Toc100052378"/>
      <w:r>
        <w:rPr>
          <w:rFonts w:hint="eastAsia"/>
          <w:highlight w:val="none"/>
        </w:rPr>
        <w:t>14．投标文件的语言及度量单位</w:t>
      </w:r>
      <w:bookmarkEnd w:id="186"/>
      <w:bookmarkEnd w:id="187"/>
      <w:bookmarkEnd w:id="188"/>
      <w:bookmarkEnd w:id="189"/>
      <w:bookmarkEnd w:id="190"/>
      <w:bookmarkEnd w:id="191"/>
      <w:bookmarkEnd w:id="192"/>
    </w:p>
    <w:p>
      <w:pPr>
        <w:tabs>
          <w:tab w:val="clear" w:pos="426"/>
        </w:tabs>
        <w:rPr>
          <w:highlight w:val="none"/>
        </w:rPr>
      </w:pPr>
      <w:r>
        <w:rPr>
          <w:rFonts w:hint="eastAsia"/>
          <w:highlight w:val="none"/>
        </w:rPr>
        <w:t>14.1 投标人与采购代理机构之间与投标有关的所有往来通知、函件和投标文件均用中文表述。投标人随投标文件提供的证明文件和资料可以为其它语言，但必须附中文译文。翻译的中文资料与外文资料如果出现差异时，以中文为准，但翻译错误的除外。</w:t>
      </w:r>
    </w:p>
    <w:p>
      <w:pPr>
        <w:tabs>
          <w:tab w:val="clear" w:pos="426"/>
        </w:tabs>
        <w:rPr>
          <w:highlight w:val="none"/>
        </w:rPr>
      </w:pPr>
      <w:r>
        <w:rPr>
          <w:rFonts w:hint="eastAsia"/>
          <w:highlight w:val="none"/>
        </w:rPr>
        <w:t>14.2 除技术规范另有规定外，投标文件使用的度量单位，均采用中华人民共和国法定计量单位。</w:t>
      </w:r>
    </w:p>
    <w:p>
      <w:pPr>
        <w:tabs>
          <w:tab w:val="clear" w:pos="426"/>
        </w:tabs>
        <w:rPr>
          <w:highlight w:val="none"/>
        </w:rPr>
      </w:pPr>
      <w:bookmarkStart w:id="193" w:name="_Toc60560640"/>
      <w:bookmarkStart w:id="194" w:name="_Toc60631635"/>
      <w:bookmarkStart w:id="195" w:name="_Toc73517654"/>
      <w:bookmarkStart w:id="196" w:name="_Toc73518132"/>
      <w:bookmarkStart w:id="197" w:name="_Toc73521562"/>
      <w:bookmarkStart w:id="198" w:name="_Toc73521650"/>
      <w:bookmarkStart w:id="199" w:name="_Toc100052379"/>
      <w:r>
        <w:rPr>
          <w:rFonts w:hint="eastAsia"/>
          <w:highlight w:val="none"/>
        </w:rPr>
        <w:t>15．投标文件的组成</w:t>
      </w:r>
      <w:bookmarkEnd w:id="193"/>
      <w:bookmarkEnd w:id="194"/>
      <w:bookmarkEnd w:id="195"/>
      <w:bookmarkEnd w:id="196"/>
      <w:bookmarkEnd w:id="197"/>
      <w:bookmarkEnd w:id="198"/>
      <w:bookmarkEnd w:id="199"/>
    </w:p>
    <w:p>
      <w:pPr>
        <w:tabs>
          <w:tab w:val="clear" w:pos="426"/>
        </w:tabs>
        <w:rPr>
          <w:highlight w:val="none"/>
        </w:rPr>
      </w:pPr>
      <w:r>
        <w:rPr>
          <w:rFonts w:hint="eastAsia"/>
          <w:highlight w:val="none"/>
        </w:rPr>
        <w:t>具体内容请详见本项目专用条款的相关内容。</w:t>
      </w:r>
      <w:bookmarkStart w:id="200" w:name="_Toc60560641"/>
      <w:bookmarkStart w:id="201" w:name="_Toc60631636"/>
      <w:bookmarkStart w:id="202" w:name="_Toc73517655"/>
      <w:bookmarkStart w:id="203" w:name="_Toc73518133"/>
      <w:bookmarkStart w:id="204" w:name="_Toc73521563"/>
      <w:bookmarkStart w:id="205" w:name="_Toc73521651"/>
      <w:bookmarkStart w:id="206" w:name="投标文件的组成"/>
    </w:p>
    <w:p>
      <w:pPr>
        <w:tabs>
          <w:tab w:val="clear" w:pos="426"/>
        </w:tabs>
        <w:rPr>
          <w:highlight w:val="none"/>
        </w:rPr>
      </w:pPr>
      <w:r>
        <w:rPr>
          <w:rFonts w:hint="eastAsia"/>
          <w:highlight w:val="none"/>
        </w:rPr>
        <w:t>16. 投标文件格式</w:t>
      </w:r>
    </w:p>
    <w:p>
      <w:pPr>
        <w:tabs>
          <w:tab w:val="clear" w:pos="426"/>
        </w:tabs>
        <w:rPr>
          <w:highlight w:val="none"/>
        </w:rPr>
      </w:pPr>
      <w:r>
        <w:rPr>
          <w:rFonts w:hint="eastAsia"/>
          <w:highlight w:val="none"/>
        </w:rPr>
        <w:t>16</w:t>
      </w:r>
      <w:r>
        <w:rPr>
          <w:highlight w:val="none"/>
        </w:rPr>
        <w:t>.1</w:t>
      </w:r>
      <w:r>
        <w:rPr>
          <w:rFonts w:hint="eastAsia"/>
          <w:highlight w:val="none"/>
        </w:rPr>
        <w:t>投标文件包括本通用条款第15条中规定的内容。如招标文件提供了投标文件格式，则投标人提交的投标文件必须毫无例外地使用招标文件所提供的相应格式并统一使用A4篇幅（表格可以按同样格式扩展）。</w:t>
      </w:r>
    </w:p>
    <w:bookmarkEnd w:id="200"/>
    <w:bookmarkEnd w:id="201"/>
    <w:bookmarkEnd w:id="202"/>
    <w:bookmarkEnd w:id="203"/>
    <w:bookmarkEnd w:id="204"/>
    <w:bookmarkEnd w:id="205"/>
    <w:bookmarkEnd w:id="206"/>
    <w:p>
      <w:pPr>
        <w:tabs>
          <w:tab w:val="clear" w:pos="426"/>
        </w:tabs>
        <w:rPr>
          <w:highlight w:val="none"/>
        </w:rPr>
      </w:pPr>
      <w:bookmarkStart w:id="207" w:name="_Toc60560643"/>
      <w:bookmarkStart w:id="208" w:name="_Toc60631638"/>
      <w:bookmarkStart w:id="209" w:name="_Toc73517657"/>
      <w:bookmarkStart w:id="210" w:name="_Toc73518135"/>
      <w:bookmarkStart w:id="211" w:name="_Toc73521565"/>
      <w:bookmarkStart w:id="212" w:name="_Toc73521653"/>
      <w:bookmarkStart w:id="213" w:name="_Toc100052382"/>
      <w:r>
        <w:rPr>
          <w:rFonts w:hint="eastAsia"/>
          <w:highlight w:val="none"/>
        </w:rPr>
        <w:t>17．投标货币</w:t>
      </w:r>
      <w:bookmarkEnd w:id="207"/>
      <w:bookmarkEnd w:id="208"/>
      <w:bookmarkEnd w:id="209"/>
      <w:bookmarkEnd w:id="210"/>
      <w:bookmarkEnd w:id="211"/>
      <w:bookmarkEnd w:id="212"/>
      <w:bookmarkEnd w:id="213"/>
    </w:p>
    <w:p>
      <w:pPr>
        <w:tabs>
          <w:tab w:val="clear" w:pos="426"/>
        </w:tabs>
        <w:rPr>
          <w:highlight w:val="none"/>
        </w:rPr>
      </w:pPr>
      <w:r>
        <w:rPr>
          <w:rFonts w:hint="eastAsia"/>
          <w:highlight w:val="none"/>
        </w:rPr>
        <w:t>本项目的投标应以人民币计。</w:t>
      </w:r>
    </w:p>
    <w:p>
      <w:pPr>
        <w:widowControl w:val="0"/>
        <w:shd w:val="clear" w:color="auto" w:fill="auto"/>
        <w:tabs>
          <w:tab w:val="clear" w:pos="426"/>
        </w:tabs>
        <w:autoSpaceDE w:val="0"/>
        <w:autoSpaceDN w:val="0"/>
        <w:rPr>
          <w:highlight w:val="none"/>
        </w:rPr>
      </w:pPr>
      <w:r>
        <w:rPr>
          <w:rFonts w:hint="eastAsia"/>
          <w:highlight w:val="none"/>
        </w:rPr>
        <w:t>18. 证明投标人合格和资格的文件</w:t>
      </w:r>
    </w:p>
    <w:p>
      <w:pPr>
        <w:widowControl w:val="0"/>
        <w:shd w:val="clear" w:color="auto" w:fill="auto"/>
        <w:tabs>
          <w:tab w:val="clear" w:pos="426"/>
        </w:tabs>
        <w:autoSpaceDE w:val="0"/>
        <w:autoSpaceDN w:val="0"/>
        <w:rPr>
          <w:rFonts w:cs="黑体"/>
          <w:b/>
          <w:bCs/>
          <w:szCs w:val="21"/>
          <w:highlight w:val="none"/>
        </w:rPr>
      </w:pPr>
      <w:r>
        <w:rPr>
          <w:rFonts w:hint="eastAsia"/>
          <w:szCs w:val="21"/>
          <w:highlight w:val="none"/>
        </w:rPr>
        <w:t xml:space="preserve">18.1 </w:t>
      </w:r>
      <w:r>
        <w:rPr>
          <w:rFonts w:hint="eastAsia"/>
          <w:szCs w:val="21"/>
          <w:highlight w:val="none"/>
          <w:lang w:eastAsia="zh-TW"/>
        </w:rPr>
        <w:t>投标人应提交证明其有资格参加投标和中标后有能力履行合同的文件</w:t>
      </w:r>
      <w:r>
        <w:rPr>
          <w:rFonts w:hint="eastAsia"/>
          <w:szCs w:val="21"/>
          <w:highlight w:val="none"/>
        </w:rPr>
        <w:t>，</w:t>
      </w:r>
      <w:r>
        <w:rPr>
          <w:rFonts w:hint="eastAsia"/>
          <w:szCs w:val="21"/>
          <w:highlight w:val="none"/>
          <w:lang w:eastAsia="zh-TW"/>
        </w:rPr>
        <w:t>并作为其投标文件的一部分。如果投标人为联合体</w:t>
      </w:r>
      <w:r>
        <w:rPr>
          <w:rFonts w:hint="eastAsia"/>
          <w:szCs w:val="21"/>
          <w:highlight w:val="none"/>
        </w:rPr>
        <w:t>，</w:t>
      </w:r>
      <w:r>
        <w:rPr>
          <w:rFonts w:hint="eastAsia"/>
          <w:szCs w:val="21"/>
          <w:highlight w:val="none"/>
          <w:lang w:eastAsia="zh-TW"/>
        </w:rPr>
        <w:t>应提交联合体各方的资格证明文件、</w:t>
      </w:r>
      <w:r>
        <w:rPr>
          <w:rFonts w:hint="eastAsia"/>
          <w:szCs w:val="21"/>
          <w:highlight w:val="none"/>
        </w:rPr>
        <w:t>共同投标协议</w:t>
      </w:r>
      <w:r>
        <w:rPr>
          <w:rFonts w:hint="eastAsia"/>
          <w:szCs w:val="21"/>
          <w:highlight w:val="none"/>
          <w:lang w:eastAsia="zh-TW"/>
        </w:rPr>
        <w:t>并注明</w:t>
      </w:r>
      <w:r>
        <w:rPr>
          <w:rFonts w:hint="eastAsia"/>
          <w:szCs w:val="21"/>
          <w:highlight w:val="none"/>
        </w:rPr>
        <w:t>主体方及各方拟承担的工作和责任。</w:t>
      </w:r>
      <w:r>
        <w:rPr>
          <w:rFonts w:hint="eastAsia"/>
          <w:szCs w:val="21"/>
          <w:highlight w:val="none"/>
          <w:lang w:eastAsia="zh-TW"/>
        </w:rPr>
        <w:t>否则</w:t>
      </w:r>
      <w:r>
        <w:rPr>
          <w:rFonts w:hint="eastAsia"/>
          <w:szCs w:val="21"/>
          <w:highlight w:val="none"/>
        </w:rPr>
        <w:t>，</w:t>
      </w:r>
      <w:r>
        <w:rPr>
          <w:rFonts w:hint="eastAsia"/>
          <w:szCs w:val="21"/>
          <w:highlight w:val="none"/>
          <w:lang w:eastAsia="zh-TW"/>
        </w:rPr>
        <w:t>将导致其投标</w:t>
      </w:r>
      <w:r>
        <w:rPr>
          <w:rFonts w:hint="eastAsia"/>
          <w:szCs w:val="21"/>
          <w:highlight w:val="none"/>
        </w:rPr>
        <w:t>无效。</w:t>
      </w:r>
    </w:p>
    <w:p>
      <w:pPr>
        <w:widowControl w:val="0"/>
        <w:shd w:val="clear" w:color="auto" w:fill="auto"/>
        <w:tabs>
          <w:tab w:val="clear" w:pos="426"/>
        </w:tabs>
        <w:autoSpaceDE w:val="0"/>
        <w:autoSpaceDN w:val="0"/>
        <w:rPr>
          <w:szCs w:val="21"/>
          <w:highlight w:val="none"/>
          <w:lang w:eastAsia="zh-TW"/>
        </w:rPr>
      </w:pPr>
      <w:r>
        <w:rPr>
          <w:rFonts w:hint="eastAsia"/>
          <w:szCs w:val="21"/>
          <w:highlight w:val="none"/>
        </w:rPr>
        <w:t xml:space="preserve">18.2 </w:t>
      </w:r>
      <w:r>
        <w:rPr>
          <w:rFonts w:hint="eastAsia"/>
          <w:szCs w:val="21"/>
          <w:highlight w:val="none"/>
          <w:lang w:eastAsia="zh-TW"/>
        </w:rPr>
        <w:t>投标人提交的资格证明文件应证明其</w:t>
      </w:r>
      <w:r>
        <w:rPr>
          <w:rFonts w:hint="eastAsia"/>
          <w:szCs w:val="21"/>
          <w:highlight w:val="none"/>
        </w:rPr>
        <w:t>满足</w:t>
      </w:r>
      <w:r>
        <w:rPr>
          <w:rFonts w:hint="eastAsia"/>
          <w:szCs w:val="21"/>
          <w:highlight w:val="none"/>
          <w:lang w:eastAsia="zh-TW"/>
        </w:rPr>
        <w:t>本须知定义的合格投标人。</w:t>
      </w:r>
    </w:p>
    <w:p>
      <w:pPr>
        <w:tabs>
          <w:tab w:val="clear" w:pos="426"/>
        </w:tabs>
        <w:rPr>
          <w:highlight w:val="none"/>
        </w:rPr>
      </w:pPr>
      <w:r>
        <w:rPr>
          <w:rFonts w:hint="eastAsia"/>
          <w:highlight w:val="none"/>
        </w:rPr>
        <w:t>19．证明投标文件投标技术方案的合格性和符合招标文件规定的文件要求</w:t>
      </w:r>
    </w:p>
    <w:p>
      <w:pPr>
        <w:tabs>
          <w:tab w:val="clear" w:pos="426"/>
        </w:tabs>
        <w:rPr>
          <w:highlight w:val="none"/>
        </w:rPr>
      </w:pPr>
      <w:r>
        <w:rPr>
          <w:rFonts w:hint="eastAsia"/>
          <w:highlight w:val="none"/>
        </w:rPr>
        <w:t>19</w:t>
      </w:r>
      <w:r>
        <w:rPr>
          <w:highlight w:val="none"/>
        </w:rPr>
        <w:t xml:space="preserve">.1 </w:t>
      </w:r>
      <w:r>
        <w:rPr>
          <w:rFonts w:hint="eastAsia"/>
          <w:highlight w:val="none"/>
        </w:rPr>
        <w:t>投标人应提交证明文件证明其投标技术方案项下的货物、工程和服务的合格性符合招标文件规定。该投标技术方案及其证明文件作为投标文件的一部分。</w:t>
      </w:r>
    </w:p>
    <w:p>
      <w:pPr>
        <w:tabs>
          <w:tab w:val="clear" w:pos="426"/>
        </w:tabs>
        <w:rPr>
          <w:highlight w:val="none"/>
        </w:rPr>
      </w:pPr>
      <w:r>
        <w:rPr>
          <w:highlight w:val="none"/>
        </w:rPr>
        <w:t>1</w:t>
      </w:r>
      <w:r>
        <w:rPr>
          <w:rFonts w:hint="eastAsia"/>
          <w:highlight w:val="none"/>
        </w:rPr>
        <w:t>9</w:t>
      </w:r>
      <w:r>
        <w:rPr>
          <w:highlight w:val="none"/>
        </w:rPr>
        <w:t xml:space="preserve">.2 </w:t>
      </w:r>
      <w:r>
        <w:rPr>
          <w:rFonts w:hint="eastAsia"/>
          <w:highlight w:val="none"/>
        </w:rPr>
        <w:t>投标人提供证明投标技术方案与招标文件的要求相一致的文件，可以是文字资料、图纸、数据或数码照片、制造商公布的产品说明书、产品彩页和我国政府机构出具的产品检验和核准证件等，以证明投标人响应的真实性。它包括并应符合以下要求：</w:t>
      </w:r>
    </w:p>
    <w:p>
      <w:pPr>
        <w:tabs>
          <w:tab w:val="clear" w:pos="426"/>
        </w:tabs>
        <w:rPr>
          <w:highlight w:val="none"/>
        </w:rPr>
      </w:pPr>
      <w:r>
        <w:rPr>
          <w:rFonts w:hint="eastAsia"/>
          <w:highlight w:val="none"/>
        </w:rPr>
        <w:t>19.2.1主要技术指标和性能的详细说明。</w:t>
      </w:r>
    </w:p>
    <w:p>
      <w:pPr>
        <w:tabs>
          <w:tab w:val="clear" w:pos="426"/>
        </w:tabs>
        <w:rPr>
          <w:highlight w:val="none"/>
        </w:rPr>
      </w:pPr>
      <w:r>
        <w:rPr>
          <w:rFonts w:hint="eastAsia"/>
          <w:highlight w:val="none"/>
        </w:rPr>
        <w:t>19.2.</w:t>
      </w:r>
      <w:r>
        <w:rPr>
          <w:highlight w:val="none"/>
        </w:rPr>
        <w:t>2</w:t>
      </w:r>
      <w:r>
        <w:rPr>
          <w:rFonts w:hint="eastAsia"/>
          <w:highlight w:val="none"/>
        </w:rPr>
        <w:t>投标产品从采购单位开始使用至招标文件中规定的周期内正常、连续地使用所必须的备件和专用工具清单，包括备件和专用工具的货源及现行价格。</w:t>
      </w:r>
    </w:p>
    <w:p>
      <w:pPr>
        <w:tabs>
          <w:tab w:val="clear" w:pos="426"/>
        </w:tabs>
        <w:rPr>
          <w:highlight w:val="none"/>
        </w:rPr>
      </w:pPr>
      <w:r>
        <w:rPr>
          <w:rFonts w:hint="eastAsia"/>
          <w:highlight w:val="none"/>
        </w:rPr>
        <w:t>19.2.</w:t>
      </w:r>
      <w:r>
        <w:rPr>
          <w:highlight w:val="none"/>
        </w:rPr>
        <w:t>3</w:t>
      </w:r>
      <w:r>
        <w:rPr>
          <w:rFonts w:hint="eastAsia"/>
          <w:highlight w:val="none"/>
        </w:rPr>
        <w:t>对照招标文件技术规格，逐条说明投标技术方案已对采购单位的技术规格做出了实质性的响应，或申明与技术规格条文的偏差和例外。投标人应详细说明投标技术方案中产品的具体参数，不得照搬照抄招标文件的技术要求。</w:t>
      </w:r>
    </w:p>
    <w:p>
      <w:pPr>
        <w:tabs>
          <w:tab w:val="clear" w:pos="426"/>
        </w:tabs>
        <w:rPr>
          <w:highlight w:val="none"/>
        </w:rPr>
      </w:pPr>
      <w:r>
        <w:rPr>
          <w:rFonts w:hint="eastAsia"/>
          <w:highlight w:val="none"/>
        </w:rPr>
        <w:t>19.2.4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应能清晰的阅读、识别和判断；</w:t>
      </w:r>
    </w:p>
    <w:p>
      <w:pPr>
        <w:tabs>
          <w:tab w:val="clear" w:pos="426"/>
        </w:tabs>
        <w:rPr>
          <w:highlight w:val="none"/>
        </w:rPr>
      </w:pPr>
      <w:r>
        <w:rPr>
          <w:rFonts w:hint="eastAsia"/>
          <w:highlight w:val="none"/>
        </w:rPr>
        <w:t>19.2.5我国政府机构出具的产品检验和核准证件应为证件正面、背面和附件标注的全部具体内容；产品检验和核准证件应能清晰的阅读、识别和判断，提供原件复印件。</w:t>
      </w:r>
    </w:p>
    <w:p>
      <w:pPr>
        <w:tabs>
          <w:tab w:val="clear" w:pos="426"/>
        </w:tabs>
        <w:rPr>
          <w:highlight w:val="none"/>
        </w:rPr>
      </w:pPr>
      <w:r>
        <w:rPr>
          <w:rFonts w:hint="eastAsia"/>
          <w:highlight w:val="none"/>
        </w:rPr>
        <w:t>19.3相关资料不符合19.2款要求的，评标委员会有权认定为投标技术方案不合格响应，其相关分数予以扣减或作废标处理。</w:t>
      </w:r>
    </w:p>
    <w:p>
      <w:pPr>
        <w:tabs>
          <w:tab w:val="clear" w:pos="426"/>
        </w:tabs>
        <w:rPr>
          <w:highlight w:val="none"/>
        </w:rPr>
      </w:pPr>
      <w:r>
        <w:rPr>
          <w:rFonts w:hint="eastAsia"/>
          <w:highlight w:val="none"/>
        </w:rPr>
        <w:t>19.4评标委员会有权对以谋取中标为目的的技术规格模糊响应（如有意照搬照抄招标文件的技术要求）或虚假响应予以认定。供应商上述行为一经发现或查实，除扣分或废标外，采购代理机构可视情况报政府采购监督管理部门做进一步处理。</w:t>
      </w:r>
    </w:p>
    <w:p>
      <w:pPr>
        <w:tabs>
          <w:tab w:val="clear" w:pos="426"/>
        </w:tabs>
        <w:rPr>
          <w:highlight w:val="none"/>
        </w:rPr>
      </w:pPr>
      <w:r>
        <w:rPr>
          <w:highlight w:val="none"/>
        </w:rPr>
        <w:t>1</w:t>
      </w:r>
      <w:r>
        <w:rPr>
          <w:rFonts w:hint="eastAsia"/>
          <w:highlight w:val="none"/>
        </w:rPr>
        <w:t>9</w:t>
      </w:r>
      <w:r>
        <w:rPr>
          <w:highlight w:val="none"/>
        </w:rPr>
        <w:t>.</w:t>
      </w:r>
      <w:r>
        <w:rPr>
          <w:rFonts w:hint="eastAsia"/>
          <w:highlight w:val="none"/>
        </w:rPr>
        <w:t>5投标人在阐述上述第18.2时应注意采购单位在技术规格中指出的工艺、材料和设备的标准以及参照的牌号或分类号仅起说明作用，并没有任何限制性。投标人在投标中可以选用替代标准、牌号或分类号，但这些替代要实质上满足招标文件中技术规格的要求，是否满足要求，由评标委员会来评判。</w:t>
      </w:r>
    </w:p>
    <w:p>
      <w:pPr>
        <w:tabs>
          <w:tab w:val="clear" w:pos="426"/>
        </w:tabs>
        <w:rPr>
          <w:highlight w:val="none"/>
        </w:rPr>
      </w:pPr>
      <w:r>
        <w:rPr>
          <w:rFonts w:hint="eastAsia"/>
          <w:highlight w:val="none"/>
        </w:rPr>
        <w:t>19.6为保证公平公正，除非另有规定或说明，投标人对同一货物或服务投标时，不得同时提供两套或两套以上的投标方案。</w:t>
      </w:r>
    </w:p>
    <w:p>
      <w:pPr>
        <w:tabs>
          <w:tab w:val="clear" w:pos="426"/>
        </w:tabs>
        <w:rPr>
          <w:highlight w:val="none"/>
        </w:rPr>
      </w:pPr>
      <w:r>
        <w:rPr>
          <w:rFonts w:hint="eastAsia"/>
          <w:highlight w:val="none"/>
        </w:rPr>
        <w:t>20．投标文件其他证明文件的要求</w:t>
      </w:r>
    </w:p>
    <w:p>
      <w:pPr>
        <w:tabs>
          <w:tab w:val="clear" w:pos="426"/>
        </w:tabs>
        <w:rPr>
          <w:highlight w:val="none"/>
        </w:rPr>
      </w:pPr>
      <w:r>
        <w:rPr>
          <w:rFonts w:hint="eastAsia"/>
          <w:highlight w:val="none"/>
        </w:rPr>
        <w:t>20.1对项目招标文件《评标信息》评分项中涉及的相关业绩、社保情况、纳税情况、银行资信等级和资金流状况等内容以及《投标文件初审表》中涉及的资格证书，投标人应提供相关部门出具的证明材料原件复印件，原件备查。上述证明材料应为证件正面、背面和附件标注的全部具体内容；有关原件复印件应能清晰的阅读、识别和判断。若投标人未按要求提供证明材料或提供的是部分证明材料或提供不清晰的，评标委员会有权认定其投标文件未对招标文件有关需求进行响应，涉及资格性审查或符合性审查的予以无效标处理，涉及《评标信息》打分项的则该项评分予以0分处理。</w:t>
      </w:r>
    </w:p>
    <w:p>
      <w:pPr>
        <w:tabs>
          <w:tab w:val="clear" w:pos="426"/>
        </w:tabs>
        <w:rPr>
          <w:highlight w:val="none"/>
        </w:rPr>
      </w:pPr>
      <w:r>
        <w:rPr>
          <w:rFonts w:hint="eastAsia"/>
          <w:highlight w:val="none"/>
        </w:rPr>
        <w:t>20.2本项目涉及提供的有关资质证书，若原有资质证书处于年审期间，投标人提供年审证明的可按原资质投标；若投标人正在申报上一级别资质，在未获批准之前，仍按原级别资质投标。</w:t>
      </w:r>
    </w:p>
    <w:p>
      <w:pPr>
        <w:tabs>
          <w:tab w:val="clear" w:pos="426"/>
        </w:tabs>
        <w:rPr>
          <w:highlight w:val="none"/>
        </w:rPr>
      </w:pPr>
      <w:bookmarkStart w:id="214" w:name="_Toc60560644"/>
      <w:bookmarkStart w:id="215" w:name="_Toc73517658"/>
      <w:bookmarkStart w:id="216" w:name="_Toc73518136"/>
      <w:bookmarkStart w:id="217" w:name="_Toc73521566"/>
      <w:bookmarkStart w:id="218" w:name="_Toc73521654"/>
      <w:bookmarkStart w:id="219" w:name="_Toc100052383"/>
      <w:bookmarkStart w:id="220" w:name="_Toc60631639"/>
      <w:r>
        <w:rPr>
          <w:rFonts w:hint="eastAsia"/>
          <w:highlight w:val="none"/>
        </w:rPr>
        <w:t>21．投标有效期</w:t>
      </w:r>
      <w:bookmarkEnd w:id="214"/>
      <w:bookmarkEnd w:id="215"/>
      <w:bookmarkEnd w:id="216"/>
      <w:bookmarkEnd w:id="217"/>
      <w:bookmarkEnd w:id="218"/>
      <w:bookmarkEnd w:id="219"/>
      <w:bookmarkEnd w:id="220"/>
    </w:p>
    <w:p>
      <w:pPr>
        <w:tabs>
          <w:tab w:val="clear" w:pos="426"/>
        </w:tabs>
        <w:rPr>
          <w:highlight w:val="none"/>
        </w:rPr>
      </w:pPr>
      <w:r>
        <w:rPr>
          <w:rFonts w:hint="eastAsia"/>
          <w:highlight w:val="none"/>
        </w:rPr>
        <w:t>21.1 投标有效期为从投标截止之日算起的日历天数，具体见专用条款中投标有效期的天数要求。在此期限内，所有投标文件均保持有效；</w:t>
      </w:r>
    </w:p>
    <w:p>
      <w:pPr>
        <w:tabs>
          <w:tab w:val="clear" w:pos="426"/>
        </w:tabs>
        <w:rPr>
          <w:highlight w:val="none"/>
        </w:rPr>
      </w:pPr>
      <w:r>
        <w:rPr>
          <w:rFonts w:hint="eastAsia"/>
          <w:highlight w:val="none"/>
        </w:rPr>
        <w:t>21.2 在特殊的情况下，采购代理机构在原定的投标有效期满之前，采购代理机构可以根据需要以书面形式（包括网站公开发布方式）向投标人提出延长投标有效期的要求，对此要求投标人须以书面形式予以答复，投标人可以拒绝采购代理机构此项要求，其投标在原投标有效期满后不再有效。同意延长投标有效期的投标人不能要求也不允许修改其投标文件，但应当相应的延长投标担保的有效期；</w:t>
      </w:r>
    </w:p>
    <w:p>
      <w:pPr>
        <w:tabs>
          <w:tab w:val="clear" w:pos="426"/>
        </w:tabs>
        <w:rPr>
          <w:highlight w:val="none"/>
        </w:rPr>
      </w:pPr>
      <w:r>
        <w:rPr>
          <w:rFonts w:hint="eastAsia"/>
          <w:highlight w:val="none"/>
        </w:rPr>
        <w:t>21</w:t>
      </w:r>
      <w:r>
        <w:rPr>
          <w:highlight w:val="none"/>
        </w:rPr>
        <w:t>.3</w:t>
      </w:r>
      <w:r>
        <w:rPr>
          <w:rFonts w:hint="eastAsia"/>
          <w:highlight w:val="none"/>
        </w:rPr>
        <w:t xml:space="preserve"> 中标单位的投标书有效期，截止于完成本招标文件规定的全部项目内容，并通过竣工验收及保修结束。</w:t>
      </w:r>
    </w:p>
    <w:p>
      <w:pPr>
        <w:tabs>
          <w:tab w:val="clear" w:pos="426"/>
        </w:tabs>
        <w:rPr>
          <w:rFonts w:hint="eastAsia"/>
          <w:highlight w:val="none"/>
        </w:rPr>
      </w:pPr>
      <w:bookmarkStart w:id="221" w:name="_Toc60560645"/>
      <w:bookmarkStart w:id="222" w:name="_Toc60631640"/>
      <w:bookmarkStart w:id="223" w:name="_Toc73518137"/>
      <w:bookmarkStart w:id="224" w:name="_Toc73517659"/>
      <w:bookmarkStart w:id="225" w:name="_Toc73521567"/>
      <w:bookmarkStart w:id="226" w:name="_Toc73521655"/>
      <w:bookmarkStart w:id="227" w:name="_Toc100052384"/>
      <w:r>
        <w:rPr>
          <w:rFonts w:hint="eastAsia"/>
          <w:highlight w:val="none"/>
        </w:rPr>
        <w:t>22．投标</w:t>
      </w:r>
      <w:bookmarkEnd w:id="221"/>
      <w:bookmarkEnd w:id="222"/>
      <w:bookmarkEnd w:id="223"/>
      <w:bookmarkEnd w:id="224"/>
      <w:bookmarkEnd w:id="225"/>
      <w:bookmarkEnd w:id="226"/>
      <w:bookmarkEnd w:id="227"/>
      <w:r>
        <w:rPr>
          <w:rFonts w:hint="eastAsia"/>
          <w:highlight w:val="none"/>
        </w:rPr>
        <w:t>保证金</w:t>
      </w:r>
    </w:p>
    <w:p>
      <w:pPr>
        <w:tabs>
          <w:tab w:val="clear" w:pos="426"/>
        </w:tabs>
        <w:rPr>
          <w:rFonts w:hint="default" w:eastAsia="宋体"/>
          <w:highlight w:val="none"/>
          <w:lang w:val="en-US" w:eastAsia="zh-CN"/>
        </w:rPr>
      </w:pPr>
      <w:r>
        <w:rPr>
          <w:rFonts w:hint="eastAsia"/>
          <w:highlight w:val="none"/>
          <w:lang w:val="en-US" w:eastAsia="zh-CN"/>
        </w:rPr>
        <w:t>无需缴纳。</w:t>
      </w:r>
    </w:p>
    <w:p>
      <w:pPr>
        <w:tabs>
          <w:tab w:val="clear" w:pos="426"/>
        </w:tabs>
        <w:rPr>
          <w:highlight w:val="none"/>
        </w:rPr>
      </w:pPr>
      <w:bookmarkStart w:id="228" w:name="_Toc60560646"/>
      <w:bookmarkStart w:id="229" w:name="_Toc60631641"/>
      <w:bookmarkStart w:id="230" w:name="_Toc73517660"/>
      <w:bookmarkStart w:id="231" w:name="_Toc73518138"/>
      <w:bookmarkStart w:id="232" w:name="_Toc73521568"/>
      <w:bookmarkStart w:id="233" w:name="_Toc73521656"/>
      <w:bookmarkStart w:id="234" w:name="_Toc100052385"/>
      <w:r>
        <w:rPr>
          <w:rFonts w:hint="eastAsia"/>
          <w:highlight w:val="none"/>
        </w:rPr>
        <w:t>23．投标人的替代方案</w:t>
      </w:r>
      <w:bookmarkEnd w:id="228"/>
      <w:bookmarkEnd w:id="229"/>
      <w:bookmarkEnd w:id="230"/>
      <w:bookmarkEnd w:id="231"/>
      <w:bookmarkEnd w:id="232"/>
      <w:bookmarkEnd w:id="233"/>
      <w:bookmarkEnd w:id="234"/>
    </w:p>
    <w:p>
      <w:pPr>
        <w:tabs>
          <w:tab w:val="clear" w:pos="426"/>
        </w:tabs>
        <w:rPr>
          <w:highlight w:val="none"/>
        </w:rPr>
      </w:pPr>
      <w:r>
        <w:rPr>
          <w:rFonts w:hint="eastAsia"/>
          <w:highlight w:val="none"/>
        </w:rPr>
        <w:t>23.1投标人所提交的投标文件应完全满足招标文件（包括图纸和技术规范所示的基本技术设计）的要求。除非招标的项目明确允许投标人提交替代方案，否则投标人有关替代方案的条款将不予考虑。</w:t>
      </w:r>
    </w:p>
    <w:p>
      <w:pPr>
        <w:tabs>
          <w:tab w:val="clear" w:pos="426"/>
        </w:tabs>
        <w:rPr>
          <w:bCs/>
          <w:sz w:val="30"/>
          <w:szCs w:val="30"/>
          <w:highlight w:val="none"/>
        </w:rPr>
      </w:pPr>
      <w:r>
        <w:rPr>
          <w:rFonts w:hint="eastAsia"/>
          <w:highlight w:val="none"/>
        </w:rPr>
        <w:t>23.2 如果允许投标人提交替代方案，则准备提交替代方案的投标人除应提交一份满足招标文件（包括图纸和技术规范所示的基本技术设计）要求的投标文件外，还应提交需评审其替代方案所需的全部资料，包括项目方案书、技术规范、替代方案报价书、所建议的项目方案及有关的其它详细资料。</w:t>
      </w:r>
      <w:bookmarkStart w:id="235" w:name="_Toc73518144"/>
      <w:bookmarkStart w:id="236" w:name="_Toc73517666"/>
      <w:bookmarkStart w:id="237" w:name="_Toc73521574"/>
      <w:bookmarkStart w:id="238" w:name="_Toc73521662"/>
      <w:bookmarkStart w:id="239" w:name="_Toc100052391"/>
      <w:bookmarkStart w:id="240" w:name="_Toc101074881"/>
    </w:p>
    <w:p>
      <w:pPr>
        <w:tabs>
          <w:tab w:val="clear" w:pos="426"/>
        </w:tabs>
        <w:rPr>
          <w:highlight w:val="none"/>
        </w:rPr>
      </w:pPr>
      <w:bookmarkStart w:id="241" w:name="_Toc135666815"/>
      <w:bookmarkStart w:id="242" w:name="_Toc157847820"/>
      <w:bookmarkStart w:id="243" w:name="_Toc201401576"/>
      <w:bookmarkStart w:id="244" w:name="_Toc188869280"/>
      <w:bookmarkStart w:id="245" w:name="_Toc143658455"/>
      <w:bookmarkStart w:id="246" w:name="_Toc148954859"/>
      <w:bookmarkStart w:id="247" w:name="_Toc148329801"/>
      <w:bookmarkStart w:id="248" w:name="_Toc148413300"/>
      <w:bookmarkStart w:id="249" w:name="_Toc134852021"/>
      <w:bookmarkStart w:id="250" w:name="_Toc148780238"/>
      <w:bookmarkStart w:id="251" w:name="_Toc187729580"/>
      <w:bookmarkStart w:id="252" w:name="_Toc163530302"/>
      <w:bookmarkStart w:id="253" w:name="_Toc201401384"/>
      <w:bookmarkStart w:id="254" w:name="_Toc135666628"/>
      <w:bookmarkStart w:id="255" w:name="_Toc201997835"/>
      <w:bookmarkStart w:id="256" w:name="_Toc148954464"/>
      <w:bookmarkStart w:id="257" w:name="_Toc148779952"/>
      <w:bookmarkStart w:id="258" w:name="_Toc148778157"/>
      <w:bookmarkStart w:id="259" w:name="_Toc98817934"/>
      <w:r>
        <w:rPr>
          <w:rFonts w:hint="eastAsia"/>
          <w:highlight w:val="none"/>
        </w:rPr>
        <w:t>24． 投标文件的密封、标记</w:t>
      </w:r>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r>
        <w:rPr>
          <w:rFonts w:hint="eastAsia"/>
          <w:highlight w:val="none"/>
        </w:rPr>
        <w:t>和装订</w:t>
      </w:r>
    </w:p>
    <w:p>
      <w:pPr>
        <w:widowControl w:val="0"/>
        <w:shd w:val="clear" w:color="auto" w:fill="auto"/>
        <w:tabs>
          <w:tab w:val="clear" w:pos="426"/>
        </w:tabs>
        <w:autoSpaceDE w:val="0"/>
        <w:autoSpaceDN w:val="0"/>
        <w:rPr>
          <w:rFonts w:cs="黑体"/>
          <w:bCs/>
          <w:szCs w:val="21"/>
          <w:highlight w:val="none"/>
        </w:rPr>
      </w:pPr>
      <w:r>
        <w:rPr>
          <w:rFonts w:hint="eastAsia"/>
          <w:highlight w:val="none"/>
        </w:rPr>
        <w:t>24.1</w:t>
      </w:r>
      <w:r>
        <w:rPr>
          <w:rFonts w:hint="eastAsia" w:cs="黑体"/>
          <w:bCs/>
          <w:szCs w:val="21"/>
          <w:highlight w:val="none"/>
        </w:rPr>
        <w:t>为方便开标唱标，投标人应单独提交一个密封信封，并在信封上标明“开标信封”的字样，内容包括开标一览表(报价表)、法定代表人证明书、法定代表人授权委托书、被授权人身份证复印件、</w:t>
      </w:r>
      <w:r>
        <w:rPr>
          <w:rFonts w:hint="eastAsia"/>
          <w:szCs w:val="21"/>
          <w:highlight w:val="none"/>
        </w:rPr>
        <w:t>投标文件电子光盘</w:t>
      </w:r>
      <w:r>
        <w:rPr>
          <w:rFonts w:hint="eastAsia" w:cs="黑体"/>
          <w:bCs/>
          <w:szCs w:val="21"/>
          <w:highlight w:val="none"/>
        </w:rPr>
        <w:t>，若本项目（或包组）接受联合体投标，则联合体投标，应将各方共同签署的《联合投标协议》和《投标联合体授权主体方协议书》一并提交。开标信封是投标文件的组成部分。</w:t>
      </w:r>
    </w:p>
    <w:p>
      <w:pPr>
        <w:tabs>
          <w:tab w:val="clear" w:pos="426"/>
        </w:tabs>
        <w:rPr>
          <w:color w:val="000000"/>
          <w:szCs w:val="21"/>
          <w:highlight w:val="none"/>
        </w:rPr>
      </w:pPr>
      <w:r>
        <w:rPr>
          <w:highlight w:val="none"/>
        </w:rPr>
        <w:t>24.2 投标文件为纸质投标文件，含正本和副本，投标文件应标明项目编号、招标项目名称及“正本”或“副本”。投标文件的所有内容应按A4篇幅装订成一册，装订应牢固不可拆卸。装订好的投标文件密封包装在一个外密封袋中，并在外密封袋上注明：</w:t>
      </w:r>
    </w:p>
    <w:p>
      <w:pPr>
        <w:tabs>
          <w:tab w:val="clear" w:pos="426"/>
        </w:tabs>
        <w:rPr>
          <w:highlight w:val="none"/>
        </w:rPr>
      </w:pPr>
      <w:r>
        <w:rPr>
          <w:rFonts w:hint="eastAsia"/>
          <w:highlight w:val="none"/>
        </w:rPr>
        <w:t xml:space="preserve">投标文件 </w:t>
      </w:r>
    </w:p>
    <w:p>
      <w:pPr>
        <w:tabs>
          <w:tab w:val="clear" w:pos="426"/>
        </w:tabs>
        <w:rPr>
          <w:highlight w:val="none"/>
        </w:rPr>
      </w:pPr>
      <w:r>
        <w:rPr>
          <w:rFonts w:hint="eastAsia"/>
          <w:highlight w:val="none"/>
        </w:rPr>
        <w:t>招标项目编号：</w:t>
      </w:r>
    </w:p>
    <w:p>
      <w:pPr>
        <w:tabs>
          <w:tab w:val="clear" w:pos="426"/>
        </w:tabs>
        <w:rPr>
          <w:highlight w:val="none"/>
        </w:rPr>
      </w:pPr>
      <w:r>
        <w:rPr>
          <w:rFonts w:hint="eastAsia"/>
          <w:highlight w:val="none"/>
        </w:rPr>
        <w:t>项目名称：</w:t>
      </w:r>
    </w:p>
    <w:p>
      <w:pPr>
        <w:tabs>
          <w:tab w:val="clear" w:pos="426"/>
        </w:tabs>
        <w:rPr>
          <w:highlight w:val="none"/>
        </w:rPr>
      </w:pPr>
      <w:r>
        <w:rPr>
          <w:rFonts w:hint="eastAsia"/>
          <w:highlight w:val="none"/>
        </w:rPr>
        <w:t>投标人名称（盖章）：</w:t>
      </w:r>
    </w:p>
    <w:p>
      <w:pPr>
        <w:tabs>
          <w:tab w:val="clear" w:pos="426"/>
        </w:tabs>
        <w:rPr>
          <w:highlight w:val="none"/>
        </w:rPr>
      </w:pPr>
      <w:r>
        <w:rPr>
          <w:rFonts w:hint="eastAsia"/>
          <w:highlight w:val="none"/>
        </w:rPr>
        <w:t>投标截止时间：</w:t>
      </w:r>
      <w:r>
        <w:rPr>
          <w:rFonts w:hint="eastAsia"/>
          <w:highlight w:val="none"/>
          <w:u w:val="single"/>
        </w:rPr>
        <w:t xml:space="preserve">       年      月      日      时      分（前不得开封）</w:t>
      </w:r>
      <w:r>
        <w:rPr>
          <w:rFonts w:hint="eastAsia"/>
          <w:highlight w:val="none"/>
        </w:rPr>
        <w:t>。</w:t>
      </w:r>
    </w:p>
    <w:p>
      <w:pPr>
        <w:tabs>
          <w:tab w:val="clear" w:pos="426"/>
        </w:tabs>
        <w:rPr>
          <w:highlight w:val="none"/>
        </w:rPr>
      </w:pPr>
      <w:r>
        <w:rPr>
          <w:rFonts w:hint="eastAsia"/>
          <w:highlight w:val="none"/>
        </w:rPr>
        <w:t>24.3  所有投标文件的密封袋的封口处均应加盖投标人公章。</w:t>
      </w:r>
    </w:p>
    <w:p>
      <w:pPr>
        <w:tabs>
          <w:tab w:val="clear" w:pos="426"/>
        </w:tabs>
        <w:rPr>
          <w:highlight w:val="none"/>
        </w:rPr>
      </w:pPr>
      <w:r>
        <w:rPr>
          <w:rFonts w:hint="eastAsia"/>
          <w:highlight w:val="none"/>
        </w:rPr>
        <w:t>24.4  对于因标书标识不清、装订不牢、密封不严等导致的不利后果由该投标人自负。</w:t>
      </w:r>
    </w:p>
    <w:p>
      <w:pPr>
        <w:tabs>
          <w:tab w:val="clear" w:pos="426"/>
        </w:tabs>
        <w:rPr>
          <w:color w:val="000000"/>
          <w:szCs w:val="21"/>
          <w:highlight w:val="none"/>
        </w:rPr>
      </w:pPr>
      <w:r>
        <w:rPr>
          <w:rFonts w:hint="eastAsia"/>
          <w:color w:val="000000"/>
          <w:szCs w:val="21"/>
          <w:highlight w:val="none"/>
        </w:rPr>
        <w:t>24.5  投标方应将投标文件按24.1-24.2中的规定进行密封和标记后，按专用条款中采购公告注明的地址送至采购代理机构。</w:t>
      </w:r>
    </w:p>
    <w:p>
      <w:pPr>
        <w:tabs>
          <w:tab w:val="clear" w:pos="426"/>
        </w:tabs>
        <w:rPr>
          <w:color w:val="000000"/>
          <w:szCs w:val="21"/>
          <w:highlight w:val="none"/>
        </w:rPr>
      </w:pPr>
      <w:r>
        <w:rPr>
          <w:rFonts w:hint="eastAsia"/>
          <w:color w:val="000000"/>
          <w:szCs w:val="21"/>
          <w:highlight w:val="none"/>
        </w:rPr>
        <w:t>24.6  邮寄、电报、电话、传真形式的投标概不接受。</w:t>
      </w:r>
    </w:p>
    <w:p>
      <w:pPr>
        <w:tabs>
          <w:tab w:val="clear" w:pos="426"/>
        </w:tabs>
        <w:rPr>
          <w:b/>
          <w:color w:val="000000"/>
          <w:szCs w:val="21"/>
          <w:highlight w:val="none"/>
        </w:rPr>
      </w:pPr>
      <w:r>
        <w:rPr>
          <w:rFonts w:hint="eastAsia"/>
          <w:b/>
          <w:color w:val="000000"/>
          <w:szCs w:val="21"/>
          <w:highlight w:val="none"/>
        </w:rPr>
        <w:t xml:space="preserve">24.7  </w:t>
      </w:r>
      <w:r>
        <w:rPr>
          <w:rFonts w:hint="eastAsia"/>
          <w:b/>
          <w:bCs/>
          <w:color w:val="000000"/>
          <w:szCs w:val="21"/>
          <w:highlight w:val="none"/>
        </w:rPr>
        <w:t>投标文件电子版：电子光盘一张（扫描件要求为PDF格式），请将该光盘放在开标信封中，并在光盘上标明项目编号、项目名称及投标人名称。</w:t>
      </w:r>
    </w:p>
    <w:p>
      <w:pPr>
        <w:tabs>
          <w:tab w:val="clear" w:pos="426"/>
        </w:tabs>
        <w:rPr>
          <w:color w:val="000000"/>
          <w:szCs w:val="21"/>
          <w:highlight w:val="none"/>
        </w:rPr>
      </w:pPr>
      <w:r>
        <w:rPr>
          <w:rFonts w:hint="eastAsia"/>
          <w:color w:val="000000"/>
          <w:szCs w:val="21"/>
          <w:highlight w:val="none"/>
        </w:rPr>
        <w:t>25． 投标截止时间</w:t>
      </w:r>
    </w:p>
    <w:p>
      <w:pPr>
        <w:tabs>
          <w:tab w:val="clear" w:pos="426"/>
        </w:tabs>
        <w:ind w:firstLine="424" w:firstLineChars="202"/>
        <w:rPr>
          <w:szCs w:val="21"/>
          <w:highlight w:val="none"/>
        </w:rPr>
      </w:pPr>
      <w:r>
        <w:rPr>
          <w:rFonts w:hint="eastAsia"/>
          <w:szCs w:val="21"/>
          <w:highlight w:val="none"/>
        </w:rPr>
        <w:t>采购代理机构在投标人须知第24</w:t>
      </w:r>
      <w:r>
        <w:rPr>
          <w:szCs w:val="21"/>
          <w:highlight w:val="none"/>
        </w:rPr>
        <w:t>.</w:t>
      </w:r>
      <w:r>
        <w:rPr>
          <w:rFonts w:hint="eastAsia"/>
          <w:szCs w:val="21"/>
          <w:highlight w:val="none"/>
        </w:rPr>
        <w:t>5条规定的地址收到投标书的时间不得迟于“投标人须知前附表”第</w:t>
      </w:r>
      <w:r>
        <w:rPr>
          <w:szCs w:val="21"/>
          <w:highlight w:val="none"/>
        </w:rPr>
        <w:t>19</w:t>
      </w:r>
      <w:r>
        <w:rPr>
          <w:rFonts w:hint="eastAsia"/>
          <w:szCs w:val="21"/>
          <w:highlight w:val="none"/>
        </w:rPr>
        <w:t>项所规定的时间。</w:t>
      </w:r>
    </w:p>
    <w:p>
      <w:pPr>
        <w:tabs>
          <w:tab w:val="clear" w:pos="426"/>
        </w:tabs>
        <w:rPr>
          <w:color w:val="000000"/>
          <w:szCs w:val="21"/>
          <w:highlight w:val="none"/>
        </w:rPr>
      </w:pPr>
      <w:r>
        <w:rPr>
          <w:rFonts w:hint="eastAsia"/>
          <w:color w:val="000000"/>
          <w:szCs w:val="21"/>
          <w:highlight w:val="none"/>
        </w:rPr>
        <w:t>26．迟交的投标书</w:t>
      </w:r>
    </w:p>
    <w:p>
      <w:pPr>
        <w:tabs>
          <w:tab w:val="clear" w:pos="426"/>
        </w:tabs>
        <w:ind w:firstLine="424" w:firstLineChars="202"/>
        <w:rPr>
          <w:color w:val="000000"/>
          <w:szCs w:val="21"/>
          <w:highlight w:val="none"/>
        </w:rPr>
      </w:pPr>
      <w:r>
        <w:rPr>
          <w:rFonts w:hint="eastAsia"/>
          <w:color w:val="000000"/>
          <w:szCs w:val="21"/>
          <w:highlight w:val="none"/>
        </w:rPr>
        <w:t>按照本通用条款第25条规定，采购代理机构将拒绝并原封退回在其规定的投标截止期后收到的任何投标书。</w:t>
      </w:r>
    </w:p>
    <w:p>
      <w:pPr>
        <w:tabs>
          <w:tab w:val="clear" w:pos="426"/>
        </w:tabs>
        <w:rPr>
          <w:highlight w:val="none"/>
        </w:rPr>
      </w:pPr>
      <w:r>
        <w:rPr>
          <w:rFonts w:hint="eastAsia"/>
          <w:highlight w:val="none"/>
        </w:rPr>
        <w:t>27． 投标文件的提交和截标时投标文件的数量要求</w:t>
      </w:r>
    </w:p>
    <w:p>
      <w:pPr>
        <w:tabs>
          <w:tab w:val="clear" w:pos="426"/>
        </w:tabs>
        <w:rPr>
          <w:highlight w:val="none"/>
        </w:rPr>
      </w:pPr>
      <w:r>
        <w:rPr>
          <w:rFonts w:hint="eastAsia"/>
          <w:highlight w:val="none"/>
        </w:rPr>
        <w:t>27.1  投标截止时间和地点。投标人应根据“专用条款”的规定，在投标截止时间前将投标文件密封送达指定地点。未及时送达指定地点及不符合密封、标记、签章、装订要求的投标文件采购代理机构将拒绝接收。</w:t>
      </w:r>
    </w:p>
    <w:p>
      <w:pPr>
        <w:tabs>
          <w:tab w:val="clear" w:pos="426"/>
        </w:tabs>
        <w:rPr>
          <w:highlight w:val="none"/>
        </w:rPr>
      </w:pPr>
      <w:r>
        <w:rPr>
          <w:rFonts w:hint="eastAsia"/>
          <w:highlight w:val="none"/>
        </w:rPr>
        <w:t xml:space="preserve">27.2  </w:t>
      </w:r>
      <w:r>
        <w:rPr>
          <w:highlight w:val="none"/>
        </w:rPr>
        <w:t>截标时</w:t>
      </w:r>
      <w:r>
        <w:rPr>
          <w:rFonts w:hint="eastAsia"/>
          <w:highlight w:val="none"/>
        </w:rPr>
        <w:t>递</w:t>
      </w:r>
      <w:r>
        <w:rPr>
          <w:highlight w:val="none"/>
        </w:rPr>
        <w:t>交标书的投标人数</w:t>
      </w:r>
      <w:r>
        <w:rPr>
          <w:rFonts w:hint="eastAsia"/>
          <w:highlight w:val="none"/>
        </w:rPr>
        <w:t>量未达到法定家数的，采购代理机构将按法律法规的规定暂停</w:t>
      </w:r>
      <w:r>
        <w:rPr>
          <w:highlight w:val="none"/>
        </w:rPr>
        <w:t>开标和评标程序</w:t>
      </w:r>
      <w:r>
        <w:rPr>
          <w:rFonts w:hint="eastAsia"/>
          <w:highlight w:val="none"/>
        </w:rPr>
        <w:t>。如导致招标失败，采购人或采购代理机构将不负担因此给</w:t>
      </w:r>
      <w:r>
        <w:rPr>
          <w:highlight w:val="none"/>
        </w:rPr>
        <w:t>投标人</w:t>
      </w:r>
      <w:r>
        <w:rPr>
          <w:rFonts w:hint="eastAsia"/>
          <w:highlight w:val="none"/>
        </w:rPr>
        <w:t>造成的损失。</w:t>
      </w:r>
    </w:p>
    <w:p>
      <w:pPr>
        <w:tabs>
          <w:tab w:val="clear" w:pos="426"/>
        </w:tabs>
        <w:rPr>
          <w:highlight w:val="none"/>
        </w:rPr>
      </w:pPr>
      <w:bookmarkStart w:id="260" w:name="_Toc143658458"/>
      <w:bookmarkStart w:id="261" w:name="_Toc148329804"/>
      <w:bookmarkStart w:id="262" w:name="_Toc135666818"/>
      <w:bookmarkStart w:id="263" w:name="_Toc148779955"/>
      <w:bookmarkStart w:id="264" w:name="_Toc148778160"/>
      <w:bookmarkStart w:id="265" w:name="_Toc148413303"/>
      <w:bookmarkStart w:id="266" w:name="_Toc148954862"/>
      <w:bookmarkStart w:id="267" w:name="_Toc148954467"/>
      <w:bookmarkStart w:id="268" w:name="_Toc148780241"/>
      <w:bookmarkStart w:id="269" w:name="_Toc157847823"/>
      <w:bookmarkStart w:id="270" w:name="_Toc163530305"/>
      <w:bookmarkStart w:id="271" w:name="_Toc187729583"/>
      <w:bookmarkStart w:id="272" w:name="_Toc188869283"/>
      <w:bookmarkStart w:id="273" w:name="_Toc201401386"/>
      <w:bookmarkStart w:id="274" w:name="_Toc201401578"/>
      <w:bookmarkStart w:id="275" w:name="_Toc201997837"/>
      <w:bookmarkStart w:id="276" w:name="_Toc135666631"/>
      <w:bookmarkStart w:id="277" w:name="_Toc98817937"/>
      <w:bookmarkStart w:id="278" w:name="_Toc134852024"/>
      <w:r>
        <w:rPr>
          <w:rFonts w:hint="eastAsia"/>
          <w:highlight w:val="none"/>
        </w:rPr>
        <w:t>28．  投标文件的修改或撤回</w:t>
      </w:r>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p>
    <w:p>
      <w:pPr>
        <w:tabs>
          <w:tab w:val="clear" w:pos="426"/>
        </w:tabs>
        <w:rPr>
          <w:highlight w:val="none"/>
        </w:rPr>
      </w:pPr>
      <w:r>
        <w:rPr>
          <w:rFonts w:hint="eastAsia"/>
          <w:highlight w:val="none"/>
        </w:rPr>
        <w:t>28.1  投标人已提交投标文件，规定的投标</w:t>
      </w:r>
      <w:r>
        <w:rPr>
          <w:highlight w:val="none"/>
        </w:rPr>
        <w:t>截止</w:t>
      </w:r>
      <w:r>
        <w:rPr>
          <w:rFonts w:hint="eastAsia"/>
          <w:highlight w:val="none"/>
        </w:rPr>
        <w:t>时间还未到，投标人可提出对其投标文件的修改或撤回。投标人须提交由投标人代表签名的修改或撤回的书面通知。</w:t>
      </w:r>
    </w:p>
    <w:p>
      <w:pPr>
        <w:tabs>
          <w:tab w:val="clear" w:pos="426"/>
        </w:tabs>
        <w:rPr>
          <w:highlight w:val="none"/>
        </w:rPr>
      </w:pPr>
      <w:r>
        <w:rPr>
          <w:rFonts w:hint="eastAsia"/>
          <w:highlight w:val="none"/>
        </w:rPr>
        <w:t>28.2  采购代理机构收到由投标人代表签名的修改或撤回的书面通知并确认后，投标人可对其投标文件进行修改，或是撤回其投标。</w:t>
      </w:r>
    </w:p>
    <w:p>
      <w:pPr>
        <w:tabs>
          <w:tab w:val="clear" w:pos="426"/>
        </w:tabs>
        <w:rPr>
          <w:highlight w:val="none"/>
        </w:rPr>
      </w:pPr>
      <w:bookmarkStart w:id="279" w:name="_Toc188869284"/>
      <w:r>
        <w:rPr>
          <w:rFonts w:hint="eastAsia"/>
          <w:highlight w:val="none"/>
        </w:rPr>
        <w:t>28.3  投标人的修改文件应按照本招标文件的规定进行编制、密封、标记和提交，并在密封袋上注明“投标修改”。</w:t>
      </w:r>
    </w:p>
    <w:p>
      <w:pPr>
        <w:tabs>
          <w:tab w:val="clear" w:pos="426"/>
        </w:tabs>
        <w:rPr>
          <w:highlight w:val="none"/>
        </w:rPr>
      </w:pPr>
      <w:r>
        <w:rPr>
          <w:rFonts w:hint="eastAsia"/>
          <w:highlight w:val="none"/>
        </w:rPr>
        <w:t>28.4  投标截止时间之后至投标文件有效期终止之前，投标人不得要求撤回其投标。在此期间撤回投标的，其投标担保将会被没收。</w:t>
      </w:r>
    </w:p>
    <w:p>
      <w:pPr>
        <w:tabs>
          <w:tab w:val="clear" w:pos="426"/>
        </w:tabs>
        <w:rPr>
          <w:highlight w:val="none"/>
        </w:rPr>
      </w:pPr>
      <w:r>
        <w:rPr>
          <w:rFonts w:hint="eastAsia"/>
          <w:highlight w:val="none"/>
        </w:rPr>
        <w:t>28.5  评标结束后，不论中标与否，投标人均不得收回投标文件。</w:t>
      </w:r>
    </w:p>
    <w:bookmarkEnd w:id="279"/>
    <w:p>
      <w:pPr>
        <w:pStyle w:val="5"/>
        <w:tabs>
          <w:tab w:val="clear" w:pos="426"/>
        </w:tabs>
        <w:rPr>
          <w:highlight w:val="none"/>
        </w:rPr>
      </w:pPr>
      <w:bookmarkStart w:id="280" w:name="_Toc432592824"/>
      <w:bookmarkStart w:id="281" w:name="_Toc398220532"/>
      <w:bookmarkStart w:id="282" w:name="_Toc12610133"/>
      <w:r>
        <w:rPr>
          <w:rFonts w:hint="eastAsia"/>
          <w:highlight w:val="none"/>
        </w:rPr>
        <w:t>第四章 开标</w:t>
      </w:r>
      <w:bookmarkEnd w:id="235"/>
      <w:bookmarkEnd w:id="236"/>
      <w:bookmarkEnd w:id="237"/>
      <w:bookmarkEnd w:id="238"/>
      <w:bookmarkEnd w:id="239"/>
      <w:bookmarkEnd w:id="240"/>
      <w:bookmarkEnd w:id="280"/>
      <w:bookmarkEnd w:id="281"/>
      <w:bookmarkEnd w:id="282"/>
    </w:p>
    <w:p>
      <w:pPr>
        <w:tabs>
          <w:tab w:val="clear" w:pos="426"/>
        </w:tabs>
        <w:rPr>
          <w:highlight w:val="none"/>
        </w:rPr>
      </w:pPr>
      <w:bookmarkStart w:id="283" w:name="_Toc201401388"/>
      <w:bookmarkStart w:id="284" w:name="_Toc201401580"/>
      <w:bookmarkStart w:id="285" w:name="_Toc201997841"/>
      <w:bookmarkStart w:id="286" w:name="_Toc135666820"/>
      <w:bookmarkStart w:id="287" w:name="_Toc148329806"/>
      <w:bookmarkStart w:id="288" w:name="_Toc148413305"/>
      <w:bookmarkStart w:id="289" w:name="_Toc148778162"/>
      <w:bookmarkStart w:id="290" w:name="_Toc148779957"/>
      <w:bookmarkStart w:id="291" w:name="_Toc148780243"/>
      <w:bookmarkStart w:id="292" w:name="_Toc148954469"/>
      <w:bookmarkStart w:id="293" w:name="_Toc148954864"/>
      <w:bookmarkStart w:id="294" w:name="_Toc143658460"/>
      <w:bookmarkStart w:id="295" w:name="_Toc157847825"/>
      <w:bookmarkStart w:id="296" w:name="_Toc163530307"/>
      <w:bookmarkStart w:id="297" w:name="_Toc187729585"/>
      <w:bookmarkStart w:id="298" w:name="_Toc188869286"/>
      <w:bookmarkStart w:id="299" w:name="_Toc98817939"/>
      <w:bookmarkStart w:id="300" w:name="_Toc134852027"/>
      <w:bookmarkStart w:id="301" w:name="_Toc135666633"/>
      <w:bookmarkStart w:id="302" w:name="_Toc73517668"/>
      <w:bookmarkStart w:id="303" w:name="_Toc73518146"/>
      <w:bookmarkStart w:id="304" w:name="_Toc73521576"/>
      <w:bookmarkStart w:id="305" w:name="_Toc73521664"/>
      <w:bookmarkStart w:id="306" w:name="_Toc100052393"/>
      <w:bookmarkStart w:id="307" w:name="_Toc101074882"/>
      <w:r>
        <w:rPr>
          <w:rFonts w:hint="eastAsia"/>
          <w:highlight w:val="none"/>
        </w:rPr>
        <w:t>29．　开标</w:t>
      </w:r>
      <w:bookmarkEnd w:id="283"/>
      <w:bookmarkEnd w:id="284"/>
      <w:bookmarkEnd w:id="285"/>
    </w:p>
    <w:p>
      <w:pPr>
        <w:tabs>
          <w:tab w:val="clear" w:pos="426"/>
        </w:tabs>
        <w:rPr>
          <w:highlight w:val="none"/>
        </w:rPr>
      </w:pPr>
      <w:bookmarkStart w:id="308" w:name="_Toc201401581"/>
      <w:bookmarkStart w:id="309" w:name="_Toc201401389"/>
      <w:bookmarkStart w:id="310" w:name="_Toc201997842"/>
      <w:r>
        <w:rPr>
          <w:rFonts w:hint="eastAsia"/>
          <w:highlight w:val="none"/>
        </w:rPr>
        <w:t>29.1  采购人在“投标须知前附表”中规定的时间、地点组织公开开标。邀请所有投标人代表参加。不参加开标会的投标人，视为其认可开标程序和结果。</w:t>
      </w:r>
      <w:bookmarkEnd w:id="308"/>
      <w:bookmarkEnd w:id="309"/>
      <w:bookmarkEnd w:id="310"/>
    </w:p>
    <w:p>
      <w:pPr>
        <w:tabs>
          <w:tab w:val="clear" w:pos="426"/>
        </w:tabs>
        <w:rPr>
          <w:highlight w:val="none"/>
        </w:rPr>
      </w:pPr>
      <w:bookmarkStart w:id="311" w:name="_Toc201997843"/>
      <w:bookmarkStart w:id="312" w:name="_Toc201401390"/>
      <w:bookmarkStart w:id="313" w:name="_Toc201401582"/>
      <w:r>
        <w:rPr>
          <w:rFonts w:hint="eastAsia"/>
          <w:highlight w:val="none"/>
        </w:rPr>
        <w:t>29.2  参加开标会议的投标人只委派一名代表，且必须是本单位法定代表人或授权代表，参加会议人员须提供相应的授权委托书。</w:t>
      </w:r>
    </w:p>
    <w:bookmarkEnd w:id="311"/>
    <w:bookmarkEnd w:id="312"/>
    <w:bookmarkEnd w:id="313"/>
    <w:p>
      <w:pPr>
        <w:tabs>
          <w:tab w:val="clear" w:pos="426"/>
        </w:tabs>
        <w:rPr>
          <w:highlight w:val="none"/>
        </w:rPr>
      </w:pPr>
      <w:r>
        <w:rPr>
          <w:rFonts w:hint="eastAsia"/>
          <w:highlight w:val="none"/>
        </w:rPr>
        <w:t>29.3  开标会由采购代理机构主持，开标程序如下：</w:t>
      </w:r>
    </w:p>
    <w:p>
      <w:pPr>
        <w:tabs>
          <w:tab w:val="clear" w:pos="426"/>
        </w:tabs>
        <w:rPr>
          <w:highlight w:val="none"/>
        </w:rPr>
      </w:pPr>
      <w:r>
        <w:rPr>
          <w:rFonts w:hint="eastAsia"/>
          <w:highlight w:val="none"/>
        </w:rPr>
        <w:t xml:space="preserve">29.3.1采购代理机构核对法人代表或其授权代表身份证明，若不能提供相应的身份证明或不相符，则不能参与开标会议； </w:t>
      </w:r>
    </w:p>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p>
      <w:pPr>
        <w:tabs>
          <w:tab w:val="clear" w:pos="426"/>
        </w:tabs>
        <w:rPr>
          <w:color w:val="000000"/>
          <w:szCs w:val="21"/>
          <w:highlight w:val="none"/>
        </w:rPr>
      </w:pPr>
      <w:r>
        <w:rPr>
          <w:rFonts w:hint="eastAsia"/>
          <w:color w:val="000000"/>
          <w:szCs w:val="21"/>
          <w:highlight w:val="none"/>
        </w:rPr>
        <w:t>29.3.2  采购代理机构将按“采购公告”规定的时间和地点组织公开开标。投标人应委派代表参加，参加开标的代表应签名报到以证明出席。</w:t>
      </w:r>
    </w:p>
    <w:p>
      <w:pPr>
        <w:tabs>
          <w:tab w:val="clear" w:pos="426"/>
        </w:tabs>
        <w:rPr>
          <w:color w:val="000000"/>
          <w:szCs w:val="21"/>
          <w:highlight w:val="none"/>
        </w:rPr>
      </w:pPr>
      <w:r>
        <w:rPr>
          <w:rFonts w:hint="eastAsia"/>
          <w:color w:val="000000"/>
          <w:szCs w:val="21"/>
          <w:highlight w:val="none"/>
        </w:rPr>
        <w:t>29.3.3  开标时，采购代理机构将当众宣读投标人名称、修改和撤回投标的通知、开标一览表（以招标文件规定的开标一览表内容为准）。投标文件中开标一览表内容与投标报价明细表内容不一致的，以开标一览表为准。</w:t>
      </w:r>
    </w:p>
    <w:p>
      <w:pPr>
        <w:tabs>
          <w:tab w:val="clear" w:pos="426"/>
        </w:tabs>
        <w:ind w:firstLine="411" w:firstLineChars="196"/>
        <w:rPr>
          <w:color w:val="000000"/>
          <w:szCs w:val="21"/>
          <w:highlight w:val="none"/>
        </w:rPr>
      </w:pPr>
      <w:r>
        <w:rPr>
          <w:rFonts w:hint="eastAsia"/>
          <w:color w:val="000000"/>
          <w:szCs w:val="21"/>
          <w:highlight w:val="none"/>
        </w:rPr>
        <w:t>除了按照本通用条款第26条规定原封退回的投标之外，开标时将不得拒绝任何投标书。</w:t>
      </w:r>
    </w:p>
    <w:p>
      <w:pPr>
        <w:tabs>
          <w:tab w:val="clear" w:pos="426"/>
        </w:tabs>
        <w:rPr>
          <w:color w:val="000000"/>
          <w:szCs w:val="21"/>
          <w:highlight w:val="none"/>
        </w:rPr>
      </w:pPr>
      <w:r>
        <w:rPr>
          <w:color w:val="000000"/>
          <w:szCs w:val="21"/>
          <w:highlight w:val="none"/>
        </w:rPr>
        <w:t>2</w:t>
      </w:r>
      <w:r>
        <w:rPr>
          <w:rFonts w:hint="eastAsia"/>
          <w:color w:val="000000"/>
          <w:szCs w:val="21"/>
          <w:highlight w:val="none"/>
        </w:rPr>
        <w:t>9</w:t>
      </w:r>
      <w:r>
        <w:rPr>
          <w:color w:val="000000"/>
          <w:szCs w:val="21"/>
          <w:highlight w:val="none"/>
        </w:rPr>
        <w:t>.3</w:t>
      </w:r>
      <w:r>
        <w:rPr>
          <w:rFonts w:hint="eastAsia"/>
          <w:color w:val="000000"/>
          <w:szCs w:val="21"/>
          <w:highlight w:val="none"/>
        </w:rPr>
        <w:t>.4开标时，采购代理机构仅拆封开标信封。如投标人未单独密封包装开标信封，采购代理机构有权拆封投标文件。</w:t>
      </w:r>
    </w:p>
    <w:p>
      <w:pPr>
        <w:tabs>
          <w:tab w:val="clear" w:pos="426"/>
        </w:tabs>
        <w:rPr>
          <w:color w:val="000000"/>
          <w:szCs w:val="21"/>
          <w:highlight w:val="none"/>
        </w:rPr>
      </w:pPr>
      <w:r>
        <w:rPr>
          <w:color w:val="000000"/>
          <w:szCs w:val="21"/>
          <w:highlight w:val="none"/>
        </w:rPr>
        <w:t>2</w:t>
      </w:r>
      <w:r>
        <w:rPr>
          <w:rFonts w:hint="eastAsia"/>
          <w:color w:val="000000"/>
          <w:szCs w:val="21"/>
          <w:highlight w:val="none"/>
        </w:rPr>
        <w:t>9</w:t>
      </w:r>
      <w:r>
        <w:rPr>
          <w:color w:val="000000"/>
          <w:szCs w:val="21"/>
          <w:highlight w:val="none"/>
        </w:rPr>
        <w:t>.</w:t>
      </w:r>
      <w:r>
        <w:rPr>
          <w:rFonts w:hint="eastAsia"/>
          <w:color w:val="000000"/>
          <w:szCs w:val="21"/>
          <w:highlight w:val="none"/>
        </w:rPr>
        <w:t>3.5按照投标人须知第</w:t>
      </w:r>
      <w:r>
        <w:rPr>
          <w:color w:val="000000"/>
          <w:szCs w:val="21"/>
          <w:highlight w:val="none"/>
        </w:rPr>
        <w:t>2</w:t>
      </w:r>
      <w:r>
        <w:rPr>
          <w:rFonts w:hint="eastAsia"/>
          <w:color w:val="000000"/>
          <w:szCs w:val="21"/>
          <w:highlight w:val="none"/>
        </w:rPr>
        <w:t>8条规定，提交了可接受的“撤回”通知的投标将不予开封。</w:t>
      </w:r>
    </w:p>
    <w:p>
      <w:pPr>
        <w:tabs>
          <w:tab w:val="clear" w:pos="426"/>
        </w:tabs>
        <w:rPr>
          <w:color w:val="000000"/>
          <w:szCs w:val="21"/>
          <w:highlight w:val="none"/>
        </w:rPr>
      </w:pPr>
      <w:r>
        <w:rPr>
          <w:color w:val="000000"/>
          <w:szCs w:val="21"/>
          <w:highlight w:val="none"/>
        </w:rPr>
        <w:t>2</w:t>
      </w:r>
      <w:r>
        <w:rPr>
          <w:rFonts w:hint="eastAsia"/>
          <w:color w:val="000000"/>
          <w:szCs w:val="21"/>
          <w:highlight w:val="none"/>
        </w:rPr>
        <w:t>9</w:t>
      </w:r>
      <w:r>
        <w:rPr>
          <w:color w:val="000000"/>
          <w:szCs w:val="21"/>
          <w:highlight w:val="none"/>
        </w:rPr>
        <w:t>.</w:t>
      </w:r>
      <w:r>
        <w:rPr>
          <w:rFonts w:hint="eastAsia"/>
          <w:color w:val="000000"/>
          <w:szCs w:val="21"/>
          <w:highlight w:val="none"/>
        </w:rPr>
        <w:t>3.6无论如何在开标时没有启封和读出的投标书在评标时将不予考虑。撤回的投标书将原封退回投标人。</w:t>
      </w:r>
    </w:p>
    <w:p>
      <w:pPr>
        <w:tabs>
          <w:tab w:val="clear" w:pos="426"/>
        </w:tabs>
        <w:rPr>
          <w:color w:val="000000"/>
          <w:szCs w:val="21"/>
          <w:highlight w:val="none"/>
        </w:rPr>
      </w:pPr>
      <w:r>
        <w:rPr>
          <w:color w:val="000000"/>
          <w:szCs w:val="21"/>
          <w:highlight w:val="none"/>
        </w:rPr>
        <w:t>2</w:t>
      </w:r>
      <w:r>
        <w:rPr>
          <w:rFonts w:hint="eastAsia"/>
          <w:color w:val="000000"/>
          <w:szCs w:val="21"/>
          <w:highlight w:val="none"/>
        </w:rPr>
        <w:t>9.3.7采购代理机构将做开标记录，开标记录包括按本通用条款第</w:t>
      </w:r>
      <w:r>
        <w:rPr>
          <w:color w:val="000000"/>
          <w:szCs w:val="21"/>
          <w:highlight w:val="none"/>
        </w:rPr>
        <w:t>2</w:t>
      </w:r>
      <w:r>
        <w:rPr>
          <w:rFonts w:hint="eastAsia"/>
          <w:color w:val="000000"/>
          <w:szCs w:val="21"/>
          <w:highlight w:val="none"/>
        </w:rPr>
        <w:t>9</w:t>
      </w:r>
      <w:r>
        <w:rPr>
          <w:color w:val="000000"/>
          <w:szCs w:val="21"/>
          <w:highlight w:val="none"/>
        </w:rPr>
        <w:t>.</w:t>
      </w:r>
      <w:r>
        <w:rPr>
          <w:rFonts w:hint="eastAsia"/>
          <w:color w:val="000000"/>
          <w:szCs w:val="21"/>
          <w:highlight w:val="none"/>
        </w:rPr>
        <w:t>3.3的规定在开标时宣读的全部内容。</w:t>
      </w:r>
    </w:p>
    <w:p>
      <w:pPr>
        <w:tabs>
          <w:tab w:val="clear" w:pos="426"/>
        </w:tabs>
        <w:rPr>
          <w:highlight w:val="none"/>
        </w:rPr>
      </w:pPr>
      <w:r>
        <w:rPr>
          <w:rFonts w:hint="eastAsia"/>
          <w:highlight w:val="none"/>
        </w:rPr>
        <w:t>29.3.8 供应商在开标过程中知道或者应知其权益受到损害时必须现场明确提出，未明确提出的，即视为认可开标结果。</w:t>
      </w:r>
    </w:p>
    <w:p>
      <w:pPr>
        <w:pStyle w:val="5"/>
        <w:tabs>
          <w:tab w:val="clear" w:pos="426"/>
        </w:tabs>
        <w:rPr>
          <w:highlight w:val="none"/>
        </w:rPr>
      </w:pPr>
      <w:bookmarkStart w:id="314" w:name="_Toc398220533"/>
      <w:bookmarkStart w:id="315" w:name="_Toc432592825"/>
      <w:bookmarkStart w:id="316" w:name="_Toc12610134"/>
      <w:r>
        <w:rPr>
          <w:rFonts w:hint="eastAsia"/>
          <w:highlight w:val="none"/>
        </w:rPr>
        <w:t>第五章 评标</w:t>
      </w:r>
      <w:bookmarkEnd w:id="302"/>
      <w:bookmarkEnd w:id="303"/>
      <w:bookmarkEnd w:id="304"/>
      <w:bookmarkEnd w:id="305"/>
      <w:r>
        <w:rPr>
          <w:rFonts w:hint="eastAsia"/>
          <w:highlight w:val="none"/>
        </w:rPr>
        <w:t>要求</w:t>
      </w:r>
      <w:bookmarkEnd w:id="306"/>
      <w:bookmarkEnd w:id="307"/>
      <w:bookmarkEnd w:id="314"/>
      <w:bookmarkEnd w:id="315"/>
      <w:bookmarkEnd w:id="316"/>
    </w:p>
    <w:p>
      <w:pPr>
        <w:tabs>
          <w:tab w:val="clear" w:pos="426"/>
        </w:tabs>
        <w:rPr>
          <w:highlight w:val="none"/>
        </w:rPr>
      </w:pPr>
      <w:bookmarkStart w:id="317" w:name="bt评标会议"/>
      <w:bookmarkEnd w:id="317"/>
      <w:bookmarkStart w:id="318" w:name="_Toc73517669"/>
      <w:bookmarkStart w:id="319" w:name="_Toc73521577"/>
      <w:bookmarkStart w:id="320" w:name="_Toc73518147"/>
      <w:bookmarkStart w:id="321" w:name="_Toc73521665"/>
      <w:bookmarkStart w:id="322" w:name="_Toc100052394"/>
      <w:r>
        <w:rPr>
          <w:rFonts w:hint="eastAsia"/>
          <w:highlight w:val="none"/>
        </w:rPr>
        <w:t>30．评标委员会组成</w:t>
      </w:r>
    </w:p>
    <w:p>
      <w:pPr>
        <w:tabs>
          <w:tab w:val="clear" w:pos="426"/>
        </w:tabs>
        <w:rPr>
          <w:highlight w:val="none"/>
        </w:rPr>
      </w:pPr>
      <w:r>
        <w:rPr>
          <w:rFonts w:hint="eastAsia"/>
          <w:highlight w:val="none"/>
        </w:rPr>
        <w:t>30.1开标结束后召开评标会议，评标委员会由采购代理机构依法组建，负责评标活动。</w:t>
      </w:r>
    </w:p>
    <w:p>
      <w:pPr>
        <w:tabs>
          <w:tab w:val="clear" w:pos="426"/>
        </w:tabs>
        <w:rPr>
          <w:highlight w:val="none"/>
        </w:rPr>
      </w:pPr>
      <w:r>
        <w:rPr>
          <w:rFonts w:hint="eastAsia"/>
          <w:highlight w:val="none"/>
        </w:rPr>
        <w:t>评标委员会的组成及行为规范执行《关于印发</w:t>
      </w:r>
      <w:r>
        <w:rPr>
          <w:highlight w:val="none"/>
        </w:rPr>
        <w:t>&lt;</w:t>
      </w:r>
      <w:r>
        <w:rPr>
          <w:rFonts w:hint="eastAsia"/>
          <w:highlight w:val="none"/>
        </w:rPr>
        <w:t>深圳市政府采购评标委员会和评标方法暂行规定</w:t>
      </w:r>
      <w:r>
        <w:rPr>
          <w:highlight w:val="none"/>
        </w:rPr>
        <w:t>&gt;</w:t>
      </w:r>
      <w:r>
        <w:rPr>
          <w:rFonts w:hint="eastAsia"/>
          <w:highlight w:val="none"/>
        </w:rPr>
        <w:t>的通知》</w:t>
      </w:r>
      <w:r>
        <w:rPr>
          <w:highlight w:val="none"/>
        </w:rPr>
        <w:t>(</w:t>
      </w:r>
      <w:r>
        <w:rPr>
          <w:rFonts w:hint="eastAsia"/>
          <w:highlight w:val="none"/>
        </w:rPr>
        <w:t>深财购</w:t>
      </w:r>
      <w:r>
        <w:rPr>
          <w:highlight w:val="none"/>
        </w:rPr>
        <w:t>[2005]5</w:t>
      </w:r>
      <w:r>
        <w:rPr>
          <w:rFonts w:hint="eastAsia"/>
          <w:highlight w:val="none"/>
        </w:rPr>
        <w:t>号</w:t>
      </w:r>
      <w:r>
        <w:rPr>
          <w:highlight w:val="none"/>
        </w:rPr>
        <w:t>)</w:t>
      </w:r>
      <w:r>
        <w:rPr>
          <w:rFonts w:hint="eastAsia"/>
          <w:highlight w:val="none"/>
        </w:rPr>
        <w:t>，评标委员会由采购单位代表和有关技术、经济等方面的专家组成，成员人数为</w:t>
      </w:r>
      <w:r>
        <w:rPr>
          <w:highlight w:val="none"/>
        </w:rPr>
        <w:t>5</w:t>
      </w:r>
      <w:r>
        <w:rPr>
          <w:rFonts w:hint="eastAsia"/>
          <w:highlight w:val="none"/>
        </w:rPr>
        <w:t>人以上（含</w:t>
      </w:r>
      <w:r>
        <w:rPr>
          <w:highlight w:val="none"/>
        </w:rPr>
        <w:t>5</w:t>
      </w:r>
      <w:r>
        <w:rPr>
          <w:rFonts w:hint="eastAsia"/>
          <w:highlight w:val="none"/>
        </w:rPr>
        <w:t>人）单数，其中技术、经济等方面的专家不少于成员总数的三分之二。</w:t>
      </w:r>
    </w:p>
    <w:p>
      <w:pPr>
        <w:tabs>
          <w:tab w:val="clear" w:pos="426"/>
        </w:tabs>
        <w:rPr>
          <w:highlight w:val="none"/>
        </w:rPr>
      </w:pPr>
      <w:r>
        <w:rPr>
          <w:rFonts w:hint="eastAsia"/>
          <w:highlight w:val="none"/>
        </w:rPr>
        <w:t>为保证评委人选的专业性，以及评标中的公平公正性，评标委员会成员从深圳市财政委员会评标专家库中随机抽取。</w:t>
      </w:r>
    </w:p>
    <w:p>
      <w:pPr>
        <w:tabs>
          <w:tab w:val="clear" w:pos="426"/>
        </w:tabs>
        <w:rPr>
          <w:highlight w:val="none"/>
        </w:rPr>
      </w:pPr>
      <w:r>
        <w:rPr>
          <w:rFonts w:hint="eastAsia"/>
          <w:highlight w:val="none"/>
        </w:rPr>
        <w:t>采购单位代表须持本单位签发的《评标授权书》参加评标。</w:t>
      </w:r>
    </w:p>
    <w:p>
      <w:pPr>
        <w:tabs>
          <w:tab w:val="clear" w:pos="426"/>
        </w:tabs>
        <w:rPr>
          <w:highlight w:val="none"/>
        </w:rPr>
      </w:pPr>
      <w:r>
        <w:rPr>
          <w:rFonts w:hint="eastAsia"/>
          <w:highlight w:val="none"/>
        </w:rPr>
        <w:t>采购单位无代表参与评标，应在开标前一天提交《采购单位不派评委参与项目评标承诺书》给采购代理机构。</w:t>
      </w:r>
    </w:p>
    <w:p>
      <w:pPr>
        <w:tabs>
          <w:tab w:val="clear" w:pos="426"/>
        </w:tabs>
        <w:rPr>
          <w:sz w:val="24"/>
          <w:highlight w:val="none"/>
        </w:rPr>
      </w:pPr>
      <w:r>
        <w:rPr>
          <w:rFonts w:hint="eastAsia"/>
          <w:highlight w:val="none"/>
        </w:rPr>
        <w:t>注：《评标授权书》《采购单位不派评委参与项目评标承诺书》模板可以从“深圳市政府采购中心网站”（</w:t>
      </w:r>
      <w:r>
        <w:rPr>
          <w:highlight w:val="none"/>
        </w:rPr>
        <w:t>http://</w:t>
      </w:r>
      <w:r>
        <w:rPr>
          <w:rFonts w:hint="eastAsia"/>
          <w:highlight w:val="none"/>
        </w:rPr>
        <w:t>www</w:t>
      </w:r>
      <w:r>
        <w:rPr>
          <w:highlight w:val="none"/>
        </w:rPr>
        <w:t>.szzfcg.cn/</w:t>
      </w:r>
      <w:r>
        <w:rPr>
          <w:rFonts w:hint="eastAsia"/>
          <w:highlight w:val="none"/>
        </w:rPr>
        <w:t>）采购单位页面下“采购”环节“通用表格”处下载</w:t>
      </w:r>
      <w:r>
        <w:rPr>
          <w:rFonts w:hint="eastAsia"/>
          <w:sz w:val="24"/>
          <w:highlight w:val="none"/>
        </w:rPr>
        <w:t>。</w:t>
      </w:r>
    </w:p>
    <w:p>
      <w:pPr>
        <w:tabs>
          <w:tab w:val="clear" w:pos="426"/>
        </w:tabs>
        <w:rPr>
          <w:highlight w:val="none"/>
        </w:rPr>
      </w:pPr>
      <w:r>
        <w:rPr>
          <w:rFonts w:hint="eastAsia"/>
          <w:highlight w:val="none"/>
        </w:rPr>
        <w:t>30.2评标定标应当遵循公平、公正、科学、择优的原则。</w:t>
      </w:r>
    </w:p>
    <w:p>
      <w:pPr>
        <w:tabs>
          <w:tab w:val="clear" w:pos="426"/>
        </w:tabs>
        <w:rPr>
          <w:highlight w:val="none"/>
        </w:rPr>
      </w:pPr>
      <w:r>
        <w:rPr>
          <w:rFonts w:hint="eastAsia"/>
          <w:highlight w:val="none"/>
        </w:rPr>
        <w:t>30.3评标活动依法进行，任何单位和个人不得非法干预评标过程和结果。</w:t>
      </w:r>
    </w:p>
    <w:p>
      <w:pPr>
        <w:tabs>
          <w:tab w:val="clear" w:pos="426"/>
        </w:tabs>
        <w:rPr>
          <w:highlight w:val="none"/>
        </w:rPr>
      </w:pPr>
      <w:r>
        <w:rPr>
          <w:rFonts w:hint="eastAsia"/>
          <w:highlight w:val="none"/>
        </w:rPr>
        <w:t>30.4评标过程中不允许违背评标程序或采用招标文件未载明的评标方法或评标因素进行评标。</w:t>
      </w:r>
    </w:p>
    <w:p>
      <w:pPr>
        <w:tabs>
          <w:tab w:val="clear" w:pos="426"/>
        </w:tabs>
        <w:rPr>
          <w:highlight w:val="none"/>
        </w:rPr>
      </w:pPr>
      <w:r>
        <w:rPr>
          <w:rFonts w:hint="eastAsia"/>
          <w:highlight w:val="none"/>
        </w:rPr>
        <w:t>30.5 开标后，直到授予中标人合同为止，凡属于对投标文件的审查、澄清、评价和比较的有关资料以及中标候选人的推荐情况、与评标有关的其他任何情况均严格保密。</w:t>
      </w:r>
    </w:p>
    <w:p>
      <w:pPr>
        <w:tabs>
          <w:tab w:val="clear" w:pos="426"/>
        </w:tabs>
        <w:rPr>
          <w:highlight w:val="none"/>
        </w:rPr>
      </w:pPr>
      <w:r>
        <w:rPr>
          <w:rFonts w:hint="eastAsia"/>
          <w:highlight w:val="none"/>
        </w:rPr>
        <w:t>31．向评标委员会提供的资料</w:t>
      </w:r>
    </w:p>
    <w:p>
      <w:pPr>
        <w:tabs>
          <w:tab w:val="clear" w:pos="426"/>
        </w:tabs>
        <w:rPr>
          <w:highlight w:val="none"/>
        </w:rPr>
      </w:pPr>
      <w:r>
        <w:rPr>
          <w:rFonts w:hint="eastAsia"/>
          <w:highlight w:val="none"/>
        </w:rPr>
        <w:t>31.1公开发布的招标文件，包括图纸、服务清单、答疑文件等；</w:t>
      </w:r>
    </w:p>
    <w:p>
      <w:pPr>
        <w:tabs>
          <w:tab w:val="clear" w:pos="426"/>
        </w:tabs>
        <w:rPr>
          <w:highlight w:val="none"/>
        </w:rPr>
      </w:pPr>
      <w:r>
        <w:rPr>
          <w:rFonts w:hint="eastAsia"/>
          <w:highlight w:val="none"/>
        </w:rPr>
        <w:t>31.2其他评标必须的资料。</w:t>
      </w:r>
    </w:p>
    <w:p>
      <w:pPr>
        <w:tabs>
          <w:tab w:val="clear" w:pos="426"/>
        </w:tabs>
        <w:rPr>
          <w:highlight w:val="none"/>
        </w:rPr>
      </w:pPr>
      <w:r>
        <w:rPr>
          <w:rFonts w:hint="eastAsia"/>
          <w:highlight w:val="none"/>
        </w:rPr>
        <w:t>31.3评标委员会应当认真研究招标文件，至少应了解熟悉以下内容：</w:t>
      </w:r>
    </w:p>
    <w:p>
      <w:pPr>
        <w:tabs>
          <w:tab w:val="clear" w:pos="426"/>
        </w:tabs>
        <w:rPr>
          <w:highlight w:val="none"/>
        </w:rPr>
      </w:pPr>
      <w:r>
        <w:rPr>
          <w:rFonts w:hint="eastAsia"/>
          <w:highlight w:val="none"/>
        </w:rPr>
        <w:t>（1）招标的目的；</w:t>
      </w:r>
    </w:p>
    <w:p>
      <w:pPr>
        <w:tabs>
          <w:tab w:val="clear" w:pos="426"/>
        </w:tabs>
        <w:rPr>
          <w:highlight w:val="none"/>
        </w:rPr>
      </w:pPr>
      <w:r>
        <w:rPr>
          <w:rFonts w:hint="eastAsia"/>
          <w:highlight w:val="none"/>
        </w:rPr>
        <w:t>（2）招标项目需求的范围和性质；</w:t>
      </w:r>
    </w:p>
    <w:p>
      <w:pPr>
        <w:tabs>
          <w:tab w:val="clear" w:pos="426"/>
        </w:tabs>
        <w:rPr>
          <w:highlight w:val="none"/>
        </w:rPr>
      </w:pPr>
      <w:r>
        <w:rPr>
          <w:rFonts w:hint="eastAsia"/>
          <w:highlight w:val="none"/>
        </w:rPr>
        <w:t>（3）招标文件规定的投标人的资格、财政预算限额、商务条款；</w:t>
      </w:r>
    </w:p>
    <w:p>
      <w:pPr>
        <w:tabs>
          <w:tab w:val="clear" w:pos="426"/>
        </w:tabs>
        <w:rPr>
          <w:highlight w:val="none"/>
        </w:rPr>
      </w:pPr>
      <w:r>
        <w:rPr>
          <w:rFonts w:hint="eastAsia"/>
          <w:highlight w:val="none"/>
        </w:rPr>
        <w:t>（4）招标文件规定的评标程序、评标方法和评标因素；</w:t>
      </w:r>
    </w:p>
    <w:p>
      <w:pPr>
        <w:tabs>
          <w:tab w:val="clear" w:pos="426"/>
        </w:tabs>
        <w:rPr>
          <w:highlight w:val="none"/>
        </w:rPr>
      </w:pPr>
      <w:r>
        <w:rPr>
          <w:rFonts w:hint="eastAsia"/>
          <w:highlight w:val="none"/>
        </w:rPr>
        <w:t>（5）招标文件所列示的投标文件“资格、符合性评审条款”。</w:t>
      </w:r>
    </w:p>
    <w:p>
      <w:pPr>
        <w:tabs>
          <w:tab w:val="clear" w:pos="426"/>
        </w:tabs>
        <w:rPr>
          <w:highlight w:val="none"/>
        </w:rPr>
      </w:pPr>
      <w:r>
        <w:rPr>
          <w:rFonts w:hint="eastAsia"/>
          <w:highlight w:val="none"/>
        </w:rPr>
        <w:t>32．独立评标</w:t>
      </w:r>
    </w:p>
    <w:p>
      <w:pPr>
        <w:tabs>
          <w:tab w:val="clear" w:pos="426"/>
        </w:tabs>
        <w:rPr>
          <w:szCs w:val="21"/>
          <w:highlight w:val="none"/>
        </w:rPr>
      </w:pPr>
      <w:r>
        <w:rPr>
          <w:rFonts w:hint="eastAsia"/>
          <w:highlight w:val="none"/>
        </w:rPr>
        <w:t>32.1评标委员会成员的评标活动应当独立进行，并应遵循投标文件初审、澄清有关问题、比较与评价、确定中标候选供应商、编写评标报告的工作程序。</w:t>
      </w:r>
      <w:bookmarkEnd w:id="318"/>
      <w:bookmarkEnd w:id="319"/>
      <w:bookmarkEnd w:id="320"/>
      <w:bookmarkEnd w:id="321"/>
      <w:bookmarkEnd w:id="322"/>
      <w:bookmarkStart w:id="323" w:name="bt评标过程的保密"/>
      <w:bookmarkEnd w:id="323"/>
      <w:bookmarkStart w:id="324" w:name="bt错误的修正"/>
      <w:bookmarkEnd w:id="324"/>
    </w:p>
    <w:p>
      <w:pPr>
        <w:pStyle w:val="5"/>
        <w:tabs>
          <w:tab w:val="clear" w:pos="426"/>
        </w:tabs>
        <w:rPr>
          <w:highlight w:val="none"/>
        </w:rPr>
      </w:pPr>
      <w:bookmarkStart w:id="325" w:name="_Toc100052397"/>
      <w:bookmarkStart w:id="326" w:name="_Toc101074883"/>
      <w:bookmarkStart w:id="327" w:name="_Toc398220534"/>
      <w:bookmarkStart w:id="328" w:name="_Toc432592826"/>
      <w:bookmarkStart w:id="329" w:name="_Toc12610135"/>
      <w:r>
        <w:rPr>
          <w:rFonts w:hint="eastAsia"/>
          <w:highlight w:val="none"/>
        </w:rPr>
        <w:t>第六章 评标程序</w:t>
      </w:r>
      <w:bookmarkStart w:id="330" w:name="bt投标文件的审查"/>
      <w:bookmarkEnd w:id="330"/>
      <w:bookmarkStart w:id="331" w:name="_Toc73517671"/>
      <w:bookmarkStart w:id="332" w:name="_Toc73518149"/>
      <w:bookmarkStart w:id="333" w:name="_Toc73521579"/>
      <w:bookmarkStart w:id="334" w:name="_Toc73521667"/>
      <w:r>
        <w:rPr>
          <w:rFonts w:hint="eastAsia"/>
          <w:highlight w:val="none"/>
        </w:rPr>
        <w:t>及评标方法</w:t>
      </w:r>
      <w:bookmarkEnd w:id="325"/>
      <w:bookmarkEnd w:id="326"/>
      <w:bookmarkEnd w:id="327"/>
      <w:bookmarkEnd w:id="328"/>
      <w:bookmarkEnd w:id="329"/>
    </w:p>
    <w:p>
      <w:pPr>
        <w:tabs>
          <w:tab w:val="clear" w:pos="426"/>
        </w:tabs>
        <w:rPr>
          <w:highlight w:val="none"/>
        </w:rPr>
      </w:pPr>
      <w:bookmarkStart w:id="335" w:name="_Toc100052398"/>
      <w:r>
        <w:rPr>
          <w:rFonts w:hint="eastAsia"/>
          <w:highlight w:val="none"/>
        </w:rPr>
        <w:t>33．投标文件初审</w:t>
      </w:r>
      <w:bookmarkEnd w:id="335"/>
    </w:p>
    <w:bookmarkEnd w:id="331"/>
    <w:bookmarkEnd w:id="332"/>
    <w:bookmarkEnd w:id="333"/>
    <w:bookmarkEnd w:id="334"/>
    <w:p>
      <w:pPr>
        <w:widowControl w:val="0"/>
        <w:shd w:val="clear" w:color="auto" w:fill="auto"/>
        <w:tabs>
          <w:tab w:val="clear" w:pos="426"/>
        </w:tabs>
        <w:autoSpaceDE w:val="0"/>
        <w:autoSpaceDN w:val="0"/>
        <w:rPr>
          <w:rFonts w:cs="黑体"/>
          <w:b/>
          <w:bCs/>
          <w:szCs w:val="21"/>
          <w:highlight w:val="none"/>
        </w:rPr>
      </w:pPr>
      <w:r>
        <w:rPr>
          <w:rFonts w:hint="eastAsia"/>
          <w:highlight w:val="none"/>
        </w:rPr>
        <w:t>33.1</w:t>
      </w:r>
      <w:r>
        <w:rPr>
          <w:rFonts w:hint="eastAsia"/>
          <w:szCs w:val="21"/>
          <w:highlight w:val="none"/>
          <w:lang w:eastAsia="zh-TW"/>
        </w:rPr>
        <w:t>评标委员会将</w:t>
      </w:r>
      <w:r>
        <w:rPr>
          <w:rFonts w:hint="eastAsia"/>
          <w:szCs w:val="21"/>
          <w:highlight w:val="none"/>
        </w:rPr>
        <w:t>依法对投标文件进行初审。</w:t>
      </w:r>
      <w:r>
        <w:rPr>
          <w:rFonts w:hint="eastAsia"/>
          <w:highlight w:val="none"/>
        </w:rPr>
        <w:t>投标文件初审包括资格性审查和符合性审查，资格性审查：依据法律法规和招标文件的规定，对投标文件中的资格证明等进行审查，以确定投标人是否具备投标资格。符合性审查：依据招标文件的规定，从投标文件的有效性、完整性和对招标文件的响应程度进行审查，以确定是否对招标文件的实质性要求作出响应。</w:t>
      </w:r>
    </w:p>
    <w:p>
      <w:pPr>
        <w:tabs>
          <w:tab w:val="clear" w:pos="426"/>
        </w:tabs>
        <w:rPr>
          <w:b/>
          <w:highlight w:val="none"/>
        </w:rPr>
      </w:pPr>
      <w:r>
        <w:rPr>
          <w:rFonts w:hint="eastAsia"/>
          <w:highlight w:val="none"/>
        </w:rPr>
        <w:t>33.2投标文件初审内容请详见“</w:t>
      </w:r>
      <w:r>
        <w:rPr>
          <w:rFonts w:hint="eastAsia"/>
          <w:b/>
          <w:highlight w:val="none"/>
        </w:rPr>
        <w:t>资格、符合性评审条款</w:t>
      </w:r>
      <w:r>
        <w:rPr>
          <w:rFonts w:hint="eastAsia"/>
          <w:highlight w:val="none"/>
        </w:rPr>
        <w:t>”。投标人若有一条审查不通过则按无效标处理。评标委员会对投标单位打√为通过审查，打×为未通过审查。</w:t>
      </w:r>
    </w:p>
    <w:p>
      <w:pPr>
        <w:tabs>
          <w:tab w:val="clear" w:pos="426"/>
        </w:tabs>
        <w:rPr>
          <w:highlight w:val="none"/>
        </w:rPr>
      </w:pPr>
      <w:r>
        <w:rPr>
          <w:highlight w:val="none"/>
        </w:rPr>
        <w:t>33.3 投标文件初审中关于供应商家数的计算</w:t>
      </w:r>
    </w:p>
    <w:p>
      <w:pPr>
        <w:tabs>
          <w:tab w:val="clear" w:pos="426"/>
        </w:tabs>
        <w:rPr>
          <w:highlight w:val="none"/>
        </w:rPr>
      </w:pPr>
      <w:r>
        <w:rPr>
          <w:highlight w:val="none"/>
        </w:rPr>
        <w:t>33.3.1 采用最低评标价法的采购项目，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pPr>
        <w:tabs>
          <w:tab w:val="clear" w:pos="426"/>
        </w:tabs>
        <w:rPr>
          <w:highlight w:val="none"/>
        </w:rPr>
      </w:pPr>
      <w:r>
        <w:rPr>
          <w:highlight w:val="none"/>
        </w:rPr>
        <w:t>33.3.2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tabs>
          <w:tab w:val="clear" w:pos="426"/>
        </w:tabs>
        <w:rPr>
          <w:highlight w:val="none"/>
        </w:rPr>
      </w:pPr>
      <w:r>
        <w:rPr>
          <w:highlight w:val="none"/>
        </w:rPr>
        <w:t>33.3.3非单一产品采购项目，采购人应当根据采购项目技术构成、产品价格比重等合理确定核心产品，并在招标文件中载明。多家投标人提供的核心产品品牌相同的，按前两款规定处理。</w:t>
      </w:r>
    </w:p>
    <w:p>
      <w:pPr>
        <w:tabs>
          <w:tab w:val="clear" w:pos="426"/>
        </w:tabs>
        <w:rPr>
          <w:highlight w:val="none"/>
        </w:rPr>
      </w:pPr>
      <w:r>
        <w:rPr>
          <w:highlight w:val="none"/>
        </w:rPr>
        <w:t>33.3.4公开招标以外采购方式以及政府采购服务和工程涉及采购货物的项目，也按此方法计算供应商家数。</w:t>
      </w:r>
    </w:p>
    <w:p>
      <w:pPr>
        <w:tabs>
          <w:tab w:val="clear" w:pos="426"/>
        </w:tabs>
        <w:rPr>
          <w:b/>
          <w:bCs/>
          <w:highlight w:val="none"/>
        </w:rPr>
      </w:pPr>
      <w:r>
        <w:rPr>
          <w:rFonts w:hint="eastAsia"/>
          <w:highlight w:val="none"/>
        </w:rPr>
        <w:t>33.4对不属于投标文件“</w:t>
      </w:r>
      <w:r>
        <w:rPr>
          <w:rFonts w:hint="eastAsia"/>
          <w:b/>
          <w:highlight w:val="none"/>
        </w:rPr>
        <w:t>资格、符合性评审条款</w:t>
      </w:r>
      <w:r>
        <w:rPr>
          <w:rFonts w:hint="eastAsia"/>
          <w:highlight w:val="none"/>
        </w:rPr>
        <w:t>”要所列不符合的情形，除法律法规另有规定外，不得作为废标的理由。</w:t>
      </w:r>
    </w:p>
    <w:p>
      <w:pPr>
        <w:tabs>
          <w:tab w:val="clear" w:pos="426"/>
        </w:tabs>
        <w:rPr>
          <w:highlight w:val="none"/>
        </w:rPr>
      </w:pPr>
      <w:bookmarkStart w:id="336" w:name="_Toc100052399"/>
      <w:r>
        <w:rPr>
          <w:rFonts w:hint="eastAsia"/>
          <w:highlight w:val="none"/>
        </w:rPr>
        <w:t>34．澄清有关问题</w:t>
      </w:r>
      <w:bookmarkEnd w:id="336"/>
    </w:p>
    <w:p>
      <w:pPr>
        <w:tabs>
          <w:tab w:val="clear" w:pos="426"/>
        </w:tabs>
        <w:rPr>
          <w:highlight w:val="none"/>
        </w:rPr>
      </w:pPr>
      <w:bookmarkStart w:id="337" w:name="bt投标文件的澄清"/>
      <w:bookmarkEnd w:id="337"/>
      <w:bookmarkStart w:id="338" w:name="bt废标"/>
      <w:bookmarkEnd w:id="338"/>
      <w:bookmarkStart w:id="339" w:name="bt投标文件的评估和比较"/>
      <w:bookmarkEnd w:id="339"/>
      <w:bookmarkStart w:id="340" w:name="_Toc73517675"/>
      <w:bookmarkStart w:id="341" w:name="_Toc73518153"/>
      <w:bookmarkStart w:id="342" w:name="_Toc73521583"/>
      <w:bookmarkStart w:id="343" w:name="_Toc73521671"/>
      <w:r>
        <w:rPr>
          <w:rFonts w:hint="eastAsia"/>
          <w:highlight w:val="none"/>
        </w:rPr>
        <w:t>为了有助于投标文件的审查、评价和比较，对投标文件含义不明确、同类问题表述不一致或者有明显文字和计算错误的内容，评标委员会可以用书面形式(应当由评标委员会签字)要求投标人作出必要的澄清、说明或者纠正。投标人的澄清、说明或者补正应当用采用书面形式（由其授权的代表签字），并不得超出投标文件的范围或者改变投标文件的实质性的内容。根据本通用条款第34条，凡属于评标委员会在评标中发现的算术错误进行核实的修改不在此列。</w:t>
      </w:r>
    </w:p>
    <w:p>
      <w:pPr>
        <w:tabs>
          <w:tab w:val="clear" w:pos="426"/>
        </w:tabs>
        <w:rPr>
          <w:highlight w:val="none"/>
        </w:rPr>
      </w:pPr>
      <w:bookmarkStart w:id="344" w:name="_Toc73517673"/>
      <w:bookmarkStart w:id="345" w:name="_Toc73518151"/>
      <w:bookmarkStart w:id="346" w:name="_Toc73521581"/>
      <w:bookmarkStart w:id="347" w:name="_Toc73521669"/>
      <w:bookmarkStart w:id="348" w:name="_Toc100052400"/>
      <w:r>
        <w:rPr>
          <w:rFonts w:hint="eastAsia"/>
          <w:highlight w:val="none"/>
        </w:rPr>
        <w:t>35．错误的修正</w:t>
      </w:r>
      <w:bookmarkEnd w:id="344"/>
      <w:bookmarkEnd w:id="345"/>
      <w:bookmarkEnd w:id="346"/>
      <w:bookmarkEnd w:id="347"/>
      <w:bookmarkEnd w:id="348"/>
    </w:p>
    <w:p>
      <w:pPr>
        <w:tabs>
          <w:tab w:val="clear" w:pos="426"/>
        </w:tabs>
        <w:rPr>
          <w:highlight w:val="none"/>
        </w:rPr>
      </w:pPr>
      <w:r>
        <w:rPr>
          <w:rFonts w:hint="eastAsia"/>
          <w:highlight w:val="none"/>
        </w:rPr>
        <w:t>35</w:t>
      </w:r>
      <w:r>
        <w:rPr>
          <w:highlight w:val="none"/>
        </w:rPr>
        <w:t xml:space="preserve">.1 </w:t>
      </w:r>
      <w:r>
        <w:rPr>
          <w:rFonts w:hint="eastAsia"/>
          <w:highlight w:val="none"/>
        </w:rPr>
        <w:t>评标委员会将审查投标文件是否完整、总体编排是否有序、文件签署是否合格、投标人有无计算上的错误等。</w:t>
      </w:r>
    </w:p>
    <w:p>
      <w:pPr>
        <w:tabs>
          <w:tab w:val="clear" w:pos="426"/>
        </w:tabs>
        <w:rPr>
          <w:highlight w:val="none"/>
        </w:rPr>
      </w:pPr>
      <w:r>
        <w:rPr>
          <w:rFonts w:hint="eastAsia"/>
          <w:highlight w:val="none"/>
        </w:rPr>
        <w:t>35.2  算术错误将按以下方法更正（次序排先者优先）：</w:t>
      </w:r>
    </w:p>
    <w:p>
      <w:pPr>
        <w:tabs>
          <w:tab w:val="clear" w:pos="426"/>
        </w:tabs>
        <w:rPr>
          <w:highlight w:val="none"/>
        </w:rPr>
      </w:pPr>
      <w:r>
        <w:rPr>
          <w:rFonts w:hint="eastAsia"/>
          <w:highlight w:val="none"/>
        </w:rPr>
        <w:t>35.2.1投标文件中开标一览表（报价表）内容与投标文件中相应内容不一致的，以开标一览表（报价表）为准；</w:t>
      </w:r>
    </w:p>
    <w:p>
      <w:pPr>
        <w:tabs>
          <w:tab w:val="clear" w:pos="426"/>
        </w:tabs>
        <w:rPr>
          <w:highlight w:val="none"/>
        </w:rPr>
      </w:pPr>
      <w:r>
        <w:rPr>
          <w:rFonts w:hint="eastAsia"/>
          <w:highlight w:val="none"/>
        </w:rPr>
        <w:t>35.2.2大写金额和小写金额不一致的，以大写金额为准；</w:t>
      </w:r>
    </w:p>
    <w:p>
      <w:pPr>
        <w:tabs>
          <w:tab w:val="clear" w:pos="426"/>
        </w:tabs>
        <w:rPr>
          <w:highlight w:val="none"/>
        </w:rPr>
      </w:pPr>
      <w:r>
        <w:rPr>
          <w:rFonts w:hint="eastAsia"/>
          <w:highlight w:val="none"/>
        </w:rPr>
        <w:t>35.2.3单价金额小数点或者百分比有明显错位的，以开标一览表的总价为准，并修改单价；</w:t>
      </w:r>
    </w:p>
    <w:p>
      <w:pPr>
        <w:tabs>
          <w:tab w:val="clear" w:pos="426"/>
        </w:tabs>
        <w:rPr>
          <w:highlight w:val="none"/>
        </w:rPr>
      </w:pPr>
      <w:r>
        <w:rPr>
          <w:rFonts w:hint="eastAsia"/>
          <w:highlight w:val="none"/>
        </w:rPr>
        <w:t>35.2.4总价金额与按单价汇总金额不一致的，以单价金额计算结果为准；</w:t>
      </w:r>
    </w:p>
    <w:p>
      <w:pPr>
        <w:tabs>
          <w:tab w:val="clear" w:pos="426"/>
        </w:tabs>
        <w:rPr>
          <w:highlight w:val="none"/>
        </w:rPr>
      </w:pPr>
      <w:r>
        <w:rPr>
          <w:rFonts w:hint="eastAsia"/>
          <w:highlight w:val="none"/>
        </w:rPr>
        <w:t>35.2.5 对不同文字文本投标文件的解释发生异议的，以中文文本为准。</w:t>
      </w:r>
    </w:p>
    <w:p>
      <w:pPr>
        <w:tabs>
          <w:tab w:val="clear" w:pos="426"/>
        </w:tabs>
        <w:rPr>
          <w:highlight w:val="none"/>
        </w:rPr>
      </w:pPr>
      <w:r>
        <w:rPr>
          <w:rFonts w:hint="eastAsia"/>
          <w:highlight w:val="none"/>
        </w:rPr>
        <w:t>35</w:t>
      </w:r>
      <w:r>
        <w:rPr>
          <w:highlight w:val="none"/>
        </w:rPr>
        <w:t xml:space="preserve">.3  </w:t>
      </w:r>
      <w:r>
        <w:rPr>
          <w:rFonts w:hint="eastAsia"/>
          <w:highlight w:val="none"/>
        </w:rPr>
        <w:t>对于投标文件中不构成实质性偏差的不正规、不一致或不规则，给评审带来不便，评标委员会可以接受。</w:t>
      </w:r>
    </w:p>
    <w:p>
      <w:pPr>
        <w:tabs>
          <w:tab w:val="clear" w:pos="426"/>
        </w:tabs>
        <w:rPr>
          <w:highlight w:val="none"/>
        </w:rPr>
      </w:pPr>
      <w:r>
        <w:rPr>
          <w:rFonts w:hint="eastAsia"/>
          <w:highlight w:val="none"/>
        </w:rPr>
        <w:t>35.4  投标人的投标报价是可变动价格的，或包含了价格调整要求的，或投标报价中提供</w:t>
      </w:r>
      <w:r>
        <w:rPr>
          <w:highlight w:val="none"/>
        </w:rPr>
        <w:t>两个</w:t>
      </w:r>
      <w:r>
        <w:rPr>
          <w:rFonts w:hint="eastAsia"/>
          <w:highlight w:val="none"/>
        </w:rPr>
        <w:t>（含两个）以上的</w:t>
      </w:r>
      <w:r>
        <w:rPr>
          <w:highlight w:val="none"/>
        </w:rPr>
        <w:t>报价</w:t>
      </w:r>
      <w:r>
        <w:rPr>
          <w:rFonts w:hint="eastAsia"/>
          <w:highlight w:val="none"/>
        </w:rPr>
        <w:t>（</w:t>
      </w:r>
      <w:r>
        <w:rPr>
          <w:highlight w:val="none"/>
        </w:rPr>
        <w:t>招标文件规定提交备选投标方案的除外</w:t>
      </w:r>
      <w:r>
        <w:rPr>
          <w:rFonts w:hint="eastAsia"/>
          <w:highlight w:val="none"/>
        </w:rPr>
        <w:t>），或严重漏项，评标委员会无法进行判断的，评标委员会可以作无效标处理。</w:t>
      </w:r>
    </w:p>
    <w:p>
      <w:pPr>
        <w:tabs>
          <w:tab w:val="clear" w:pos="426"/>
        </w:tabs>
        <w:rPr>
          <w:rFonts w:hint="eastAsia" w:eastAsia="宋体"/>
          <w:highlight w:val="none"/>
          <w:lang w:eastAsia="zh-CN"/>
        </w:rPr>
      </w:pPr>
      <w:r>
        <w:rPr>
          <w:rFonts w:hint="eastAsia"/>
          <w:highlight w:val="none"/>
        </w:rPr>
        <w:t>35.5根据上述修正错误的原则及方法调整或修正投标文件的投标报价，投标人同意后，调整后的投标报价对投标人起约束作用</w:t>
      </w:r>
      <w:r>
        <w:rPr>
          <w:rFonts w:hint="eastAsia"/>
          <w:highlight w:val="none"/>
          <w:lang w:eastAsia="zh-CN"/>
        </w:rPr>
        <w:t>。</w:t>
      </w:r>
    </w:p>
    <w:p>
      <w:pPr>
        <w:tabs>
          <w:tab w:val="clear" w:pos="426"/>
        </w:tabs>
        <w:rPr>
          <w:highlight w:val="none"/>
        </w:rPr>
      </w:pPr>
      <w:bookmarkStart w:id="349" w:name="_Toc100052401"/>
      <w:r>
        <w:rPr>
          <w:rFonts w:hint="eastAsia"/>
          <w:highlight w:val="none"/>
        </w:rPr>
        <w:t>36．投标文件的</w:t>
      </w:r>
      <w:bookmarkEnd w:id="340"/>
      <w:bookmarkEnd w:id="341"/>
      <w:bookmarkEnd w:id="342"/>
      <w:bookmarkEnd w:id="343"/>
      <w:r>
        <w:rPr>
          <w:rFonts w:hint="eastAsia"/>
          <w:highlight w:val="none"/>
        </w:rPr>
        <w:t>比较与评价</w:t>
      </w:r>
      <w:bookmarkEnd w:id="349"/>
    </w:p>
    <w:p>
      <w:pPr>
        <w:tabs>
          <w:tab w:val="clear" w:pos="426"/>
        </w:tabs>
        <w:rPr>
          <w:highlight w:val="none"/>
        </w:rPr>
      </w:pPr>
      <w:r>
        <w:rPr>
          <w:rFonts w:hint="eastAsia"/>
          <w:highlight w:val="none"/>
        </w:rPr>
        <w:t>36.1评标委员会将按照《深圳经济特区政府采购条例》及《深圳市政府采购评标委员会和评标方法暂行规定》，参照相关法律、法规、规定，仅对通过资格性审查和符合性审查的投标文件进行综合比较与评价。</w:t>
      </w:r>
    </w:p>
    <w:p>
      <w:pPr>
        <w:tabs>
          <w:tab w:val="clear" w:pos="426"/>
        </w:tabs>
        <w:rPr>
          <w:highlight w:val="none"/>
        </w:rPr>
      </w:pPr>
      <w:r>
        <w:rPr>
          <w:rFonts w:hint="eastAsia"/>
          <w:bCs/>
          <w:highlight w:val="none"/>
        </w:rPr>
        <w:t xml:space="preserve">36.2  </w:t>
      </w:r>
      <w:r>
        <w:rPr>
          <w:rFonts w:hint="eastAsia"/>
          <w:highlight w:val="none"/>
        </w:rPr>
        <w:t>评标委员会应当根据招标文件，审查并逐项列出投标文件的全部投标偏离。投标偏离分为重大偏离和细微偏离。</w:t>
      </w:r>
    </w:p>
    <w:p>
      <w:pPr>
        <w:tabs>
          <w:tab w:val="clear" w:pos="426"/>
        </w:tabs>
        <w:rPr>
          <w:highlight w:val="none"/>
        </w:rPr>
      </w:pPr>
      <w:r>
        <w:rPr>
          <w:rFonts w:hint="eastAsia"/>
          <w:highlight w:val="none"/>
        </w:rPr>
        <w:t>36.3 评标委员会应当对投标人的投标文件进行分析和比较。</w:t>
      </w:r>
    </w:p>
    <w:p>
      <w:pPr>
        <w:tabs>
          <w:tab w:val="clear" w:pos="426"/>
        </w:tabs>
        <w:rPr>
          <w:highlight w:val="none"/>
        </w:rPr>
      </w:pPr>
      <w:r>
        <w:rPr>
          <w:rFonts w:hint="eastAsia"/>
          <w:highlight w:val="none"/>
        </w:rPr>
        <w:t>36.4  评标委员会应当根据招标文件规定，对投标文件中的每项评审内容进行评审。</w:t>
      </w:r>
    </w:p>
    <w:p>
      <w:pPr>
        <w:tabs>
          <w:tab w:val="clear" w:pos="426"/>
        </w:tabs>
        <w:rPr>
          <w:kern w:val="10"/>
          <w:highlight w:val="none"/>
        </w:rPr>
      </w:pPr>
      <w:r>
        <w:rPr>
          <w:rFonts w:hint="eastAsia"/>
          <w:kern w:val="10"/>
          <w:highlight w:val="none"/>
        </w:rPr>
        <w:t>36.5  投标文件存在重大偏离的，应作废标处理。下列情况属于重大偏离：</w:t>
      </w:r>
    </w:p>
    <w:p>
      <w:pPr>
        <w:tabs>
          <w:tab w:val="clear" w:pos="426"/>
        </w:tabs>
        <w:rPr>
          <w:kern w:val="10"/>
          <w:highlight w:val="none"/>
        </w:rPr>
      </w:pPr>
      <w:r>
        <w:rPr>
          <w:rFonts w:hint="eastAsia"/>
          <w:kern w:val="10"/>
          <w:highlight w:val="none"/>
        </w:rPr>
        <w:t>36.5.1  投标人以他人的名义投标或出现下列串通投标、弄虚作假投标嫌疑的：</w:t>
      </w:r>
    </w:p>
    <w:p>
      <w:pPr>
        <w:tabs>
          <w:tab w:val="clear" w:pos="426"/>
        </w:tabs>
        <w:rPr>
          <w:kern w:val="10"/>
          <w:highlight w:val="none"/>
        </w:rPr>
      </w:pPr>
      <w:r>
        <w:rPr>
          <w:rFonts w:hint="eastAsia"/>
          <w:kern w:val="10"/>
          <w:highlight w:val="none"/>
        </w:rPr>
        <w:t xml:space="preserve">36.5.1.1  </w:t>
      </w:r>
      <w:r>
        <w:rPr>
          <w:kern w:val="10"/>
          <w:highlight w:val="none"/>
        </w:rPr>
        <w:t>不同投标人的投标文件内容存在非正常一致</w:t>
      </w:r>
      <w:r>
        <w:rPr>
          <w:rFonts w:hint="eastAsia"/>
          <w:kern w:val="10"/>
          <w:highlight w:val="none"/>
        </w:rPr>
        <w:t>的</w:t>
      </w:r>
      <w:r>
        <w:rPr>
          <w:kern w:val="10"/>
          <w:highlight w:val="none"/>
        </w:rPr>
        <w:t>；</w:t>
      </w:r>
    </w:p>
    <w:p>
      <w:pPr>
        <w:tabs>
          <w:tab w:val="clear" w:pos="426"/>
        </w:tabs>
        <w:rPr>
          <w:kern w:val="10"/>
          <w:highlight w:val="none"/>
        </w:rPr>
      </w:pPr>
      <w:r>
        <w:rPr>
          <w:rFonts w:hint="eastAsia"/>
          <w:kern w:val="10"/>
          <w:highlight w:val="none"/>
        </w:rPr>
        <w:t xml:space="preserve">36.5.1.2  </w:t>
      </w:r>
      <w:r>
        <w:rPr>
          <w:kern w:val="10"/>
          <w:highlight w:val="none"/>
        </w:rPr>
        <w:t>不同投标人的投标文件错漏之处一致的；</w:t>
      </w:r>
    </w:p>
    <w:p>
      <w:pPr>
        <w:tabs>
          <w:tab w:val="clear" w:pos="426"/>
        </w:tabs>
        <w:rPr>
          <w:kern w:val="10"/>
          <w:highlight w:val="none"/>
        </w:rPr>
      </w:pPr>
      <w:r>
        <w:rPr>
          <w:rFonts w:hint="eastAsia"/>
          <w:kern w:val="10"/>
          <w:highlight w:val="none"/>
        </w:rPr>
        <w:t xml:space="preserve">36.5.1.3  </w:t>
      </w:r>
      <w:r>
        <w:rPr>
          <w:kern w:val="10"/>
          <w:highlight w:val="none"/>
        </w:rPr>
        <w:t>不同投标人的投标报价或者报价组成异常一致或者呈规律性变化的；</w:t>
      </w:r>
    </w:p>
    <w:p>
      <w:pPr>
        <w:tabs>
          <w:tab w:val="clear" w:pos="426"/>
        </w:tabs>
        <w:rPr>
          <w:kern w:val="10"/>
          <w:highlight w:val="none"/>
        </w:rPr>
      </w:pPr>
      <w:r>
        <w:rPr>
          <w:rFonts w:hint="eastAsia"/>
          <w:kern w:val="10"/>
          <w:highlight w:val="none"/>
        </w:rPr>
        <w:t xml:space="preserve">36.5.1.4  </w:t>
      </w:r>
      <w:r>
        <w:rPr>
          <w:kern w:val="10"/>
          <w:highlight w:val="none"/>
        </w:rPr>
        <w:t>不同投标人的投标文件由同一单位或者同一个人编制的；</w:t>
      </w:r>
    </w:p>
    <w:p>
      <w:pPr>
        <w:tabs>
          <w:tab w:val="clear" w:pos="426"/>
        </w:tabs>
        <w:rPr>
          <w:kern w:val="10"/>
          <w:highlight w:val="none"/>
        </w:rPr>
      </w:pPr>
      <w:r>
        <w:rPr>
          <w:rFonts w:hint="eastAsia"/>
          <w:kern w:val="10"/>
          <w:highlight w:val="none"/>
        </w:rPr>
        <w:t xml:space="preserve">36.5.1.5  </w:t>
      </w:r>
      <w:r>
        <w:rPr>
          <w:kern w:val="10"/>
          <w:highlight w:val="none"/>
        </w:rPr>
        <w:t>不同投标人的投标文件载明的</w:t>
      </w:r>
      <w:r>
        <w:rPr>
          <w:rFonts w:hint="eastAsia"/>
          <w:kern w:val="10"/>
          <w:highlight w:val="none"/>
        </w:rPr>
        <w:t>项目负责人与主要技术人员</w:t>
      </w:r>
      <w:r>
        <w:rPr>
          <w:kern w:val="10"/>
          <w:highlight w:val="none"/>
        </w:rPr>
        <w:t>出现同一人的；</w:t>
      </w:r>
    </w:p>
    <w:p>
      <w:pPr>
        <w:tabs>
          <w:tab w:val="clear" w:pos="426"/>
        </w:tabs>
        <w:rPr>
          <w:kern w:val="10"/>
          <w:highlight w:val="none"/>
        </w:rPr>
      </w:pPr>
      <w:r>
        <w:rPr>
          <w:rFonts w:hint="eastAsia"/>
          <w:kern w:val="10"/>
          <w:highlight w:val="none"/>
        </w:rPr>
        <w:t xml:space="preserve">36.5.1.6  </w:t>
      </w:r>
      <w:r>
        <w:rPr>
          <w:kern w:val="10"/>
          <w:highlight w:val="none"/>
        </w:rPr>
        <w:t>不同投标人的投标文件相互混装的；</w:t>
      </w:r>
    </w:p>
    <w:p>
      <w:pPr>
        <w:tabs>
          <w:tab w:val="clear" w:pos="426"/>
        </w:tabs>
        <w:rPr>
          <w:kern w:val="10"/>
          <w:highlight w:val="none"/>
        </w:rPr>
      </w:pPr>
      <w:r>
        <w:rPr>
          <w:rFonts w:hint="eastAsia"/>
          <w:kern w:val="10"/>
          <w:highlight w:val="none"/>
        </w:rPr>
        <w:t xml:space="preserve">36.5.1.7  </w:t>
      </w:r>
      <w:r>
        <w:rPr>
          <w:kern w:val="10"/>
          <w:highlight w:val="none"/>
        </w:rPr>
        <w:t>不同投标人委托同一人投标的</w:t>
      </w:r>
      <w:r>
        <w:rPr>
          <w:rFonts w:hint="eastAsia"/>
          <w:kern w:val="10"/>
          <w:highlight w:val="none"/>
        </w:rPr>
        <w:t>；</w:t>
      </w:r>
    </w:p>
    <w:p>
      <w:pPr>
        <w:tabs>
          <w:tab w:val="clear" w:pos="426"/>
        </w:tabs>
        <w:rPr>
          <w:kern w:val="10"/>
          <w:highlight w:val="none"/>
        </w:rPr>
      </w:pPr>
      <w:r>
        <w:rPr>
          <w:rFonts w:hint="eastAsia"/>
          <w:kern w:val="10"/>
          <w:highlight w:val="none"/>
        </w:rPr>
        <w:t>36.5.1.8  不同投标人聘请同一人为其投标提供技术或者经济咨询服务的，但招标工程本身要求采用专有技术的除外；</w:t>
      </w:r>
    </w:p>
    <w:p>
      <w:pPr>
        <w:tabs>
          <w:tab w:val="clear" w:pos="426"/>
        </w:tabs>
        <w:rPr>
          <w:kern w:val="10"/>
          <w:highlight w:val="none"/>
        </w:rPr>
      </w:pPr>
      <w:r>
        <w:rPr>
          <w:rFonts w:hint="eastAsia"/>
          <w:kern w:val="10"/>
          <w:highlight w:val="none"/>
        </w:rPr>
        <w:t xml:space="preserve">36.5.1.9  </w:t>
      </w:r>
      <w:r>
        <w:rPr>
          <w:kern w:val="10"/>
          <w:highlight w:val="none"/>
        </w:rPr>
        <w:t>评标委员会认定的其他串通投标情形。</w:t>
      </w:r>
    </w:p>
    <w:p>
      <w:pPr>
        <w:tabs>
          <w:tab w:val="clear" w:pos="426"/>
        </w:tabs>
        <w:rPr>
          <w:highlight w:val="none"/>
        </w:rPr>
      </w:pPr>
      <w:r>
        <w:rPr>
          <w:rFonts w:hint="eastAsia"/>
          <w:kern w:val="10"/>
          <w:highlight w:val="none"/>
        </w:rPr>
        <w:t xml:space="preserve">36.5.2 </w:t>
      </w:r>
      <w:r>
        <w:rPr>
          <w:rFonts w:hint="eastAsia"/>
          <w:highlight w:val="none"/>
        </w:rPr>
        <w:t xml:space="preserve"> 投标文件不满足招标文件规定的任何一项实质性要求的；</w:t>
      </w:r>
    </w:p>
    <w:p>
      <w:pPr>
        <w:tabs>
          <w:tab w:val="clear" w:pos="426"/>
        </w:tabs>
        <w:rPr>
          <w:highlight w:val="none"/>
        </w:rPr>
      </w:pPr>
      <w:r>
        <w:rPr>
          <w:rFonts w:hint="eastAsia"/>
          <w:bCs/>
          <w:kern w:val="10"/>
          <w:highlight w:val="none"/>
        </w:rPr>
        <w:t xml:space="preserve">36.5.3 </w:t>
      </w:r>
      <w:r>
        <w:rPr>
          <w:rFonts w:hint="eastAsia"/>
          <w:highlight w:val="none"/>
        </w:rPr>
        <w:t xml:space="preserve"> 投标文件对招标文件规定的非实质性要求的偏离，超出允许偏离的最大范围或最高项数的；</w:t>
      </w:r>
    </w:p>
    <w:p>
      <w:pPr>
        <w:tabs>
          <w:tab w:val="clear" w:pos="426"/>
        </w:tabs>
        <w:rPr>
          <w:highlight w:val="none"/>
        </w:rPr>
      </w:pPr>
      <w:r>
        <w:rPr>
          <w:kern w:val="10"/>
          <w:highlight w:val="none"/>
        </w:rPr>
        <w:t>3</w:t>
      </w:r>
      <w:r>
        <w:rPr>
          <w:rFonts w:hint="eastAsia"/>
          <w:kern w:val="10"/>
          <w:highlight w:val="none"/>
        </w:rPr>
        <w:t>6</w:t>
      </w:r>
      <w:r>
        <w:rPr>
          <w:kern w:val="10"/>
          <w:highlight w:val="none"/>
        </w:rPr>
        <w:t>.5.</w:t>
      </w:r>
      <w:r>
        <w:rPr>
          <w:rFonts w:hint="eastAsia"/>
          <w:kern w:val="10"/>
          <w:highlight w:val="none"/>
        </w:rPr>
        <w:t xml:space="preserve">4 </w:t>
      </w:r>
      <w:r>
        <w:rPr>
          <w:rFonts w:hint="eastAsia"/>
          <w:highlight w:val="none"/>
        </w:rPr>
        <w:t xml:space="preserve"> 评标委员会根据招标文件的规定对投标文件的投标价格进行调整，投标人不接受调整方式的，或不接受调整后的价格的；</w:t>
      </w:r>
    </w:p>
    <w:p>
      <w:pPr>
        <w:tabs>
          <w:tab w:val="clear" w:pos="426"/>
        </w:tabs>
        <w:rPr>
          <w:kern w:val="10"/>
          <w:highlight w:val="none"/>
        </w:rPr>
      </w:pPr>
      <w:r>
        <w:rPr>
          <w:rFonts w:hint="eastAsia"/>
          <w:kern w:val="10"/>
          <w:highlight w:val="none"/>
        </w:rPr>
        <w:t>36.6  细微偏离是指投标文件在实质上响应招标文件要求，但在个别地方存在漏项或者提供了不完整的技术信息和数据等情况，并且补正这些漏项或者不完整不会对其他投标人造成不公平的结果。细微偏离不影响投标文件的有效性。</w:t>
      </w:r>
    </w:p>
    <w:p>
      <w:pPr>
        <w:tabs>
          <w:tab w:val="clear" w:pos="426"/>
        </w:tabs>
        <w:rPr>
          <w:kern w:val="10"/>
          <w:highlight w:val="none"/>
        </w:rPr>
      </w:pPr>
      <w:r>
        <w:rPr>
          <w:rFonts w:hint="eastAsia"/>
          <w:kern w:val="10"/>
          <w:highlight w:val="none"/>
        </w:rPr>
        <w:t>36.7 评标委员会应书面要求存在细微偏离的投标人在评标结束前予以补正。拒不补正的，在详细评审时可以对细微偏离按照不利于该投标人的原则进行调整，且投标人不得因此提出任何异议。</w:t>
      </w:r>
    </w:p>
    <w:p>
      <w:pPr>
        <w:tabs>
          <w:tab w:val="clear" w:pos="426"/>
        </w:tabs>
        <w:rPr>
          <w:highlight w:val="none"/>
        </w:rPr>
      </w:pPr>
      <w:r>
        <w:rPr>
          <w:rFonts w:hint="eastAsia"/>
          <w:highlight w:val="none"/>
        </w:rPr>
        <w:t>37.实地考察、演示或设备测试</w:t>
      </w:r>
    </w:p>
    <w:p>
      <w:pPr>
        <w:tabs>
          <w:tab w:val="clear" w:pos="426"/>
        </w:tabs>
        <w:rPr>
          <w:highlight w:val="none"/>
        </w:rPr>
      </w:pPr>
      <w:r>
        <w:rPr>
          <w:rFonts w:hint="eastAsia"/>
          <w:highlight w:val="none"/>
        </w:rPr>
        <w:t>37.1在招标过程中，评标委员会有权决定是否对本项目投标人进行现场勘察或实地考察或检验有关证明材料的原件。投标人应随时做好接受检查的准备。</w:t>
      </w:r>
    </w:p>
    <w:p>
      <w:pPr>
        <w:tabs>
          <w:tab w:val="clear" w:pos="426"/>
        </w:tabs>
        <w:rPr>
          <w:highlight w:val="none"/>
        </w:rPr>
      </w:pPr>
      <w:r>
        <w:rPr>
          <w:rFonts w:hint="eastAsia"/>
          <w:highlight w:val="none"/>
        </w:rPr>
        <w:t>37.2若招标文件要求进行现场演示或设备测试的，投标人应做好相应准备。</w:t>
      </w:r>
    </w:p>
    <w:p>
      <w:pPr>
        <w:tabs>
          <w:tab w:val="clear" w:pos="426"/>
        </w:tabs>
        <w:rPr>
          <w:highlight w:val="none"/>
        </w:rPr>
      </w:pPr>
      <w:bookmarkStart w:id="350" w:name="_Toc100052402"/>
      <w:r>
        <w:rPr>
          <w:rFonts w:hint="eastAsia"/>
          <w:highlight w:val="none"/>
        </w:rPr>
        <w:t>38．评标方法</w:t>
      </w:r>
      <w:bookmarkEnd w:id="350"/>
    </w:p>
    <w:p>
      <w:pPr>
        <w:tabs>
          <w:tab w:val="clear" w:pos="426"/>
        </w:tabs>
        <w:rPr>
          <w:szCs w:val="21"/>
          <w:highlight w:val="none"/>
        </w:rPr>
      </w:pPr>
      <w:r>
        <w:rPr>
          <w:rFonts w:hint="eastAsia"/>
          <w:szCs w:val="21"/>
          <w:highlight w:val="none"/>
        </w:rPr>
        <w:t>38.1</w:t>
      </w:r>
      <w:r>
        <w:rPr>
          <w:rFonts w:hint="eastAsia"/>
          <w:highlight w:val="none"/>
        </w:rPr>
        <w:t>根据《转发财政部关于加强政府采购货物和服务项目价格评审管理的通知》（深财购[2007]9号）和《关于印发&lt;深圳市政府采购评标委员会和评标方法暂行规定&gt;的通知》(深财购[2005]5号)《</w:t>
      </w:r>
      <w:r>
        <w:rPr>
          <w:highlight w:val="none"/>
        </w:rPr>
        <w:t>深圳市政府采购评标定标分离管理暂行办法</w:t>
      </w:r>
      <w:r>
        <w:rPr>
          <w:rFonts w:hint="eastAsia"/>
          <w:highlight w:val="none"/>
        </w:rPr>
        <w:t>》的有关要求，</w:t>
      </w:r>
      <w:r>
        <w:rPr>
          <w:rFonts w:hint="eastAsia"/>
          <w:szCs w:val="21"/>
          <w:highlight w:val="none"/>
        </w:rPr>
        <w:t>项目评标方法根据是否是评定分离项目进行选择。</w:t>
      </w:r>
    </w:p>
    <w:p>
      <w:pPr>
        <w:tabs>
          <w:tab w:val="clear" w:pos="426"/>
        </w:tabs>
        <w:rPr>
          <w:highlight w:val="none"/>
        </w:rPr>
      </w:pPr>
      <w:r>
        <w:rPr>
          <w:rFonts w:hint="eastAsia"/>
          <w:highlight w:val="none"/>
        </w:rPr>
        <w:t>38.2非评定分离项目</w:t>
      </w:r>
    </w:p>
    <w:p>
      <w:pPr>
        <w:tabs>
          <w:tab w:val="clear" w:pos="426"/>
        </w:tabs>
        <w:rPr>
          <w:highlight w:val="none"/>
        </w:rPr>
      </w:pPr>
      <w:r>
        <w:rPr>
          <w:rFonts w:hint="eastAsia"/>
          <w:highlight w:val="none"/>
        </w:rPr>
        <w:t>非评定分离项目评分方法为最低评标价法、综合评标法、性价比法及法律、法规允许的其它评标办法。</w:t>
      </w:r>
    </w:p>
    <w:p>
      <w:pPr>
        <w:tabs>
          <w:tab w:val="clear" w:pos="426"/>
        </w:tabs>
        <w:rPr>
          <w:b/>
          <w:highlight w:val="none"/>
        </w:rPr>
      </w:pPr>
      <w:r>
        <w:rPr>
          <w:rFonts w:hint="eastAsia"/>
          <w:highlight w:val="none"/>
        </w:rPr>
        <w:t>38.2.1</w:t>
      </w:r>
      <w:bookmarkStart w:id="351" w:name="评标方法2"/>
      <w:r>
        <w:rPr>
          <w:rFonts w:hint="eastAsia"/>
          <w:highlight w:val="none"/>
        </w:rPr>
        <w:t>最低评标价法</w:t>
      </w:r>
    </w:p>
    <w:p>
      <w:pPr>
        <w:tabs>
          <w:tab w:val="clear" w:pos="426"/>
        </w:tabs>
        <w:rPr>
          <w:highlight w:val="none"/>
        </w:rPr>
      </w:pPr>
      <w:r>
        <w:rPr>
          <w:rFonts w:hint="eastAsia"/>
          <w:highlight w:val="none"/>
        </w:rPr>
        <w:t>最低价法是指以价格因素确定中标候选供应商的评标方法，即在满足招标文件实质性要求前提下，以报价最低的投标人作为中标候选供应商或中标人的评标方法；</w:t>
      </w:r>
    </w:p>
    <w:p>
      <w:pPr>
        <w:tabs>
          <w:tab w:val="clear" w:pos="426"/>
        </w:tabs>
        <w:rPr>
          <w:b/>
          <w:highlight w:val="none"/>
        </w:rPr>
      </w:pPr>
      <w:r>
        <w:rPr>
          <w:rFonts w:hint="eastAsia"/>
          <w:highlight w:val="none"/>
        </w:rPr>
        <w:t>38.2.2</w:t>
      </w:r>
      <w:bookmarkStart w:id="352" w:name="_Hlk5289489"/>
      <w:r>
        <w:rPr>
          <w:rFonts w:hint="eastAsia"/>
          <w:highlight w:val="none"/>
        </w:rPr>
        <w:t>综合评分法</w:t>
      </w:r>
      <w:bookmarkEnd w:id="351"/>
      <w:bookmarkEnd w:id="352"/>
    </w:p>
    <w:p>
      <w:pPr>
        <w:tabs>
          <w:tab w:val="clear" w:pos="426"/>
        </w:tabs>
        <w:rPr>
          <w:highlight w:val="none"/>
        </w:rPr>
      </w:pPr>
      <w:bookmarkStart w:id="353" w:name="评标方法3"/>
      <w:r>
        <w:rPr>
          <w:rFonts w:hint="eastAsia"/>
          <w:highlight w:val="none"/>
        </w:rPr>
        <w:t>综合评分法是指投标文件满足招标文件全部实质性要求，且按照评审因素的量化指标评审得分最高的投标人为中标候选人的评标方法。</w:t>
      </w:r>
    </w:p>
    <w:p>
      <w:pPr>
        <w:tabs>
          <w:tab w:val="clear" w:pos="426"/>
        </w:tabs>
        <w:rPr>
          <w:b/>
          <w:bCs/>
          <w:highlight w:val="none"/>
        </w:rPr>
      </w:pPr>
      <w:r>
        <w:rPr>
          <w:rFonts w:hint="eastAsia"/>
          <w:highlight w:val="none"/>
        </w:rPr>
        <w:t>38.2.3</w:t>
      </w:r>
      <w:r>
        <w:rPr>
          <w:rFonts w:hint="eastAsia"/>
          <w:bCs/>
          <w:highlight w:val="none"/>
        </w:rPr>
        <w:t>性价比法</w:t>
      </w:r>
    </w:p>
    <w:p>
      <w:pPr>
        <w:tabs>
          <w:tab w:val="clear" w:pos="426"/>
        </w:tabs>
        <w:rPr>
          <w:highlight w:val="none"/>
        </w:rPr>
      </w:pPr>
      <w:r>
        <w:rPr>
          <w:rFonts w:hint="eastAsia"/>
          <w:highlight w:val="none"/>
        </w:rPr>
        <w:t>性价比法是指除价格因素外，经对投标文件进行评审，计算出评分因素的总分，除以投标报价，以商数最高的投标人作为中标候选供应商或中标人的评标方法。</w:t>
      </w:r>
    </w:p>
    <w:p>
      <w:pPr>
        <w:tabs>
          <w:tab w:val="clear" w:pos="426"/>
        </w:tabs>
        <w:rPr>
          <w:highlight w:val="none"/>
        </w:rPr>
      </w:pPr>
      <w:r>
        <w:rPr>
          <w:rFonts w:hint="eastAsia"/>
          <w:highlight w:val="none"/>
        </w:rPr>
        <w:t>38.3评定分离项目</w:t>
      </w:r>
    </w:p>
    <w:p>
      <w:pPr>
        <w:tabs>
          <w:tab w:val="clear" w:pos="426"/>
        </w:tabs>
        <w:rPr>
          <w:highlight w:val="none"/>
        </w:rPr>
      </w:pPr>
      <w:r>
        <w:rPr>
          <w:rFonts w:hint="eastAsia"/>
          <w:highlight w:val="none"/>
        </w:rPr>
        <w:t>评定分离项目，评审委员会应当按照综合评分法、定性评审法、最低价法或者法律、法规及规章规定的其他评审方法对投标文件进行评审。</w:t>
      </w:r>
    </w:p>
    <w:p>
      <w:pPr>
        <w:tabs>
          <w:tab w:val="clear" w:pos="426"/>
        </w:tabs>
        <w:rPr>
          <w:b/>
          <w:highlight w:val="none"/>
        </w:rPr>
      </w:pPr>
      <w:r>
        <w:rPr>
          <w:rFonts w:hint="eastAsia"/>
          <w:highlight w:val="none"/>
        </w:rPr>
        <w:t>38.3.1综合评分法</w:t>
      </w:r>
    </w:p>
    <w:p>
      <w:pPr>
        <w:tabs>
          <w:tab w:val="clear" w:pos="426"/>
        </w:tabs>
        <w:rPr>
          <w:highlight w:val="none"/>
        </w:rPr>
      </w:pPr>
      <w:bookmarkStart w:id="354" w:name="_Hlk5289498"/>
      <w:r>
        <w:rPr>
          <w:rFonts w:hint="eastAsia"/>
          <w:highlight w:val="none"/>
        </w:rPr>
        <w:t>综合评分法是指投标文件满足招标文件全部实质性要求，且按照评审因素的量化指标评审得分排名前列的的投标人为中标候选人的评标方法。</w:t>
      </w:r>
      <w:bookmarkEnd w:id="354"/>
    </w:p>
    <w:p>
      <w:pPr>
        <w:tabs>
          <w:tab w:val="clear" w:pos="426"/>
        </w:tabs>
        <w:rPr>
          <w:color w:val="1D1D1D"/>
          <w:sz w:val="18"/>
          <w:szCs w:val="18"/>
          <w:highlight w:val="none"/>
          <w:shd w:val="clear" w:color="auto" w:fill="FFFFFF"/>
        </w:rPr>
      </w:pPr>
      <w:r>
        <w:rPr>
          <w:rFonts w:hint="eastAsia"/>
          <w:highlight w:val="none"/>
        </w:rPr>
        <w:t>38.3.2</w:t>
      </w:r>
      <w:r>
        <w:rPr>
          <w:rFonts w:hint="eastAsia"/>
          <w:bCs/>
          <w:highlight w:val="none"/>
        </w:rPr>
        <w:t>定性评审法</w:t>
      </w:r>
    </w:p>
    <w:p>
      <w:pPr>
        <w:tabs>
          <w:tab w:val="clear" w:pos="426"/>
        </w:tabs>
        <w:rPr>
          <w:highlight w:val="none"/>
        </w:rPr>
      </w:pPr>
      <w:r>
        <w:rPr>
          <w:rFonts w:hint="eastAsia"/>
          <w:highlight w:val="none"/>
        </w:rPr>
        <w:t>定性评审法是指按照招标文件规定的各项因素进行技术商务性评审，对各投标文件是否满足招标文件实质性要求提出评审意见，并形成评审报告。评审报告的内容主要包括：对各投标文件是否合格提出意见，指出各投标文件中的优点和存在的缺陷，签订合同前应注意和澄清的事项等。所有递交的投标文件未被判定为废标或者无效标的投标人，均推荐为候选中标人。</w:t>
      </w:r>
    </w:p>
    <w:p>
      <w:pPr>
        <w:tabs>
          <w:tab w:val="clear" w:pos="426"/>
        </w:tabs>
        <w:rPr>
          <w:highlight w:val="none"/>
        </w:rPr>
      </w:pPr>
      <w:r>
        <w:rPr>
          <w:rFonts w:hint="eastAsia"/>
          <w:highlight w:val="none"/>
        </w:rPr>
        <w:t>38.3.3最低价法</w:t>
      </w:r>
    </w:p>
    <w:p>
      <w:pPr>
        <w:tabs>
          <w:tab w:val="clear" w:pos="426"/>
        </w:tabs>
        <w:rPr>
          <w:highlight w:val="none"/>
        </w:rPr>
      </w:pPr>
      <w:r>
        <w:rPr>
          <w:rFonts w:hint="eastAsia"/>
          <w:highlight w:val="none"/>
        </w:rPr>
        <w:t>最低价法是指以价格为主要因素确定候选中标人的评审方法。</w:t>
      </w:r>
    </w:p>
    <w:p>
      <w:pPr>
        <w:tabs>
          <w:tab w:val="clear" w:pos="426"/>
        </w:tabs>
        <w:rPr>
          <w:highlight w:val="none"/>
        </w:rPr>
      </w:pPr>
      <w:r>
        <w:rPr>
          <w:rFonts w:hint="eastAsia"/>
          <w:highlight w:val="none"/>
        </w:rPr>
        <w:t>38.4本项目采用的评标方法</w:t>
      </w:r>
      <w:bookmarkEnd w:id="353"/>
      <w:r>
        <w:rPr>
          <w:rFonts w:hint="eastAsia"/>
          <w:highlight w:val="none"/>
        </w:rPr>
        <w:t>见本项目招标文件专用条款的相关内容。</w:t>
      </w:r>
    </w:p>
    <w:p>
      <w:pPr>
        <w:pStyle w:val="5"/>
        <w:tabs>
          <w:tab w:val="clear" w:pos="426"/>
        </w:tabs>
        <w:rPr>
          <w:highlight w:val="none"/>
        </w:rPr>
      </w:pPr>
      <w:bookmarkStart w:id="355" w:name="_Toc432592827"/>
      <w:bookmarkStart w:id="356" w:name="_Toc12610136"/>
      <w:bookmarkStart w:id="357" w:name="_Toc398220535"/>
      <w:r>
        <w:rPr>
          <w:rFonts w:hint="eastAsia"/>
          <w:highlight w:val="none"/>
        </w:rPr>
        <w:t>第七章 定标及公示</w:t>
      </w:r>
      <w:bookmarkEnd w:id="355"/>
      <w:bookmarkEnd w:id="356"/>
      <w:bookmarkEnd w:id="357"/>
    </w:p>
    <w:p>
      <w:pPr>
        <w:tabs>
          <w:tab w:val="clear" w:pos="426"/>
        </w:tabs>
        <w:rPr>
          <w:highlight w:val="none"/>
        </w:rPr>
      </w:pPr>
      <w:r>
        <w:rPr>
          <w:rFonts w:hint="eastAsia"/>
          <w:highlight w:val="none"/>
        </w:rPr>
        <w:t>39．定标方法</w:t>
      </w:r>
    </w:p>
    <w:p>
      <w:pPr>
        <w:tabs>
          <w:tab w:val="clear" w:pos="426"/>
        </w:tabs>
        <w:rPr>
          <w:highlight w:val="none"/>
        </w:rPr>
      </w:pPr>
      <w:r>
        <w:rPr>
          <w:rFonts w:hint="eastAsia"/>
          <w:highlight w:val="none"/>
        </w:rPr>
        <w:t>39</w:t>
      </w:r>
      <w:r>
        <w:rPr>
          <w:highlight w:val="none"/>
        </w:rPr>
        <w:t>.</w:t>
      </w:r>
      <w:r>
        <w:rPr>
          <w:rFonts w:hint="eastAsia"/>
          <w:highlight w:val="none"/>
        </w:rPr>
        <w:t>1项目定标方法根据是否是评定分离项目进行选择。</w:t>
      </w:r>
    </w:p>
    <w:p>
      <w:pPr>
        <w:tabs>
          <w:tab w:val="clear" w:pos="426"/>
        </w:tabs>
        <w:rPr>
          <w:highlight w:val="none"/>
        </w:rPr>
      </w:pPr>
      <w:r>
        <w:rPr>
          <w:rFonts w:hint="eastAsia"/>
          <w:highlight w:val="none"/>
        </w:rPr>
        <w:t>39</w:t>
      </w:r>
      <w:r>
        <w:rPr>
          <w:highlight w:val="none"/>
        </w:rPr>
        <w:t>.</w:t>
      </w:r>
      <w:r>
        <w:rPr>
          <w:rFonts w:hint="eastAsia"/>
          <w:highlight w:val="none"/>
        </w:rPr>
        <w:t>2非评定分离项目</w:t>
      </w:r>
    </w:p>
    <w:p>
      <w:pPr>
        <w:tabs>
          <w:tab w:val="clear" w:pos="426"/>
        </w:tabs>
        <w:rPr>
          <w:highlight w:val="none"/>
        </w:rPr>
      </w:pPr>
      <w:r>
        <w:rPr>
          <w:rFonts w:hint="eastAsia"/>
          <w:highlight w:val="none"/>
        </w:rPr>
        <w:t>评标委员会依据本项目招标文件所约定的评标方法进行评审和比较，向采购代理机构提交书面评标报告，并根据评标方法比较评价结果从优到劣进行排序，并推荐中标候选人或确定中标人；</w:t>
      </w:r>
    </w:p>
    <w:p>
      <w:pPr>
        <w:tabs>
          <w:tab w:val="clear" w:pos="426"/>
        </w:tabs>
        <w:rPr>
          <w:highlight w:val="none"/>
        </w:rPr>
      </w:pPr>
      <w:r>
        <w:rPr>
          <w:rFonts w:hint="eastAsia"/>
          <w:highlight w:val="none"/>
        </w:rPr>
        <w:t>39</w:t>
      </w:r>
      <w:r>
        <w:rPr>
          <w:highlight w:val="none"/>
        </w:rPr>
        <w:t>.</w:t>
      </w:r>
      <w:r>
        <w:rPr>
          <w:rFonts w:hint="eastAsia"/>
          <w:highlight w:val="none"/>
        </w:rPr>
        <w:t>2.1采用最低评标价法的，按投标报价由低到高顺序排列，投标报价相同的，按技术指标优劣顺序排列。评标委员会认为，排在前面的供应商的最低投标报价或者某些分项报价明显不合理或者低于成本，有可能影响商品质量和不能诚信履约的，应当要求其在规定的期限内提供书面文件予以解释说明，并提交相关证明材料；否则，评标委员会可以取消该投标人的中标资格，按顺序由排在后面的供应商递补，以此类推。对是否满足实质性要求或报价是否合理或是否低于成本，评委会意见不一致时，按少数服从多数原则作出决定。</w:t>
      </w:r>
    </w:p>
    <w:p>
      <w:pPr>
        <w:tabs>
          <w:tab w:val="clear" w:pos="426"/>
        </w:tabs>
        <w:rPr>
          <w:highlight w:val="none"/>
        </w:rPr>
      </w:pPr>
      <w:r>
        <w:rPr>
          <w:rFonts w:hint="eastAsia"/>
          <w:highlight w:val="none"/>
        </w:rPr>
        <w:t>39</w:t>
      </w:r>
      <w:r>
        <w:rPr>
          <w:highlight w:val="none"/>
        </w:rPr>
        <w:t>.</w:t>
      </w:r>
      <w:r>
        <w:rPr>
          <w:rFonts w:hint="eastAsia"/>
          <w:highlight w:val="none"/>
        </w:rPr>
        <w:t>2.2</w:t>
      </w:r>
      <w:r>
        <w:rPr>
          <w:highlight w:val="none"/>
        </w:rPr>
        <w:t>采用综合评</w:t>
      </w:r>
      <w:r>
        <w:rPr>
          <w:rFonts w:hint="eastAsia"/>
          <w:highlight w:val="none"/>
        </w:rPr>
        <w:t>分</w:t>
      </w:r>
      <w:r>
        <w:rPr>
          <w:highlight w:val="none"/>
        </w:rPr>
        <w:t>法的，按评审后得分由高到低顺序排列。得分相同的，按投标报价由低到高顺序排列。得分且投标报价相同的，按技术指标优劣顺序排列。</w:t>
      </w:r>
      <w:r>
        <w:rPr>
          <w:rFonts w:hint="eastAsia"/>
          <w:b/>
          <w:szCs w:val="21"/>
          <w:highlight w:val="none"/>
        </w:rPr>
        <w:t>得分且投标报价相同的且技术指标或服务方案优劣相同的，</w:t>
      </w:r>
      <w:r>
        <w:rPr>
          <w:rFonts w:cs="Times New Roman"/>
          <w:b/>
          <w:bCs/>
          <w:kern w:val="2"/>
          <w:szCs w:val="21"/>
          <w:highlight w:val="none"/>
        </w:rPr>
        <w:t>采取随机抽取方式确定中标人推荐资格</w:t>
      </w:r>
      <w:r>
        <w:rPr>
          <w:rFonts w:hint="eastAsia" w:cs="Times New Roman"/>
          <w:b/>
          <w:bCs/>
          <w:kern w:val="2"/>
          <w:szCs w:val="21"/>
          <w:highlight w:val="none"/>
        </w:rPr>
        <w:t>。</w:t>
      </w:r>
      <w:r>
        <w:rPr>
          <w:rFonts w:hint="eastAsia"/>
          <w:highlight w:val="none"/>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tabs>
          <w:tab w:val="clear" w:pos="426"/>
        </w:tabs>
        <w:rPr>
          <w:highlight w:val="none"/>
        </w:rPr>
      </w:pPr>
      <w:r>
        <w:rPr>
          <w:rFonts w:hint="eastAsia"/>
          <w:highlight w:val="none"/>
        </w:rPr>
        <w:t>39</w:t>
      </w:r>
      <w:r>
        <w:rPr>
          <w:highlight w:val="none"/>
        </w:rPr>
        <w:t>.</w:t>
      </w:r>
      <w:r>
        <w:rPr>
          <w:rFonts w:hint="eastAsia"/>
          <w:highlight w:val="none"/>
        </w:rPr>
        <w:t>2.3</w:t>
      </w:r>
      <w:r>
        <w:rPr>
          <w:highlight w:val="none"/>
        </w:rPr>
        <w:t>采用</w:t>
      </w:r>
      <w:r>
        <w:rPr>
          <w:rFonts w:hint="eastAsia"/>
          <w:highlight w:val="none"/>
        </w:rPr>
        <w:t>性价比</w:t>
      </w:r>
      <w:r>
        <w:rPr>
          <w:highlight w:val="none"/>
        </w:rPr>
        <w:t>法的</w:t>
      </w:r>
      <w:r>
        <w:rPr>
          <w:rFonts w:hint="eastAsia"/>
          <w:highlight w:val="none"/>
        </w:rPr>
        <w:t>，按商数得分由高到低顺序排列。商数得分相同的，按投标报价由低到高顺序排列。商数得分且投标报价相同的，按技术指标优劣顺序排列。</w:t>
      </w:r>
    </w:p>
    <w:p>
      <w:pPr>
        <w:tabs>
          <w:tab w:val="clear" w:pos="426"/>
        </w:tabs>
        <w:rPr>
          <w:highlight w:val="none"/>
        </w:rPr>
      </w:pPr>
      <w:r>
        <w:rPr>
          <w:rFonts w:hint="eastAsia"/>
          <w:highlight w:val="none"/>
        </w:rPr>
        <w:t>39</w:t>
      </w:r>
      <w:r>
        <w:rPr>
          <w:highlight w:val="none"/>
        </w:rPr>
        <w:t>.</w:t>
      </w:r>
      <w:r>
        <w:rPr>
          <w:rFonts w:hint="eastAsia"/>
          <w:highlight w:val="none"/>
        </w:rPr>
        <w:t>3评定分离项目</w:t>
      </w:r>
    </w:p>
    <w:p>
      <w:pPr>
        <w:tabs>
          <w:tab w:val="clear" w:pos="426"/>
        </w:tabs>
        <w:rPr>
          <w:highlight w:val="none"/>
        </w:rPr>
      </w:pPr>
      <w:r>
        <w:rPr>
          <w:rFonts w:hint="eastAsia"/>
          <w:highlight w:val="none"/>
        </w:rPr>
        <w:t>适用评定分离的政府采购项目，采购人应当根据不同的项目选用自定法、抽签法、竞价法或者法律、法规及规章规定的其他定标方法确定中标人。</w:t>
      </w:r>
    </w:p>
    <w:p>
      <w:pPr>
        <w:tabs>
          <w:tab w:val="clear" w:pos="426"/>
        </w:tabs>
        <w:rPr>
          <w:highlight w:val="none"/>
        </w:rPr>
      </w:pPr>
      <w:r>
        <w:rPr>
          <w:rFonts w:hint="eastAsia"/>
          <w:highlight w:val="none"/>
        </w:rPr>
        <w:t>39</w:t>
      </w:r>
      <w:r>
        <w:rPr>
          <w:highlight w:val="none"/>
        </w:rPr>
        <w:t>.</w:t>
      </w:r>
      <w:r>
        <w:rPr>
          <w:rFonts w:hint="eastAsia"/>
          <w:highlight w:val="none"/>
        </w:rPr>
        <w:t>3.1自定法是指采购人组织定标委员会，由定标委员会在候选中标人中确定中标人。</w:t>
      </w:r>
    </w:p>
    <w:p>
      <w:pPr>
        <w:tabs>
          <w:tab w:val="clear" w:pos="426"/>
        </w:tabs>
        <w:rPr>
          <w:highlight w:val="none"/>
        </w:rPr>
      </w:pPr>
      <w:r>
        <w:rPr>
          <w:rFonts w:hint="eastAsia"/>
          <w:highlight w:val="none"/>
        </w:rPr>
        <w:t>39</w:t>
      </w:r>
      <w:r>
        <w:rPr>
          <w:highlight w:val="none"/>
        </w:rPr>
        <w:t>.</w:t>
      </w:r>
      <w:r>
        <w:rPr>
          <w:rFonts w:hint="eastAsia"/>
          <w:highlight w:val="none"/>
        </w:rPr>
        <w:t>3.2 抽签法是指候选中标人产生后，由采购人委托采购代理机构按照随机抽签的方式在候选中标人中确定中标人。 </w:t>
      </w:r>
    </w:p>
    <w:p>
      <w:pPr>
        <w:tabs>
          <w:tab w:val="clear" w:pos="426"/>
        </w:tabs>
        <w:rPr>
          <w:highlight w:val="none"/>
        </w:rPr>
      </w:pPr>
      <w:r>
        <w:rPr>
          <w:rFonts w:hint="eastAsia"/>
          <w:highlight w:val="none"/>
        </w:rPr>
        <w:t>39</w:t>
      </w:r>
      <w:r>
        <w:rPr>
          <w:highlight w:val="none"/>
        </w:rPr>
        <w:t>.</w:t>
      </w:r>
      <w:r>
        <w:rPr>
          <w:rFonts w:hint="eastAsia"/>
          <w:highlight w:val="none"/>
        </w:rPr>
        <w:t>3.3竞价法是指候选中标人产生后，由采购人委托采购代理机构组织候选中标人进行二次竞价，最终报价最低的为中标人</w:t>
      </w:r>
    </w:p>
    <w:p>
      <w:pPr>
        <w:tabs>
          <w:tab w:val="clear" w:pos="426"/>
        </w:tabs>
        <w:rPr>
          <w:color w:val="FF0000"/>
          <w:highlight w:val="none"/>
        </w:rPr>
      </w:pPr>
      <w:r>
        <w:rPr>
          <w:rFonts w:hint="eastAsia"/>
          <w:highlight w:val="none"/>
        </w:rPr>
        <w:t>39.4本项目采用的定标方法见本项目招标文件专用条款的相关内容。</w:t>
      </w:r>
    </w:p>
    <w:p>
      <w:pPr>
        <w:tabs>
          <w:tab w:val="clear" w:pos="426"/>
        </w:tabs>
        <w:rPr>
          <w:highlight w:val="none"/>
        </w:rPr>
      </w:pPr>
      <w:bookmarkStart w:id="358" w:name="_Toc100052404"/>
      <w:r>
        <w:rPr>
          <w:rFonts w:hint="eastAsia"/>
          <w:highlight w:val="none"/>
        </w:rPr>
        <w:t>40．编写评标报告</w:t>
      </w:r>
      <w:bookmarkEnd w:id="358"/>
    </w:p>
    <w:p>
      <w:pPr>
        <w:tabs>
          <w:tab w:val="clear" w:pos="426"/>
        </w:tabs>
        <w:rPr>
          <w:highlight w:val="none"/>
        </w:rPr>
      </w:pPr>
      <w:r>
        <w:rPr>
          <w:rFonts w:hint="eastAsia"/>
          <w:highlight w:val="none"/>
        </w:rPr>
        <w:t>评标报告是评标委员会根据全体评标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评标委员会应当对此作出书面说明并记录在案。</w:t>
      </w:r>
    </w:p>
    <w:p>
      <w:pPr>
        <w:tabs>
          <w:tab w:val="clear" w:pos="426"/>
        </w:tabs>
        <w:rPr>
          <w:highlight w:val="none"/>
        </w:rPr>
      </w:pPr>
      <w:bookmarkStart w:id="359" w:name="_Toc100052405"/>
      <w:bookmarkStart w:id="360" w:name="_Toc73517681"/>
      <w:bookmarkStart w:id="361" w:name="_Toc73518159"/>
      <w:bookmarkStart w:id="362" w:name="_Toc73521588"/>
      <w:bookmarkStart w:id="363" w:name="_Toc73521676"/>
      <w:r>
        <w:rPr>
          <w:rFonts w:hint="eastAsia"/>
          <w:highlight w:val="none"/>
        </w:rPr>
        <w:t>41．中标公告</w:t>
      </w:r>
      <w:bookmarkEnd w:id="359"/>
    </w:p>
    <w:p>
      <w:pPr>
        <w:tabs>
          <w:tab w:val="clear" w:pos="426"/>
        </w:tabs>
        <w:rPr>
          <w:highlight w:val="none"/>
        </w:rPr>
      </w:pPr>
      <w:r>
        <w:rPr>
          <w:rFonts w:hint="eastAsia"/>
          <w:highlight w:val="none"/>
        </w:rPr>
        <w:t>41.1为体现“公开、公平、公正”的原则，评标结束后，采购代理机构将在“深圳政府采购网”（</w:t>
      </w:r>
      <w:r>
        <w:rPr>
          <w:highlight w:val="none"/>
        </w:rPr>
        <w:fldChar w:fldCharType="begin"/>
      </w:r>
      <w:r>
        <w:rPr>
          <w:highlight w:val="none"/>
        </w:rPr>
        <w:instrText xml:space="preserve"> HYPERLINK "http://www.szfb.gov.cn:8080/" </w:instrText>
      </w:r>
      <w:r>
        <w:rPr>
          <w:highlight w:val="none"/>
        </w:rPr>
        <w:fldChar w:fldCharType="separate"/>
      </w:r>
      <w:r>
        <w:rPr>
          <w:color w:val="0000FF"/>
          <w:highlight w:val="none"/>
          <w:u w:val="single"/>
        </w:rPr>
        <w:t>http://www.szzfcg.cn/</w:t>
      </w:r>
      <w:r>
        <w:rPr>
          <w:color w:val="0000FF"/>
          <w:highlight w:val="none"/>
          <w:u w:val="single"/>
        </w:rPr>
        <w:fldChar w:fldCharType="end"/>
      </w:r>
      <w:r>
        <w:rPr>
          <w:rFonts w:hint="eastAsia"/>
          <w:highlight w:val="none"/>
        </w:rPr>
        <w:t>）及采购代理机构官网：（</w:t>
      </w:r>
      <w:r>
        <w:rPr>
          <w:highlight w:val="none"/>
        </w:rPr>
        <w:t>http://www.szsszx.com/</w:t>
      </w:r>
      <w:r>
        <w:rPr>
          <w:rFonts w:hint="eastAsia"/>
          <w:highlight w:val="none"/>
        </w:rPr>
        <w:t>）上发布中标结果公告，公示期为72小时。供应商如对评标结果有异议，请于公示期内，以书面的形式向我公司反映。若在公示期内未提出异议，则视为认同该评标结果。</w:t>
      </w:r>
    </w:p>
    <w:p>
      <w:pPr>
        <w:tabs>
          <w:tab w:val="clear" w:pos="426"/>
        </w:tabs>
        <w:rPr>
          <w:highlight w:val="none"/>
        </w:rPr>
      </w:pPr>
      <w:r>
        <w:rPr>
          <w:rFonts w:hint="eastAsia"/>
          <w:highlight w:val="none"/>
        </w:rPr>
        <w:t>41.2质疑投诉人应保证质疑投诉内容的真实性和可靠性，并承担相应的法律责任。</w:t>
      </w:r>
    </w:p>
    <w:p>
      <w:pPr>
        <w:tabs>
          <w:tab w:val="clear" w:pos="426"/>
        </w:tabs>
        <w:rPr>
          <w:highlight w:val="none"/>
        </w:rPr>
      </w:pPr>
      <w:bookmarkStart w:id="364" w:name="_Toc100052406"/>
      <w:r>
        <w:rPr>
          <w:rFonts w:hint="eastAsia"/>
          <w:highlight w:val="none"/>
        </w:rPr>
        <w:t>42．中标通知书</w:t>
      </w:r>
      <w:bookmarkEnd w:id="364"/>
    </w:p>
    <w:bookmarkEnd w:id="360"/>
    <w:bookmarkEnd w:id="361"/>
    <w:bookmarkEnd w:id="362"/>
    <w:bookmarkEnd w:id="363"/>
    <w:p>
      <w:pPr>
        <w:tabs>
          <w:tab w:val="clear" w:pos="426"/>
        </w:tabs>
        <w:rPr>
          <w:highlight w:val="none"/>
        </w:rPr>
      </w:pPr>
      <w:r>
        <w:rPr>
          <w:rFonts w:hint="eastAsia"/>
          <w:highlight w:val="none"/>
        </w:rPr>
        <w:t>42</w:t>
      </w:r>
      <w:r>
        <w:rPr>
          <w:highlight w:val="none"/>
        </w:rPr>
        <w:t>.</w:t>
      </w:r>
      <w:r>
        <w:rPr>
          <w:rFonts w:hint="eastAsia"/>
          <w:highlight w:val="none"/>
        </w:rPr>
        <w:t>1中标公告公布后,公示期内无人投诉,请中标人凭单位证明及本人身份证到采购代理机构领取《中标通知书》。</w:t>
      </w:r>
    </w:p>
    <w:p>
      <w:pPr>
        <w:tabs>
          <w:tab w:val="clear" w:pos="426"/>
        </w:tabs>
        <w:rPr>
          <w:highlight w:val="none"/>
        </w:rPr>
      </w:pPr>
      <w:r>
        <w:rPr>
          <w:rFonts w:hint="eastAsia"/>
          <w:highlight w:val="none"/>
        </w:rPr>
        <w:t>42</w:t>
      </w:r>
      <w:r>
        <w:rPr>
          <w:highlight w:val="none"/>
        </w:rPr>
        <w:t>.2</w:t>
      </w:r>
      <w:r>
        <w:rPr>
          <w:rFonts w:hint="eastAsia"/>
          <w:highlight w:val="none"/>
        </w:rPr>
        <w:t>中标通知书是合同的重要组成部分。</w:t>
      </w:r>
    </w:p>
    <w:p>
      <w:pPr>
        <w:tabs>
          <w:tab w:val="clear" w:pos="426"/>
        </w:tabs>
        <w:rPr>
          <w:highlight w:val="none"/>
        </w:rPr>
      </w:pPr>
      <w:r>
        <w:rPr>
          <w:rFonts w:hint="eastAsia"/>
          <w:highlight w:val="none"/>
        </w:rPr>
        <w:t>42.3因质疑投诉或其它原因导致项目结果变更或采购终止的，我公司有权收回中标通知书或终止采购合同。</w:t>
      </w:r>
    </w:p>
    <w:p>
      <w:pPr>
        <w:pStyle w:val="5"/>
        <w:tabs>
          <w:tab w:val="clear" w:pos="426"/>
        </w:tabs>
        <w:rPr>
          <w:highlight w:val="none"/>
        </w:rPr>
      </w:pPr>
      <w:bookmarkStart w:id="365" w:name="bt合同的授予"/>
      <w:bookmarkEnd w:id="365"/>
      <w:bookmarkStart w:id="366" w:name="_Toc398220536"/>
      <w:bookmarkStart w:id="367" w:name="_Toc432592828"/>
      <w:bookmarkStart w:id="368" w:name="_Toc12610137"/>
      <w:bookmarkStart w:id="369" w:name="_Toc73517678"/>
      <w:bookmarkStart w:id="370" w:name="_Toc73518156"/>
      <w:bookmarkStart w:id="371" w:name="_Toc100052407"/>
      <w:bookmarkStart w:id="372" w:name="_Toc101074884"/>
      <w:r>
        <w:rPr>
          <w:rFonts w:hint="eastAsia"/>
          <w:highlight w:val="none"/>
        </w:rPr>
        <w:t>第八章 公开招标失败的后续处理</w:t>
      </w:r>
      <w:bookmarkEnd w:id="366"/>
      <w:bookmarkEnd w:id="367"/>
      <w:bookmarkEnd w:id="368"/>
    </w:p>
    <w:p>
      <w:pPr>
        <w:tabs>
          <w:tab w:val="clear" w:pos="426"/>
        </w:tabs>
        <w:rPr>
          <w:highlight w:val="none"/>
        </w:rPr>
      </w:pPr>
      <w:r>
        <w:rPr>
          <w:rFonts w:hint="eastAsia"/>
          <w:highlight w:val="none"/>
        </w:rPr>
        <w:t>43．公开招标失败的处理</w:t>
      </w:r>
    </w:p>
    <w:p>
      <w:pPr>
        <w:tabs>
          <w:tab w:val="clear" w:pos="426"/>
        </w:tabs>
        <w:rPr>
          <w:highlight w:val="none"/>
        </w:rPr>
      </w:pPr>
      <w:r>
        <w:rPr>
          <w:rFonts w:hint="eastAsia"/>
          <w:szCs w:val="21"/>
          <w:highlight w:val="none"/>
        </w:rPr>
        <w:t>43.1本项目公开招标过程中若由于投标截止后</w:t>
      </w:r>
      <w:r>
        <w:rPr>
          <w:rFonts w:hint="eastAsia"/>
          <w:highlight w:val="none"/>
        </w:rPr>
        <w:t>实际递交</w:t>
      </w:r>
      <w:r>
        <w:rPr>
          <w:highlight w:val="none"/>
        </w:rPr>
        <w:t>投标</w:t>
      </w:r>
      <w:r>
        <w:rPr>
          <w:rFonts w:hint="eastAsia"/>
          <w:highlight w:val="none"/>
        </w:rPr>
        <w:t>文件的供应商数量不足、经评标委员会评审对招标文件作实质响应的供应商不足等原因造成公开招标失败，可由采购代理机构重新组织采购。</w:t>
      </w:r>
    </w:p>
    <w:p>
      <w:pPr>
        <w:tabs>
          <w:tab w:val="clear" w:pos="426"/>
        </w:tabs>
        <w:rPr>
          <w:highlight w:val="none"/>
        </w:rPr>
      </w:pPr>
      <w:r>
        <w:rPr>
          <w:rFonts w:hint="eastAsia"/>
          <w:highlight w:val="none"/>
        </w:rPr>
        <w:t>43.2对公开招标失败的项目，评标委员会在出具该项目招标失败结论的同时，提出重新采购组织形式的建议，以及进一步完善招标文件的资格、技术、商务要求的修改建议。</w:t>
      </w:r>
    </w:p>
    <w:p>
      <w:pPr>
        <w:tabs>
          <w:tab w:val="clear" w:pos="426"/>
        </w:tabs>
        <w:rPr>
          <w:highlight w:val="none"/>
        </w:rPr>
      </w:pPr>
      <w:r>
        <w:rPr>
          <w:rFonts w:hint="eastAsia"/>
          <w:highlight w:val="none"/>
        </w:rPr>
        <w:t>43.3重新组织采购有以下两种组织形式：</w:t>
      </w:r>
    </w:p>
    <w:p>
      <w:pPr>
        <w:tabs>
          <w:tab w:val="clear" w:pos="426"/>
        </w:tabs>
        <w:rPr>
          <w:highlight w:val="none"/>
        </w:rPr>
      </w:pPr>
      <w:r>
        <w:rPr>
          <w:rFonts w:hint="eastAsia"/>
          <w:highlight w:val="none"/>
        </w:rPr>
        <w:t>（1）由采购代理机构重新组织公开招标；</w:t>
      </w:r>
    </w:p>
    <w:p>
      <w:pPr>
        <w:tabs>
          <w:tab w:val="clear" w:pos="426"/>
        </w:tabs>
        <w:rPr>
          <w:highlight w:val="none"/>
        </w:rPr>
      </w:pPr>
      <w:r>
        <w:rPr>
          <w:rFonts w:hint="eastAsia"/>
          <w:highlight w:val="none"/>
        </w:rPr>
        <w:t>（2）根据实际情况需要向政府采购监督管理部门提出非公开招标方式申请，经政府采购监督管理部门批准公开招标失败采购项目可转为竞争性谈判或单一来源谈判方式采购。</w:t>
      </w:r>
    </w:p>
    <w:p>
      <w:pPr>
        <w:tabs>
          <w:tab w:val="clear" w:pos="426"/>
        </w:tabs>
        <w:rPr>
          <w:highlight w:val="none"/>
        </w:rPr>
      </w:pPr>
      <w:r>
        <w:rPr>
          <w:rFonts w:hint="eastAsia"/>
          <w:highlight w:val="none"/>
        </w:rPr>
        <w:t>43.4公开招标失败的采购项目重新组织公开招标，采购代理机构要重新按公开招标流程发布采购公告和招标文件、组成评标委员会等组织采购活动。</w:t>
      </w:r>
    </w:p>
    <w:p>
      <w:pPr>
        <w:tabs>
          <w:tab w:val="clear" w:pos="426"/>
        </w:tabs>
        <w:rPr>
          <w:highlight w:val="none"/>
        </w:rPr>
      </w:pPr>
      <w:r>
        <w:rPr>
          <w:rFonts w:hint="eastAsia"/>
          <w:highlight w:val="none"/>
        </w:rPr>
        <w:t>43.5公开招标失败的采购项目经政府采购监督管理部门批准转为竞争性谈判或单一来源谈判方式采购的，可不另行制作谈判文件，采购代理机构可就原招标文件中资格、技术及评标方法等变动情况向拟谈判对象发出谈判邀请。谈判邀请文件与原招标文件具同等效力，变动部分以谈判邀请文件为准。转为竞争性谈判或单一来源谈判方式采购的，供应商的原投标文件转为谈判应答文件。</w:t>
      </w:r>
    </w:p>
    <w:p>
      <w:pPr>
        <w:tabs>
          <w:tab w:val="clear" w:pos="426"/>
        </w:tabs>
        <w:rPr>
          <w:highlight w:val="none"/>
        </w:rPr>
      </w:pPr>
      <w:r>
        <w:rPr>
          <w:rFonts w:hint="eastAsia"/>
          <w:highlight w:val="none"/>
        </w:rPr>
        <w:t>44．公开招标失败项目转为竞争性谈判方式采购的</w:t>
      </w:r>
    </w:p>
    <w:p>
      <w:pPr>
        <w:tabs>
          <w:tab w:val="clear" w:pos="426"/>
        </w:tabs>
        <w:rPr>
          <w:highlight w:val="none"/>
        </w:rPr>
      </w:pPr>
      <w:r>
        <w:rPr>
          <w:rFonts w:hint="eastAsia"/>
          <w:highlight w:val="none"/>
        </w:rPr>
        <w:t>44.1谈判文件</w:t>
      </w:r>
    </w:p>
    <w:p>
      <w:pPr>
        <w:tabs>
          <w:tab w:val="clear" w:pos="426"/>
        </w:tabs>
        <w:rPr>
          <w:highlight w:val="none"/>
        </w:rPr>
      </w:pPr>
      <w:r>
        <w:rPr>
          <w:rFonts w:hint="eastAsia"/>
          <w:highlight w:val="none"/>
        </w:rPr>
        <w:t>44.1.1公开招标失败项目转为竞争性谈判方式采购的，原招标文件转为谈判文件。</w:t>
      </w:r>
    </w:p>
    <w:p>
      <w:pPr>
        <w:tabs>
          <w:tab w:val="clear" w:pos="426"/>
        </w:tabs>
        <w:rPr>
          <w:highlight w:val="none"/>
        </w:rPr>
      </w:pPr>
      <w:r>
        <w:rPr>
          <w:rFonts w:hint="eastAsia"/>
          <w:highlight w:val="none"/>
        </w:rPr>
        <w:t>44.2谈判小组</w:t>
      </w:r>
    </w:p>
    <w:p>
      <w:pPr>
        <w:tabs>
          <w:tab w:val="clear" w:pos="426"/>
        </w:tabs>
        <w:rPr>
          <w:highlight w:val="none"/>
        </w:rPr>
      </w:pPr>
      <w:r>
        <w:rPr>
          <w:rFonts w:hint="eastAsia"/>
          <w:highlight w:val="none"/>
        </w:rPr>
        <w:t>44.2.1公开招标失败项目转为竞争性谈判方式采购后，评标委员会转为谈判小组；专家可重新抽取也可继续采用评标委员会内专家。</w:t>
      </w:r>
    </w:p>
    <w:p>
      <w:pPr>
        <w:tabs>
          <w:tab w:val="clear" w:pos="426"/>
        </w:tabs>
        <w:rPr>
          <w:b/>
          <w:highlight w:val="none"/>
        </w:rPr>
      </w:pPr>
      <w:r>
        <w:rPr>
          <w:rFonts w:hint="eastAsia"/>
          <w:szCs w:val="21"/>
          <w:highlight w:val="none"/>
        </w:rPr>
        <w:t>44.2.2</w:t>
      </w:r>
      <w:r>
        <w:rPr>
          <w:rFonts w:hint="eastAsia"/>
          <w:highlight w:val="none"/>
        </w:rPr>
        <w:t>谈判前，谈判小组将对各供应商的谈判应答文件进行审查，</w:t>
      </w:r>
      <w:r>
        <w:rPr>
          <w:rFonts w:hint="eastAsia"/>
          <w:bCs/>
          <w:highlight w:val="none"/>
        </w:rPr>
        <w:t>当谈判应答文件出现下列情况之一的将视为无效，按无效标或废标处理，不得进入谈判，</w:t>
      </w:r>
      <w:r>
        <w:rPr>
          <w:rFonts w:hint="eastAsia"/>
          <w:b/>
          <w:highlight w:val="none"/>
        </w:rPr>
        <w:t>具体内容见原招标文件中“资格、符合性评审</w:t>
      </w:r>
      <w:r>
        <w:rPr>
          <w:rFonts w:hint="eastAsia"/>
          <w:b/>
          <w:bCs/>
          <w:highlight w:val="none"/>
        </w:rPr>
        <w:t>”</w:t>
      </w:r>
      <w:r>
        <w:rPr>
          <w:rFonts w:hint="eastAsia"/>
          <w:b/>
          <w:highlight w:val="none"/>
        </w:rPr>
        <w:t>部分以及谈判邀请中相应的变动部分。</w:t>
      </w:r>
    </w:p>
    <w:p>
      <w:pPr>
        <w:tabs>
          <w:tab w:val="clear" w:pos="426"/>
        </w:tabs>
        <w:rPr>
          <w:highlight w:val="none"/>
        </w:rPr>
      </w:pPr>
      <w:r>
        <w:rPr>
          <w:rFonts w:hint="eastAsia"/>
          <w:highlight w:val="none"/>
        </w:rPr>
        <w:t>44.3谈判程序</w:t>
      </w:r>
    </w:p>
    <w:p>
      <w:pPr>
        <w:tabs>
          <w:tab w:val="clear" w:pos="426"/>
        </w:tabs>
        <w:rPr>
          <w:highlight w:val="none"/>
        </w:rPr>
      </w:pPr>
      <w:r>
        <w:rPr>
          <w:rFonts w:hint="eastAsia"/>
          <w:highlight w:val="none"/>
        </w:rPr>
        <w:t>44.3.1参加谈判的供应商和谈判小组成员填写谈判登记表，并交验证明文件（法定代表人证明书、法人授权委托书、被授权的谈判代表身份证原件）。</w:t>
      </w:r>
    </w:p>
    <w:p>
      <w:pPr>
        <w:tabs>
          <w:tab w:val="clear" w:pos="426"/>
        </w:tabs>
        <w:rPr>
          <w:highlight w:val="none"/>
        </w:rPr>
      </w:pPr>
      <w:r>
        <w:rPr>
          <w:rFonts w:hint="eastAsia"/>
          <w:highlight w:val="none"/>
        </w:rPr>
        <w:t>44.3</w:t>
      </w:r>
      <w:r>
        <w:rPr>
          <w:highlight w:val="none"/>
        </w:rPr>
        <w:t>.2</w:t>
      </w:r>
      <w:r>
        <w:rPr>
          <w:rFonts w:hint="eastAsia"/>
          <w:highlight w:val="none"/>
        </w:rPr>
        <w:t>谈判小组主持人宣布谈判规则和谈判纪律。</w:t>
      </w:r>
    </w:p>
    <w:p>
      <w:pPr>
        <w:tabs>
          <w:tab w:val="clear" w:pos="426"/>
        </w:tabs>
        <w:rPr>
          <w:highlight w:val="none"/>
        </w:rPr>
      </w:pPr>
      <w:r>
        <w:rPr>
          <w:rFonts w:hint="eastAsia"/>
          <w:highlight w:val="none"/>
        </w:rPr>
        <w:t>44.3</w:t>
      </w:r>
      <w:r>
        <w:rPr>
          <w:highlight w:val="none"/>
        </w:rPr>
        <w:t>.3</w:t>
      </w:r>
      <w:r>
        <w:rPr>
          <w:rFonts w:hint="eastAsia"/>
          <w:highlight w:val="none"/>
        </w:rPr>
        <w:t>在谈判中，谈判小组将就以下谈判内容跟供应商进行谈判：</w:t>
      </w:r>
    </w:p>
    <w:p>
      <w:pPr>
        <w:tabs>
          <w:tab w:val="clear" w:pos="426"/>
        </w:tabs>
        <w:rPr>
          <w:highlight w:val="none"/>
        </w:rPr>
      </w:pPr>
      <w:r>
        <w:rPr>
          <w:rFonts w:hint="eastAsia"/>
          <w:highlight w:val="none"/>
        </w:rPr>
        <w:t>（</w:t>
      </w:r>
      <w:r>
        <w:rPr>
          <w:highlight w:val="none"/>
        </w:rPr>
        <w:t>1</w:t>
      </w:r>
      <w:r>
        <w:rPr>
          <w:rFonts w:hint="eastAsia"/>
          <w:highlight w:val="none"/>
        </w:rPr>
        <w:t>）项目方案；</w:t>
      </w:r>
    </w:p>
    <w:p>
      <w:pPr>
        <w:tabs>
          <w:tab w:val="clear" w:pos="426"/>
        </w:tabs>
        <w:rPr>
          <w:highlight w:val="none"/>
        </w:rPr>
      </w:pPr>
      <w:r>
        <w:rPr>
          <w:rFonts w:hint="eastAsia"/>
          <w:highlight w:val="none"/>
        </w:rPr>
        <w:t>（2）报价；</w:t>
      </w:r>
    </w:p>
    <w:p>
      <w:pPr>
        <w:tabs>
          <w:tab w:val="clear" w:pos="426"/>
        </w:tabs>
        <w:rPr>
          <w:highlight w:val="none"/>
        </w:rPr>
      </w:pPr>
      <w:r>
        <w:rPr>
          <w:rFonts w:hint="eastAsia"/>
          <w:highlight w:val="none"/>
        </w:rPr>
        <w:t>（3）其它相关事项。</w:t>
      </w:r>
    </w:p>
    <w:p>
      <w:pPr>
        <w:tabs>
          <w:tab w:val="clear" w:pos="426"/>
        </w:tabs>
        <w:rPr>
          <w:highlight w:val="none"/>
        </w:rPr>
      </w:pPr>
      <w:r>
        <w:rPr>
          <w:rFonts w:hint="eastAsia"/>
          <w:highlight w:val="none"/>
        </w:rPr>
        <w:t>原招标文件或谈判邀请文件有实质性变动的，谈判小组应当通过采购代理机构通知所有参加谈判的供应商。</w:t>
      </w:r>
    </w:p>
    <w:p>
      <w:pPr>
        <w:tabs>
          <w:tab w:val="clear" w:pos="426"/>
        </w:tabs>
        <w:rPr>
          <w:highlight w:val="none"/>
        </w:rPr>
      </w:pPr>
      <w:r>
        <w:rPr>
          <w:rFonts w:hint="eastAsia"/>
          <w:highlight w:val="none"/>
        </w:rPr>
        <w:t>44.3.4谈判小组可以用书面形式要求各供应商对其谈判应答文件含义不明确的内容作必要的澄清或者说明，重要问题供应商应以书面形式进行澄清、说明。</w:t>
      </w:r>
    </w:p>
    <w:p>
      <w:pPr>
        <w:tabs>
          <w:tab w:val="clear" w:pos="426"/>
        </w:tabs>
        <w:rPr>
          <w:highlight w:val="none"/>
        </w:rPr>
      </w:pPr>
      <w:r>
        <w:rPr>
          <w:rFonts w:hint="eastAsia"/>
          <w:highlight w:val="none"/>
        </w:rPr>
        <w:t>44.3</w:t>
      </w:r>
      <w:r>
        <w:rPr>
          <w:highlight w:val="none"/>
        </w:rPr>
        <w:t>.</w:t>
      </w:r>
      <w:r>
        <w:rPr>
          <w:rFonts w:hint="eastAsia"/>
          <w:highlight w:val="none"/>
        </w:rPr>
        <w:t>5 允许供应商在谈判结束之前根据谈判小组提出的内容进行澄清、修改或完善，或对项目方案进行相应的调整。</w:t>
      </w:r>
    </w:p>
    <w:p>
      <w:pPr>
        <w:tabs>
          <w:tab w:val="clear" w:pos="426"/>
        </w:tabs>
        <w:rPr>
          <w:highlight w:val="none"/>
        </w:rPr>
      </w:pPr>
      <w:r>
        <w:rPr>
          <w:rFonts w:hint="eastAsia"/>
          <w:highlight w:val="none"/>
        </w:rPr>
        <w:t>44.3</w:t>
      </w:r>
      <w:r>
        <w:rPr>
          <w:highlight w:val="none"/>
        </w:rPr>
        <w:t>.</w:t>
      </w:r>
      <w:r>
        <w:rPr>
          <w:rFonts w:hint="eastAsia"/>
          <w:highlight w:val="none"/>
        </w:rPr>
        <w:t>6供应商对谈判应答文件进行修改，都应形成文字材料，并经供应商谈判授权人签字认可。</w:t>
      </w:r>
    </w:p>
    <w:p>
      <w:pPr>
        <w:tabs>
          <w:tab w:val="clear" w:pos="426"/>
        </w:tabs>
        <w:rPr>
          <w:highlight w:val="none"/>
        </w:rPr>
      </w:pPr>
      <w:r>
        <w:rPr>
          <w:rFonts w:hint="eastAsia"/>
          <w:highlight w:val="none"/>
        </w:rPr>
        <w:t>44.3.7谈判小组所有成员集中与单一供应商分别进行谈判。在谈判中，谈判的任何一方不得透露与谈判有关的其它供应商的技术资料、价格或者其他信息；参加谈判的供应商有两次更改机会；供应商应在规定的时间内提出最后更改及书面承诺。</w:t>
      </w:r>
    </w:p>
    <w:p>
      <w:pPr>
        <w:tabs>
          <w:tab w:val="clear" w:pos="426"/>
        </w:tabs>
        <w:rPr>
          <w:szCs w:val="21"/>
          <w:highlight w:val="none"/>
        </w:rPr>
      </w:pPr>
      <w:r>
        <w:rPr>
          <w:rFonts w:hint="eastAsia"/>
          <w:szCs w:val="21"/>
          <w:highlight w:val="none"/>
        </w:rPr>
        <w:t>44.3.8有下列情形之一的，该供应商的谈判结果</w:t>
      </w:r>
      <w:r>
        <w:rPr>
          <w:rFonts w:hint="eastAsia"/>
          <w:bCs/>
          <w:highlight w:val="none"/>
        </w:rPr>
        <w:t>按无效标或废标处理</w:t>
      </w:r>
      <w:r>
        <w:rPr>
          <w:rFonts w:hint="eastAsia"/>
          <w:szCs w:val="21"/>
          <w:highlight w:val="none"/>
        </w:rPr>
        <w:t>，</w:t>
      </w:r>
      <w:r>
        <w:rPr>
          <w:rFonts w:hint="eastAsia"/>
          <w:highlight w:val="none"/>
        </w:rPr>
        <w:t>具体内容见原招标文件中不符合“</w:t>
      </w:r>
      <w:r>
        <w:rPr>
          <w:rFonts w:hint="eastAsia"/>
          <w:b/>
          <w:highlight w:val="none"/>
        </w:rPr>
        <w:t>资格、符合性评审条款</w:t>
      </w:r>
      <w:r>
        <w:rPr>
          <w:rFonts w:hint="eastAsia"/>
          <w:highlight w:val="none"/>
        </w:rPr>
        <w:t>”部分以及谈判邀请中相应的变动部分。</w:t>
      </w:r>
    </w:p>
    <w:p>
      <w:pPr>
        <w:tabs>
          <w:tab w:val="clear" w:pos="426"/>
        </w:tabs>
        <w:rPr>
          <w:highlight w:val="none"/>
        </w:rPr>
      </w:pPr>
      <w:r>
        <w:rPr>
          <w:rFonts w:hint="eastAsia"/>
          <w:highlight w:val="none"/>
        </w:rPr>
        <w:t>44.3</w:t>
      </w:r>
      <w:r>
        <w:rPr>
          <w:highlight w:val="none"/>
        </w:rPr>
        <w:t>.</w:t>
      </w:r>
      <w:r>
        <w:rPr>
          <w:rFonts w:hint="eastAsia"/>
          <w:highlight w:val="none"/>
        </w:rPr>
        <w:t>9谈判结束后，谈判小组根据供应商提供的谈判应答文件、谈判过程中产生的相关资料，对供应商谈判应答文件进行评估与比较，提出书面评审意见。</w:t>
      </w:r>
    </w:p>
    <w:p>
      <w:pPr>
        <w:tabs>
          <w:tab w:val="clear" w:pos="426"/>
        </w:tabs>
        <w:rPr>
          <w:highlight w:val="none"/>
        </w:rPr>
      </w:pPr>
      <w:r>
        <w:rPr>
          <w:rFonts w:hint="eastAsia"/>
          <w:highlight w:val="none"/>
        </w:rPr>
        <w:t>44.3.10谈判小组将对谈判过程进行记录，以存档备查。</w:t>
      </w:r>
    </w:p>
    <w:p>
      <w:pPr>
        <w:tabs>
          <w:tab w:val="clear" w:pos="426"/>
        </w:tabs>
        <w:rPr>
          <w:highlight w:val="none"/>
        </w:rPr>
      </w:pPr>
      <w:r>
        <w:rPr>
          <w:rFonts w:hint="eastAsia"/>
          <w:highlight w:val="none"/>
        </w:rPr>
        <w:t>44.4评标方法和定标原则</w:t>
      </w:r>
    </w:p>
    <w:p>
      <w:pPr>
        <w:tabs>
          <w:tab w:val="clear" w:pos="426"/>
        </w:tabs>
        <w:rPr>
          <w:highlight w:val="none"/>
        </w:rPr>
      </w:pPr>
      <w:r>
        <w:rPr>
          <w:rFonts w:hint="eastAsia"/>
          <w:highlight w:val="none"/>
        </w:rPr>
        <w:t>44.4.1根据《深圳市政府采购评标委员会和评标方法暂行规定》（深财购[2005]5号），竞争性谈判采购项目的评标方法要比照</w:t>
      </w:r>
      <w:r>
        <w:rPr>
          <w:rFonts w:hint="eastAsia"/>
          <w:b/>
          <w:highlight w:val="none"/>
        </w:rPr>
        <w:t>最低评标价法规定执行</w:t>
      </w:r>
      <w:r>
        <w:rPr>
          <w:rFonts w:hint="eastAsia"/>
          <w:highlight w:val="none"/>
        </w:rPr>
        <w:t>。如确因实际情况需要采用其他评标方法的，应报经同级政府采购监督管理部门批准。</w:t>
      </w:r>
      <w:r>
        <w:rPr>
          <w:rFonts w:hint="eastAsia"/>
          <w:b/>
          <w:highlight w:val="none"/>
        </w:rPr>
        <w:t>原招标文件若采用</w:t>
      </w:r>
      <w:r>
        <w:rPr>
          <w:rFonts w:hint="eastAsia"/>
          <w:b/>
          <w:bCs/>
          <w:highlight w:val="none"/>
        </w:rPr>
        <w:t>最低评标价法以外的评标方法，转为竞争性谈判后，评标方法应采用</w:t>
      </w:r>
      <w:r>
        <w:rPr>
          <w:rFonts w:hint="eastAsia"/>
          <w:b/>
          <w:highlight w:val="none"/>
        </w:rPr>
        <w:t>最低评标价法。</w:t>
      </w:r>
    </w:p>
    <w:p>
      <w:pPr>
        <w:tabs>
          <w:tab w:val="clear" w:pos="426"/>
        </w:tabs>
        <w:rPr>
          <w:highlight w:val="none"/>
        </w:rPr>
      </w:pPr>
      <w:r>
        <w:rPr>
          <w:rFonts w:hint="eastAsia"/>
          <w:szCs w:val="21"/>
          <w:highlight w:val="none"/>
        </w:rPr>
        <w:t>44.4.2对公开招标失败转为竞争性谈判方式采购的项目，谈判小组</w:t>
      </w:r>
      <w:r>
        <w:rPr>
          <w:rFonts w:hint="eastAsia"/>
          <w:highlight w:val="none"/>
        </w:rPr>
        <w:t>对谈判应答文件进行评审和比较，综合各家供应商最终的方案、服务和投资等谈判结果并按本通用条款第</w:t>
      </w:r>
      <w:r>
        <w:rPr>
          <w:rFonts w:hint="eastAsia"/>
          <w:bCs/>
          <w:szCs w:val="21"/>
          <w:highlight w:val="none"/>
        </w:rPr>
        <w:t>37.1.1款</w:t>
      </w:r>
      <w:r>
        <w:rPr>
          <w:rFonts w:hint="eastAsia"/>
          <w:highlight w:val="none"/>
        </w:rPr>
        <w:t>的</w:t>
      </w:r>
      <w:r>
        <w:rPr>
          <w:rFonts w:hint="eastAsia"/>
          <w:b/>
          <w:bCs/>
          <w:highlight w:val="none"/>
        </w:rPr>
        <w:t>最低评标价法</w:t>
      </w:r>
      <w:r>
        <w:rPr>
          <w:rFonts w:hint="eastAsia"/>
          <w:highlight w:val="none"/>
        </w:rPr>
        <w:t>进行评审。</w:t>
      </w:r>
    </w:p>
    <w:p>
      <w:pPr>
        <w:tabs>
          <w:tab w:val="clear" w:pos="426"/>
        </w:tabs>
        <w:rPr>
          <w:highlight w:val="none"/>
        </w:rPr>
      </w:pPr>
      <w:r>
        <w:rPr>
          <w:rFonts w:hint="eastAsia"/>
          <w:highlight w:val="none"/>
        </w:rPr>
        <w:t>44.4.3若要采用其他评标方法的，必须报经政府采购监督管理部门批准，谈判小组按批准的评标方法进行评审。谈判邀请文件中应注明批准的评标方法。</w:t>
      </w:r>
    </w:p>
    <w:p>
      <w:pPr>
        <w:tabs>
          <w:tab w:val="clear" w:pos="426"/>
        </w:tabs>
        <w:rPr>
          <w:highlight w:val="none"/>
        </w:rPr>
      </w:pPr>
      <w:r>
        <w:rPr>
          <w:rFonts w:hint="eastAsia"/>
          <w:highlight w:val="none"/>
        </w:rPr>
        <w:t>44.4.4谈判小组向采购代理机构提交书面评标报告，并推荐中标候选人或确定中标人。</w:t>
      </w:r>
    </w:p>
    <w:p>
      <w:pPr>
        <w:tabs>
          <w:tab w:val="clear" w:pos="426"/>
        </w:tabs>
        <w:rPr>
          <w:highlight w:val="none"/>
        </w:rPr>
      </w:pPr>
      <w:r>
        <w:rPr>
          <w:rFonts w:hint="eastAsia"/>
          <w:highlight w:val="none"/>
        </w:rPr>
        <w:t>45．公开招标失败项目转为单一来源谈判方式采购</w:t>
      </w:r>
    </w:p>
    <w:p>
      <w:pPr>
        <w:tabs>
          <w:tab w:val="clear" w:pos="426"/>
        </w:tabs>
        <w:rPr>
          <w:highlight w:val="none"/>
        </w:rPr>
      </w:pPr>
      <w:r>
        <w:rPr>
          <w:rFonts w:hint="eastAsia"/>
          <w:highlight w:val="none"/>
        </w:rPr>
        <w:t>45.1谈判文件</w:t>
      </w:r>
    </w:p>
    <w:p>
      <w:pPr>
        <w:tabs>
          <w:tab w:val="clear" w:pos="426"/>
        </w:tabs>
        <w:rPr>
          <w:highlight w:val="none"/>
        </w:rPr>
      </w:pPr>
      <w:r>
        <w:rPr>
          <w:rFonts w:hint="eastAsia"/>
          <w:highlight w:val="none"/>
        </w:rPr>
        <w:t>45.1.1公开招标失败项目转为单一来源谈判方式采购的，原招标文件转为谈判文件。</w:t>
      </w:r>
    </w:p>
    <w:p>
      <w:pPr>
        <w:tabs>
          <w:tab w:val="clear" w:pos="426"/>
        </w:tabs>
        <w:rPr>
          <w:highlight w:val="none"/>
        </w:rPr>
      </w:pPr>
      <w:r>
        <w:rPr>
          <w:rFonts w:hint="eastAsia"/>
          <w:highlight w:val="none"/>
        </w:rPr>
        <w:t>45.2谈判小组</w:t>
      </w:r>
    </w:p>
    <w:p>
      <w:pPr>
        <w:tabs>
          <w:tab w:val="clear" w:pos="426"/>
        </w:tabs>
        <w:rPr>
          <w:highlight w:val="none"/>
        </w:rPr>
      </w:pPr>
      <w:r>
        <w:rPr>
          <w:rFonts w:hint="eastAsia"/>
          <w:highlight w:val="none"/>
        </w:rPr>
        <w:t>45.2.1公开招标失败项目转为单一来源谈判方式采购后，评标委员会转为谈判小组，专家可重新抽取也可继续采用评标委员会内专家。</w:t>
      </w:r>
    </w:p>
    <w:p>
      <w:pPr>
        <w:tabs>
          <w:tab w:val="clear" w:pos="426"/>
        </w:tabs>
        <w:rPr>
          <w:highlight w:val="none"/>
        </w:rPr>
      </w:pPr>
      <w:r>
        <w:rPr>
          <w:rFonts w:hint="eastAsia"/>
          <w:szCs w:val="21"/>
          <w:highlight w:val="none"/>
        </w:rPr>
        <w:t>45.2.2</w:t>
      </w:r>
      <w:r>
        <w:rPr>
          <w:rFonts w:hint="eastAsia"/>
          <w:highlight w:val="none"/>
        </w:rPr>
        <w:t>谈判前，谈判小组将对单一来源供应商的谈判应答文件进行审查，</w:t>
      </w:r>
      <w:r>
        <w:rPr>
          <w:rFonts w:hint="eastAsia"/>
          <w:bCs/>
          <w:highlight w:val="none"/>
        </w:rPr>
        <w:t>当谈判应答文件出现下列情况之一的将视为无效，按无效标或废标处理，不得进入谈判，</w:t>
      </w:r>
      <w:r>
        <w:rPr>
          <w:rFonts w:hint="eastAsia"/>
          <w:b/>
          <w:highlight w:val="none"/>
        </w:rPr>
        <w:t>具体内容见原招标文件中“资格、符合性评审条款</w:t>
      </w:r>
      <w:r>
        <w:rPr>
          <w:rFonts w:hint="eastAsia"/>
          <w:b/>
          <w:bCs/>
          <w:highlight w:val="none"/>
        </w:rPr>
        <w:t>”</w:t>
      </w:r>
      <w:r>
        <w:rPr>
          <w:rFonts w:hint="eastAsia"/>
          <w:b/>
          <w:highlight w:val="none"/>
        </w:rPr>
        <w:t>部分以及谈判邀请中相应的变动部分。</w:t>
      </w:r>
    </w:p>
    <w:p>
      <w:pPr>
        <w:tabs>
          <w:tab w:val="clear" w:pos="426"/>
        </w:tabs>
        <w:rPr>
          <w:highlight w:val="none"/>
        </w:rPr>
      </w:pPr>
      <w:r>
        <w:rPr>
          <w:rFonts w:hint="eastAsia"/>
          <w:highlight w:val="none"/>
        </w:rPr>
        <w:t>45.3谈判程序</w:t>
      </w:r>
    </w:p>
    <w:p>
      <w:pPr>
        <w:tabs>
          <w:tab w:val="clear" w:pos="426"/>
        </w:tabs>
        <w:rPr>
          <w:highlight w:val="none"/>
        </w:rPr>
      </w:pPr>
      <w:r>
        <w:rPr>
          <w:rFonts w:hint="eastAsia"/>
          <w:highlight w:val="none"/>
        </w:rPr>
        <w:t>45.3.1参加谈判的供应商和谈判小组成员填写谈判登记表，并交验证明文件（法定代表人证明书、法人授权委托书、被授权的谈判代表身份证原件）。</w:t>
      </w:r>
    </w:p>
    <w:p>
      <w:pPr>
        <w:tabs>
          <w:tab w:val="clear" w:pos="426"/>
        </w:tabs>
        <w:rPr>
          <w:highlight w:val="none"/>
        </w:rPr>
      </w:pPr>
      <w:r>
        <w:rPr>
          <w:rFonts w:hint="eastAsia"/>
          <w:highlight w:val="none"/>
        </w:rPr>
        <w:t>45.3</w:t>
      </w:r>
      <w:r>
        <w:rPr>
          <w:highlight w:val="none"/>
        </w:rPr>
        <w:t>.2</w:t>
      </w:r>
      <w:r>
        <w:rPr>
          <w:rFonts w:hint="eastAsia"/>
          <w:highlight w:val="none"/>
        </w:rPr>
        <w:t>谈判小组主持人宣布谈判规则和谈判纪律。</w:t>
      </w:r>
    </w:p>
    <w:p>
      <w:pPr>
        <w:tabs>
          <w:tab w:val="clear" w:pos="426"/>
        </w:tabs>
        <w:rPr>
          <w:highlight w:val="none"/>
        </w:rPr>
      </w:pPr>
      <w:r>
        <w:rPr>
          <w:rFonts w:hint="eastAsia"/>
          <w:highlight w:val="none"/>
        </w:rPr>
        <w:t>45.3</w:t>
      </w:r>
      <w:r>
        <w:rPr>
          <w:highlight w:val="none"/>
        </w:rPr>
        <w:t>.3</w:t>
      </w:r>
      <w:r>
        <w:rPr>
          <w:rFonts w:hint="eastAsia"/>
          <w:highlight w:val="none"/>
        </w:rPr>
        <w:t>在谈判中，谈判小组将就以下谈判内容跟供应商进行谈判：</w:t>
      </w:r>
    </w:p>
    <w:p>
      <w:pPr>
        <w:tabs>
          <w:tab w:val="clear" w:pos="426"/>
        </w:tabs>
        <w:rPr>
          <w:highlight w:val="none"/>
        </w:rPr>
      </w:pPr>
      <w:r>
        <w:rPr>
          <w:rFonts w:hint="eastAsia"/>
          <w:highlight w:val="none"/>
        </w:rPr>
        <w:t>（</w:t>
      </w:r>
      <w:r>
        <w:rPr>
          <w:highlight w:val="none"/>
        </w:rPr>
        <w:t>1</w:t>
      </w:r>
      <w:r>
        <w:rPr>
          <w:rFonts w:hint="eastAsia"/>
          <w:highlight w:val="none"/>
        </w:rPr>
        <w:t>）项目方案；</w:t>
      </w:r>
    </w:p>
    <w:p>
      <w:pPr>
        <w:tabs>
          <w:tab w:val="clear" w:pos="426"/>
        </w:tabs>
        <w:rPr>
          <w:highlight w:val="none"/>
        </w:rPr>
      </w:pPr>
      <w:r>
        <w:rPr>
          <w:rFonts w:hint="eastAsia"/>
          <w:highlight w:val="none"/>
        </w:rPr>
        <w:t>（2）报价；</w:t>
      </w:r>
    </w:p>
    <w:p>
      <w:pPr>
        <w:tabs>
          <w:tab w:val="clear" w:pos="426"/>
        </w:tabs>
        <w:rPr>
          <w:highlight w:val="none"/>
        </w:rPr>
      </w:pPr>
      <w:r>
        <w:rPr>
          <w:rFonts w:hint="eastAsia"/>
          <w:highlight w:val="none"/>
        </w:rPr>
        <w:t>（3）其它相关事项。</w:t>
      </w:r>
    </w:p>
    <w:p>
      <w:pPr>
        <w:tabs>
          <w:tab w:val="clear" w:pos="426"/>
        </w:tabs>
        <w:rPr>
          <w:highlight w:val="none"/>
        </w:rPr>
      </w:pPr>
      <w:r>
        <w:rPr>
          <w:rFonts w:hint="eastAsia"/>
          <w:highlight w:val="none"/>
        </w:rPr>
        <w:t>原招标文件或谈判邀请文件有实质性变动的，谈判小组应当通过采购代理机构通知供应商。</w:t>
      </w:r>
    </w:p>
    <w:p>
      <w:pPr>
        <w:tabs>
          <w:tab w:val="clear" w:pos="426"/>
        </w:tabs>
        <w:rPr>
          <w:highlight w:val="none"/>
        </w:rPr>
      </w:pPr>
      <w:r>
        <w:rPr>
          <w:rFonts w:hint="eastAsia"/>
          <w:highlight w:val="none"/>
        </w:rPr>
        <w:t>45.3.4谈判小组可以用书面形式要求供应商对其谈判应答文件含义不明确的内容作必要的澄清或者说明，重要问题供应商应以书面形式进行澄清、说明。</w:t>
      </w:r>
    </w:p>
    <w:p>
      <w:pPr>
        <w:tabs>
          <w:tab w:val="clear" w:pos="426"/>
        </w:tabs>
        <w:rPr>
          <w:highlight w:val="none"/>
        </w:rPr>
      </w:pPr>
      <w:r>
        <w:rPr>
          <w:rFonts w:hint="eastAsia"/>
          <w:highlight w:val="none"/>
        </w:rPr>
        <w:t>45.3</w:t>
      </w:r>
      <w:r>
        <w:rPr>
          <w:highlight w:val="none"/>
        </w:rPr>
        <w:t>.</w:t>
      </w:r>
      <w:r>
        <w:rPr>
          <w:rFonts w:hint="eastAsia"/>
          <w:highlight w:val="none"/>
        </w:rPr>
        <w:t>5 允许供应商在谈判结束之前根据谈判小组提出的内容进行澄清、修改或完善，或对项目方案进行相应的调整。</w:t>
      </w:r>
    </w:p>
    <w:p>
      <w:pPr>
        <w:tabs>
          <w:tab w:val="clear" w:pos="426"/>
        </w:tabs>
        <w:rPr>
          <w:highlight w:val="none"/>
        </w:rPr>
      </w:pPr>
      <w:r>
        <w:rPr>
          <w:rFonts w:hint="eastAsia"/>
          <w:highlight w:val="none"/>
        </w:rPr>
        <w:t>45.3</w:t>
      </w:r>
      <w:r>
        <w:rPr>
          <w:highlight w:val="none"/>
        </w:rPr>
        <w:t>.</w:t>
      </w:r>
      <w:r>
        <w:rPr>
          <w:rFonts w:hint="eastAsia"/>
          <w:highlight w:val="none"/>
        </w:rPr>
        <w:t>6供应商对谈判应答文件进行修改，都应形成文字材料，并经供应商谈判授权人签字认可。</w:t>
      </w:r>
    </w:p>
    <w:p>
      <w:pPr>
        <w:tabs>
          <w:tab w:val="clear" w:pos="426"/>
        </w:tabs>
        <w:rPr>
          <w:highlight w:val="none"/>
        </w:rPr>
      </w:pPr>
      <w:r>
        <w:rPr>
          <w:rFonts w:hint="eastAsia"/>
          <w:highlight w:val="none"/>
        </w:rPr>
        <w:t>45.3.7谈判小组与单一来源供应商进行谈判。供应商有两次更改机会；供应商应在规定的时间内提出最后更改及书面承诺。</w:t>
      </w:r>
    </w:p>
    <w:p>
      <w:pPr>
        <w:tabs>
          <w:tab w:val="clear" w:pos="426"/>
        </w:tabs>
        <w:rPr>
          <w:szCs w:val="21"/>
          <w:highlight w:val="none"/>
        </w:rPr>
      </w:pPr>
      <w:r>
        <w:rPr>
          <w:rFonts w:hint="eastAsia"/>
          <w:szCs w:val="21"/>
          <w:highlight w:val="none"/>
        </w:rPr>
        <w:t>45.3.8有下列情形之一的，供应商的谈判结果作废标处理，</w:t>
      </w:r>
      <w:r>
        <w:rPr>
          <w:rFonts w:hint="eastAsia"/>
          <w:highlight w:val="none"/>
        </w:rPr>
        <w:t>具体内容见原招标文件中不符合“</w:t>
      </w:r>
      <w:r>
        <w:rPr>
          <w:rFonts w:hint="eastAsia"/>
          <w:b/>
          <w:highlight w:val="none"/>
        </w:rPr>
        <w:t>资格、符合性评审条款</w:t>
      </w:r>
      <w:r>
        <w:rPr>
          <w:rFonts w:hint="eastAsia"/>
          <w:highlight w:val="none"/>
        </w:rPr>
        <w:t>”部分以及谈判邀请中相应的变动部分。</w:t>
      </w:r>
    </w:p>
    <w:p>
      <w:pPr>
        <w:tabs>
          <w:tab w:val="clear" w:pos="426"/>
        </w:tabs>
        <w:rPr>
          <w:highlight w:val="none"/>
        </w:rPr>
      </w:pPr>
      <w:r>
        <w:rPr>
          <w:rFonts w:hint="eastAsia"/>
          <w:highlight w:val="none"/>
        </w:rPr>
        <w:t>45.3</w:t>
      </w:r>
      <w:r>
        <w:rPr>
          <w:highlight w:val="none"/>
        </w:rPr>
        <w:t>.</w:t>
      </w:r>
      <w:r>
        <w:rPr>
          <w:rFonts w:hint="eastAsia"/>
          <w:highlight w:val="none"/>
        </w:rPr>
        <w:t>9谈判结束后，谈判小组根据供应商提供的谈判应答文件、谈判过程中产生的相关资料，对供应商谈判应答文件进行评估与比较，提出书面评审意见。</w:t>
      </w:r>
    </w:p>
    <w:p>
      <w:pPr>
        <w:tabs>
          <w:tab w:val="clear" w:pos="426"/>
        </w:tabs>
        <w:rPr>
          <w:highlight w:val="none"/>
        </w:rPr>
      </w:pPr>
      <w:r>
        <w:rPr>
          <w:rFonts w:hint="eastAsia"/>
          <w:highlight w:val="none"/>
        </w:rPr>
        <w:t>45.3.10谈判小组将对谈判过程进行记录，以存档备查。</w:t>
      </w:r>
    </w:p>
    <w:p>
      <w:pPr>
        <w:tabs>
          <w:tab w:val="clear" w:pos="426"/>
        </w:tabs>
        <w:rPr>
          <w:highlight w:val="none"/>
        </w:rPr>
      </w:pPr>
      <w:r>
        <w:rPr>
          <w:rFonts w:hint="eastAsia"/>
          <w:highlight w:val="none"/>
        </w:rPr>
        <w:t>45.4评标方法和定标原则</w:t>
      </w:r>
    </w:p>
    <w:p>
      <w:pPr>
        <w:tabs>
          <w:tab w:val="clear" w:pos="426"/>
        </w:tabs>
        <w:rPr>
          <w:highlight w:val="none"/>
        </w:rPr>
      </w:pPr>
      <w:r>
        <w:rPr>
          <w:rFonts w:hint="eastAsia"/>
          <w:szCs w:val="21"/>
          <w:highlight w:val="none"/>
        </w:rPr>
        <w:t>45.4.1</w:t>
      </w:r>
      <w:r>
        <w:rPr>
          <w:rFonts w:hint="eastAsia"/>
          <w:b/>
          <w:szCs w:val="21"/>
          <w:highlight w:val="none"/>
        </w:rPr>
        <w:t>单一来源谈判采用最低评标价法。</w:t>
      </w:r>
      <w:r>
        <w:rPr>
          <w:rFonts w:hint="eastAsia"/>
          <w:highlight w:val="none"/>
        </w:rPr>
        <w:t>原招标文件若采用</w:t>
      </w:r>
      <w:r>
        <w:rPr>
          <w:rFonts w:hint="eastAsia"/>
          <w:bCs/>
          <w:highlight w:val="none"/>
        </w:rPr>
        <w:t>最低评标价法以外的评标方法，转为单一来源谈判后，评标方法改为</w:t>
      </w:r>
      <w:r>
        <w:rPr>
          <w:rFonts w:hint="eastAsia"/>
          <w:szCs w:val="21"/>
          <w:highlight w:val="none"/>
        </w:rPr>
        <w:t>最低评标价法。谈判小组</w:t>
      </w:r>
      <w:r>
        <w:rPr>
          <w:rFonts w:hint="eastAsia"/>
          <w:highlight w:val="none"/>
        </w:rPr>
        <w:t>对谈判应答文件进行评审和比较，对供应商最终的方案、服务和投资等谈判结果按本通用条款第37.1.1的</w:t>
      </w:r>
      <w:r>
        <w:rPr>
          <w:rFonts w:hint="eastAsia"/>
          <w:b/>
          <w:bCs/>
          <w:highlight w:val="none"/>
        </w:rPr>
        <w:t>最低评标价法</w:t>
      </w:r>
      <w:r>
        <w:rPr>
          <w:rFonts w:hint="eastAsia"/>
          <w:highlight w:val="none"/>
        </w:rPr>
        <w:t>进行评审。</w:t>
      </w:r>
    </w:p>
    <w:p>
      <w:pPr>
        <w:tabs>
          <w:tab w:val="clear" w:pos="426"/>
        </w:tabs>
        <w:rPr>
          <w:szCs w:val="21"/>
          <w:highlight w:val="none"/>
        </w:rPr>
      </w:pPr>
      <w:r>
        <w:rPr>
          <w:rFonts w:hint="eastAsia"/>
          <w:highlight w:val="none"/>
        </w:rPr>
        <w:t>45.4.2谈判小组向采购代理机构提交书面评标报告，并推荐中标候选人或确定中标人。</w:t>
      </w:r>
    </w:p>
    <w:bookmarkEnd w:id="369"/>
    <w:bookmarkEnd w:id="370"/>
    <w:bookmarkEnd w:id="371"/>
    <w:bookmarkEnd w:id="372"/>
    <w:p>
      <w:pPr>
        <w:pStyle w:val="5"/>
        <w:tabs>
          <w:tab w:val="clear" w:pos="426"/>
        </w:tabs>
        <w:rPr>
          <w:sz w:val="28"/>
          <w:szCs w:val="28"/>
          <w:highlight w:val="none"/>
        </w:rPr>
      </w:pPr>
      <w:bookmarkStart w:id="373" w:name="_Toc398220537"/>
      <w:bookmarkStart w:id="374" w:name="_Toc12610138"/>
      <w:bookmarkStart w:id="375" w:name="_Toc432592829"/>
      <w:r>
        <w:rPr>
          <w:rFonts w:hint="eastAsia"/>
          <w:highlight w:val="none"/>
        </w:rPr>
        <w:t>第九章 合同的授予与备案</w:t>
      </w:r>
      <w:bookmarkEnd w:id="373"/>
      <w:bookmarkEnd w:id="374"/>
      <w:bookmarkEnd w:id="375"/>
    </w:p>
    <w:p>
      <w:pPr>
        <w:tabs>
          <w:tab w:val="clear" w:pos="426"/>
        </w:tabs>
        <w:rPr>
          <w:highlight w:val="none"/>
        </w:rPr>
      </w:pPr>
      <w:bookmarkStart w:id="376" w:name="_33._合同授予标准"/>
      <w:bookmarkEnd w:id="376"/>
      <w:bookmarkStart w:id="377" w:name="_Toc201401407"/>
      <w:bookmarkStart w:id="378" w:name="_Toc201401599"/>
      <w:bookmarkStart w:id="379" w:name="_Toc201997860"/>
      <w:r>
        <w:rPr>
          <w:rFonts w:hint="eastAsia"/>
          <w:highlight w:val="none"/>
        </w:rPr>
        <w:t xml:space="preserve">46．  </w:t>
      </w:r>
      <w:bookmarkEnd w:id="377"/>
      <w:bookmarkEnd w:id="378"/>
      <w:r>
        <w:rPr>
          <w:rFonts w:hint="eastAsia"/>
          <w:highlight w:val="none"/>
        </w:rPr>
        <w:t>履约担保</w:t>
      </w:r>
      <w:bookmarkEnd w:id="379"/>
    </w:p>
    <w:p>
      <w:pPr>
        <w:tabs>
          <w:tab w:val="clear" w:pos="426"/>
        </w:tabs>
        <w:rPr>
          <w:highlight w:val="none"/>
        </w:rPr>
      </w:pPr>
      <w:r>
        <w:rPr>
          <w:rFonts w:hint="eastAsia"/>
          <w:highlight w:val="none"/>
        </w:rPr>
        <w:t>46.1  本项目履约担保的相关要求：详见“投标须知前附表”。</w:t>
      </w:r>
    </w:p>
    <w:p>
      <w:pPr>
        <w:tabs>
          <w:tab w:val="clear" w:pos="426"/>
        </w:tabs>
        <w:rPr>
          <w:highlight w:val="none"/>
        </w:rPr>
      </w:pPr>
      <w:r>
        <w:rPr>
          <w:rFonts w:hint="eastAsia"/>
          <w:highlight w:val="none"/>
        </w:rPr>
        <w:t>46.2  在签订合同前，中标人应按规定向采购人提交履约担保，采用履约保函形式的可参照使用本招标文件提供的格式。</w:t>
      </w:r>
    </w:p>
    <w:p>
      <w:pPr>
        <w:tabs>
          <w:tab w:val="clear" w:pos="426"/>
        </w:tabs>
        <w:rPr>
          <w:highlight w:val="none"/>
        </w:rPr>
      </w:pPr>
      <w:r>
        <w:rPr>
          <w:rFonts w:hint="eastAsia"/>
          <w:highlight w:val="none"/>
        </w:rPr>
        <w:t>46.3  联合体中标的，其履约担保由联合体牵头人提交，并应符合本节第42.1条、第45.2条的规定。</w:t>
      </w:r>
    </w:p>
    <w:p>
      <w:pPr>
        <w:tabs>
          <w:tab w:val="clear" w:pos="426"/>
        </w:tabs>
        <w:rPr>
          <w:highlight w:val="none"/>
        </w:rPr>
      </w:pPr>
      <w:r>
        <w:rPr>
          <w:rFonts w:hint="eastAsia"/>
          <w:highlight w:val="none"/>
        </w:rPr>
        <w:t>46.4  如果中标人拒不提交本节第42.1条、第42.2条要求的履约担保的，采购人可取消其中标资格，并没收其投标担保。</w:t>
      </w:r>
    </w:p>
    <w:p>
      <w:pPr>
        <w:tabs>
          <w:tab w:val="clear" w:pos="426"/>
        </w:tabs>
        <w:rPr>
          <w:highlight w:val="none"/>
        </w:rPr>
      </w:pPr>
      <w:bookmarkStart w:id="380" w:name="_Toc201401600"/>
      <w:bookmarkStart w:id="381" w:name="_Toc201401408"/>
      <w:bookmarkStart w:id="382" w:name="_Toc201997862"/>
      <w:r>
        <w:rPr>
          <w:rFonts w:hint="eastAsia"/>
          <w:highlight w:val="none"/>
        </w:rPr>
        <w:t>47．  签订合同</w:t>
      </w:r>
      <w:bookmarkEnd w:id="380"/>
      <w:bookmarkEnd w:id="381"/>
      <w:bookmarkEnd w:id="382"/>
    </w:p>
    <w:p>
      <w:pPr>
        <w:tabs>
          <w:tab w:val="clear" w:pos="426"/>
        </w:tabs>
        <w:rPr>
          <w:highlight w:val="none"/>
        </w:rPr>
      </w:pPr>
      <w:r>
        <w:rPr>
          <w:rFonts w:hint="eastAsia"/>
          <w:highlight w:val="none"/>
        </w:rPr>
        <w:t>47.1  采购人和中标人应当按“投标须知前附表”的规定，依据招标文件和中标人的投标文件订立书面合同。</w:t>
      </w:r>
    </w:p>
    <w:p>
      <w:pPr>
        <w:tabs>
          <w:tab w:val="clear" w:pos="426"/>
        </w:tabs>
        <w:rPr>
          <w:highlight w:val="none"/>
        </w:rPr>
      </w:pPr>
      <w:r>
        <w:rPr>
          <w:rFonts w:hint="eastAsia"/>
          <w:highlight w:val="none"/>
        </w:rPr>
        <w:t>47.2  中标人无正当理由拒签合同的，或者在签订合同时向采购人提出附加条件或者更改合同实质性内容的，采购人可取消其中标资格，并没收其投标担保；给采购人的损失超过其投标担保数额的，中标人应当对超过部分予以赔偿。</w:t>
      </w:r>
    </w:p>
    <w:p>
      <w:pPr>
        <w:pStyle w:val="5"/>
        <w:tabs>
          <w:tab w:val="clear" w:pos="426"/>
        </w:tabs>
        <w:rPr>
          <w:highlight w:val="none"/>
        </w:rPr>
      </w:pPr>
      <w:bookmarkStart w:id="383" w:name="_Toc432592830"/>
      <w:bookmarkStart w:id="384" w:name="_Toc398220538"/>
      <w:bookmarkStart w:id="385" w:name="_Toc12610139"/>
      <w:r>
        <w:rPr>
          <w:rFonts w:hint="eastAsia"/>
          <w:highlight w:val="none"/>
        </w:rPr>
        <w:t>第十章 质疑受理</w:t>
      </w:r>
      <w:bookmarkEnd w:id="383"/>
      <w:bookmarkEnd w:id="384"/>
      <w:bookmarkEnd w:id="385"/>
    </w:p>
    <w:p>
      <w:pPr>
        <w:tabs>
          <w:tab w:val="clear" w:pos="426"/>
        </w:tabs>
        <w:rPr>
          <w:highlight w:val="none"/>
        </w:rPr>
      </w:pPr>
      <w:r>
        <w:rPr>
          <w:rFonts w:hint="eastAsia"/>
          <w:highlight w:val="none"/>
        </w:rPr>
        <w:t>48.质疑受理机构</w:t>
      </w:r>
    </w:p>
    <w:p>
      <w:pPr>
        <w:tabs>
          <w:tab w:val="clear" w:pos="426"/>
        </w:tabs>
        <w:rPr>
          <w:sz w:val="22"/>
          <w:szCs w:val="22"/>
          <w:highlight w:val="none"/>
        </w:rPr>
      </w:pPr>
      <w:r>
        <w:rPr>
          <w:rFonts w:hint="eastAsia"/>
          <w:highlight w:val="none"/>
        </w:rPr>
        <w:t>采购代理机构及采购人</w:t>
      </w:r>
      <w:r>
        <w:rPr>
          <w:highlight w:val="none"/>
        </w:rPr>
        <w:t>负责受理和答复质疑</w:t>
      </w:r>
      <w:r>
        <w:rPr>
          <w:sz w:val="22"/>
          <w:szCs w:val="22"/>
          <w:highlight w:val="none"/>
        </w:rPr>
        <w:t>。</w:t>
      </w:r>
    </w:p>
    <w:p>
      <w:pPr>
        <w:tabs>
          <w:tab w:val="clear" w:pos="426"/>
        </w:tabs>
        <w:rPr>
          <w:highlight w:val="none"/>
        </w:rPr>
      </w:pPr>
      <w:r>
        <w:rPr>
          <w:rFonts w:hint="eastAsia"/>
          <w:highlight w:val="none"/>
        </w:rPr>
        <w:t>49.质疑处理原则</w:t>
      </w:r>
    </w:p>
    <w:p>
      <w:pPr>
        <w:tabs>
          <w:tab w:val="clear" w:pos="426"/>
        </w:tabs>
        <w:rPr>
          <w:highlight w:val="none"/>
        </w:rPr>
      </w:pPr>
      <w:r>
        <w:rPr>
          <w:rFonts w:hint="eastAsia"/>
          <w:highlight w:val="none"/>
        </w:rPr>
        <w:t>49.1</w:t>
      </w:r>
      <w:r>
        <w:rPr>
          <w:highlight w:val="none"/>
        </w:rPr>
        <w:t>质疑处理遵循公平、公正、规范、高效的原则。</w:t>
      </w:r>
    </w:p>
    <w:p>
      <w:pPr>
        <w:tabs>
          <w:tab w:val="clear" w:pos="426"/>
        </w:tabs>
        <w:rPr>
          <w:highlight w:val="none"/>
        </w:rPr>
      </w:pPr>
      <w:r>
        <w:rPr>
          <w:rFonts w:hint="eastAsia"/>
          <w:highlight w:val="none"/>
        </w:rPr>
        <w:t>49.2</w:t>
      </w:r>
      <w:r>
        <w:rPr>
          <w:highlight w:val="none"/>
        </w:rPr>
        <w:t>供应商质疑实行实名制和“谁质疑，谁举证”的原则，质疑应有具体的事项及事实根据。</w:t>
      </w:r>
    </w:p>
    <w:p>
      <w:pPr>
        <w:tabs>
          <w:tab w:val="clear" w:pos="426"/>
        </w:tabs>
        <w:rPr>
          <w:highlight w:val="none"/>
        </w:rPr>
      </w:pPr>
      <w:r>
        <w:rPr>
          <w:rFonts w:hint="eastAsia"/>
          <w:highlight w:val="none"/>
        </w:rPr>
        <w:t>50.质疑受理的时效和范围</w:t>
      </w:r>
    </w:p>
    <w:p>
      <w:pPr>
        <w:tabs>
          <w:tab w:val="clear" w:pos="426"/>
        </w:tabs>
        <w:rPr>
          <w:highlight w:val="none"/>
        </w:rPr>
      </w:pPr>
      <w:r>
        <w:rPr>
          <w:rFonts w:hint="eastAsia"/>
          <w:highlight w:val="none"/>
        </w:rPr>
        <w:t>50.1供应商认为采购文件、采购过程和中标、成交结果使自己权益受到损害的，可以在知道或者应知其权益受到损害之日起七个工作日内，以书面形式向采购代理机构提出质疑。</w:t>
      </w:r>
    </w:p>
    <w:p>
      <w:pPr>
        <w:tabs>
          <w:tab w:val="clear" w:pos="426"/>
        </w:tabs>
        <w:rPr>
          <w:highlight w:val="none"/>
        </w:rPr>
      </w:pPr>
      <w:r>
        <w:rPr>
          <w:rFonts w:hint="eastAsia"/>
          <w:highlight w:val="none"/>
        </w:rPr>
        <w:t>50.2供应商对采购文件有疑问的，采购代理机构及采购人按答疑程序处理；供应商对采购文件有异议的，按质疑程序处理。</w:t>
      </w:r>
    </w:p>
    <w:p>
      <w:pPr>
        <w:tabs>
          <w:tab w:val="clear" w:pos="426"/>
        </w:tabs>
        <w:rPr>
          <w:highlight w:val="none"/>
        </w:rPr>
      </w:pPr>
      <w:r>
        <w:rPr>
          <w:rFonts w:hint="eastAsia"/>
          <w:highlight w:val="none"/>
        </w:rPr>
        <w:t>51.质疑条件</w:t>
      </w:r>
    </w:p>
    <w:p>
      <w:pPr>
        <w:tabs>
          <w:tab w:val="clear" w:pos="426"/>
        </w:tabs>
        <w:rPr>
          <w:highlight w:val="none"/>
        </w:rPr>
      </w:pPr>
      <w:r>
        <w:rPr>
          <w:rFonts w:hint="eastAsia"/>
          <w:highlight w:val="none"/>
        </w:rPr>
        <w:t>51.1提出质疑的应是直接参与相应采购项目的供应商。以联合体形式参与的，由联合体共同提出；</w:t>
      </w:r>
    </w:p>
    <w:p>
      <w:pPr>
        <w:tabs>
          <w:tab w:val="clear" w:pos="426"/>
        </w:tabs>
        <w:rPr>
          <w:highlight w:val="none"/>
        </w:rPr>
      </w:pPr>
      <w:r>
        <w:rPr>
          <w:rFonts w:hint="eastAsia"/>
          <w:highlight w:val="none"/>
        </w:rPr>
        <w:t>51.2提供质疑的项目名称和编号、质疑供应商的单位名称、详细地址、邮政编码、联系人及联系电话等基本情况；</w:t>
      </w:r>
    </w:p>
    <w:p>
      <w:pPr>
        <w:tabs>
          <w:tab w:val="clear" w:pos="426"/>
        </w:tabs>
        <w:rPr>
          <w:highlight w:val="none"/>
        </w:rPr>
      </w:pPr>
      <w:r>
        <w:rPr>
          <w:rFonts w:hint="eastAsia"/>
          <w:highlight w:val="none"/>
        </w:rPr>
        <w:t>51.3有质疑的具体事项、请求及理由，并附相关证据材料；</w:t>
      </w:r>
    </w:p>
    <w:p>
      <w:pPr>
        <w:tabs>
          <w:tab w:val="clear" w:pos="426"/>
        </w:tabs>
        <w:rPr>
          <w:highlight w:val="none"/>
        </w:rPr>
      </w:pPr>
      <w:r>
        <w:rPr>
          <w:rFonts w:hint="eastAsia"/>
          <w:highlight w:val="none"/>
        </w:rPr>
        <w:t>51.4质疑书加盖公章，被授权人进行质疑的同时提交法人授权委托书；</w:t>
      </w:r>
    </w:p>
    <w:p>
      <w:pPr>
        <w:tabs>
          <w:tab w:val="clear" w:pos="426"/>
        </w:tabs>
        <w:rPr>
          <w:highlight w:val="none"/>
        </w:rPr>
      </w:pPr>
      <w:r>
        <w:rPr>
          <w:rFonts w:hint="eastAsia"/>
          <w:highlight w:val="none"/>
        </w:rPr>
        <w:t>51.5质疑材料中有外文资料的，应一并附上中文译本，并以中文译本为准。</w:t>
      </w:r>
    </w:p>
    <w:p>
      <w:pPr>
        <w:tabs>
          <w:tab w:val="clear" w:pos="426"/>
        </w:tabs>
        <w:rPr>
          <w:highlight w:val="none"/>
        </w:rPr>
      </w:pPr>
      <w:r>
        <w:rPr>
          <w:rFonts w:hint="eastAsia"/>
          <w:highlight w:val="none"/>
        </w:rPr>
        <w:t>51.6质疑不得超过质疑受理的时效和范围。</w:t>
      </w:r>
    </w:p>
    <w:p>
      <w:pPr>
        <w:tabs>
          <w:tab w:val="clear" w:pos="426"/>
        </w:tabs>
        <w:rPr>
          <w:highlight w:val="none"/>
        </w:rPr>
      </w:pPr>
      <w:r>
        <w:rPr>
          <w:rFonts w:hint="eastAsia"/>
          <w:highlight w:val="none"/>
        </w:rPr>
        <w:t>不符合上述条件的，我采购代理机构不予受理。</w:t>
      </w:r>
    </w:p>
    <w:p>
      <w:pPr>
        <w:tabs>
          <w:tab w:val="clear" w:pos="426"/>
        </w:tabs>
        <w:rPr>
          <w:highlight w:val="none"/>
        </w:rPr>
      </w:pPr>
      <w:r>
        <w:rPr>
          <w:rFonts w:hint="eastAsia"/>
          <w:highlight w:val="none"/>
        </w:rPr>
        <w:t>52.受理质疑办理程序</w:t>
      </w:r>
    </w:p>
    <w:p>
      <w:pPr>
        <w:tabs>
          <w:tab w:val="clear" w:pos="426"/>
        </w:tabs>
        <w:rPr>
          <w:highlight w:val="none"/>
        </w:rPr>
      </w:pPr>
      <w:r>
        <w:rPr>
          <w:rFonts w:hint="eastAsia"/>
          <w:highlight w:val="none"/>
        </w:rPr>
        <w:t>52.1先与质疑供应商进行沟通，以消除因误解或对采购规则和程序的不了解而引起的质疑。对沟通情况满意的，供应商撤回质疑，质疑处理程序终止。</w:t>
      </w:r>
    </w:p>
    <w:p>
      <w:pPr>
        <w:tabs>
          <w:tab w:val="clear" w:pos="426"/>
        </w:tabs>
        <w:rPr>
          <w:highlight w:val="none"/>
        </w:rPr>
      </w:pPr>
      <w:r>
        <w:rPr>
          <w:rFonts w:hint="eastAsia"/>
          <w:highlight w:val="none"/>
        </w:rPr>
        <w:t>52.2处理质疑一般进行书面审查；必要时听取各方当事人的陈述和申辩、进行相关调查；组织原评标委员会或谈判小组进行复议。</w:t>
      </w:r>
    </w:p>
    <w:p>
      <w:pPr>
        <w:tabs>
          <w:tab w:val="clear" w:pos="426"/>
        </w:tabs>
        <w:rPr>
          <w:highlight w:val="none"/>
        </w:rPr>
      </w:pPr>
      <w:r>
        <w:rPr>
          <w:rFonts w:hint="eastAsia"/>
          <w:highlight w:val="none"/>
        </w:rPr>
        <w:t>52.3在质疑处理期间，采购代理机构视情形决定暂停采购活动。</w:t>
      </w:r>
    </w:p>
    <w:p>
      <w:pPr>
        <w:tabs>
          <w:tab w:val="clear" w:pos="426"/>
        </w:tabs>
        <w:rPr>
          <w:highlight w:val="none"/>
        </w:rPr>
      </w:pPr>
      <w:r>
        <w:rPr>
          <w:rFonts w:hint="eastAsia"/>
          <w:highlight w:val="none"/>
        </w:rPr>
        <w:t>52.4采购代理机构原则上在质疑受理之日起十个工作日内书面答复质疑供应商。答复函以直接领取、传真或邮寄方式送达。</w:t>
      </w:r>
    </w:p>
    <w:p>
      <w:pPr>
        <w:tabs>
          <w:tab w:val="clear" w:pos="426"/>
        </w:tabs>
        <w:rPr>
          <w:highlight w:val="none"/>
        </w:rPr>
      </w:pPr>
      <w:r>
        <w:rPr>
          <w:rFonts w:hint="eastAsia"/>
          <w:highlight w:val="none"/>
        </w:rPr>
        <w:t>52.5供应商向采购代理机构提出质疑后，在质疑处理期限内，不得同时向其他方面提起同一质疑。质疑供应商如已就同一事项提起投诉、提请行政复议或诉讼的，质疑程序终止。</w:t>
      </w:r>
    </w:p>
    <w:p>
      <w:pPr>
        <w:tabs>
          <w:tab w:val="clear" w:pos="426"/>
        </w:tabs>
        <w:rPr>
          <w:highlight w:val="none"/>
        </w:rPr>
      </w:pPr>
      <w:r>
        <w:rPr>
          <w:rFonts w:hint="eastAsia"/>
          <w:highlight w:val="none"/>
        </w:rPr>
        <w:t>53.相关责任与义务</w:t>
      </w:r>
    </w:p>
    <w:p>
      <w:pPr>
        <w:tabs>
          <w:tab w:val="clear" w:pos="426"/>
        </w:tabs>
        <w:rPr>
          <w:highlight w:val="none"/>
        </w:rPr>
      </w:pPr>
      <w:r>
        <w:rPr>
          <w:rFonts w:hint="eastAsia"/>
          <w:highlight w:val="none"/>
        </w:rPr>
        <w:t>53.1采购单位、评标专家和相关供应商等当事人应积极配合采购代理机构进行质疑调查，如实反映情况，及时提供证明材料。</w:t>
      </w:r>
    </w:p>
    <w:p>
      <w:pPr>
        <w:tabs>
          <w:tab w:val="clear" w:pos="426"/>
        </w:tabs>
        <w:rPr>
          <w:highlight w:val="none"/>
        </w:rPr>
      </w:pPr>
      <w:r>
        <w:rPr>
          <w:rFonts w:hint="eastAsia"/>
          <w:highlight w:val="none"/>
        </w:rPr>
        <w:t>53.2质疑供应商有下列情形之一的，属于虚假、恶意质疑，采购代理机构将有权力将质疑供应商虚假、恶意质疑的行为上报政府采购监督管理部门，并视情节提请政府采购监督管理部门给予一定年限内禁止参与政府采购活动资格或其他处罚：</w:t>
      </w:r>
    </w:p>
    <w:p>
      <w:pPr>
        <w:tabs>
          <w:tab w:val="clear" w:pos="426"/>
        </w:tabs>
        <w:rPr>
          <w:highlight w:val="none"/>
        </w:rPr>
      </w:pPr>
      <w:r>
        <w:rPr>
          <w:rFonts w:hint="eastAsia"/>
          <w:highlight w:val="none"/>
        </w:rPr>
        <w:t>53.2.1捏造事实或提供虚假证明材料的；</w:t>
      </w:r>
    </w:p>
    <w:p>
      <w:pPr>
        <w:tabs>
          <w:tab w:val="clear" w:pos="426"/>
        </w:tabs>
        <w:rPr>
          <w:highlight w:val="none"/>
        </w:rPr>
      </w:pPr>
      <w:r>
        <w:rPr>
          <w:rFonts w:hint="eastAsia"/>
          <w:highlight w:val="none"/>
        </w:rPr>
        <w:t>53.2.2假冒他人名义进行质疑的；</w:t>
      </w:r>
    </w:p>
    <w:p>
      <w:pPr>
        <w:tabs>
          <w:tab w:val="clear" w:pos="426"/>
        </w:tabs>
        <w:rPr>
          <w:highlight w:val="none"/>
        </w:rPr>
      </w:pPr>
      <w:r>
        <w:rPr>
          <w:rFonts w:hint="eastAsia"/>
          <w:highlight w:val="none"/>
        </w:rPr>
        <w:t>53.2.3拒不配合进行有关调查、情节严重的。</w:t>
      </w:r>
    </w:p>
    <w:p>
      <w:pPr>
        <w:tabs>
          <w:tab w:val="clear" w:pos="426"/>
        </w:tabs>
        <w:rPr>
          <w:b/>
          <w:highlight w:val="none"/>
        </w:rPr>
      </w:pPr>
      <w:bookmarkStart w:id="386" w:name="_Toc201401601"/>
      <w:bookmarkStart w:id="387" w:name="_Toc201997863"/>
      <w:bookmarkStart w:id="388" w:name="_Toc201401409"/>
      <w:r>
        <w:rPr>
          <w:rFonts w:hint="eastAsia"/>
          <w:highlight w:val="none"/>
        </w:rPr>
        <w:t xml:space="preserve">54．  </w:t>
      </w:r>
      <w:r>
        <w:rPr>
          <w:rFonts w:hint="eastAsia"/>
          <w:b/>
          <w:highlight w:val="none"/>
        </w:rPr>
        <w:t>其他</w:t>
      </w:r>
      <w:bookmarkEnd w:id="386"/>
      <w:bookmarkEnd w:id="387"/>
      <w:bookmarkEnd w:id="388"/>
    </w:p>
    <w:p>
      <w:pPr>
        <w:tabs>
          <w:tab w:val="clear" w:pos="426"/>
        </w:tabs>
        <w:rPr>
          <w:highlight w:val="none"/>
        </w:rPr>
      </w:pPr>
      <w:r>
        <w:rPr>
          <w:rFonts w:hint="eastAsia"/>
          <w:highlight w:val="none"/>
        </w:rPr>
        <w:t>54.1  本招标文件的解释权归采购代理机构所有，采购代理机构在征得采购人或相关主管部门同意后，有权在法律允许范围内调整本次招标活动的细节及保留最终解释权。</w:t>
      </w:r>
    </w:p>
    <w:p>
      <w:pPr>
        <w:tabs>
          <w:tab w:val="clear" w:pos="426"/>
        </w:tabs>
        <w:rPr>
          <w:highlight w:val="none"/>
        </w:rPr>
      </w:pPr>
      <w:r>
        <w:rPr>
          <w:rFonts w:hint="eastAsia"/>
          <w:highlight w:val="none"/>
        </w:rPr>
        <w:t>54.2 采购代理机构向投标人提供的资料和数据，是采购代理机构现有的能供投标人利用的资料，采购代理机构对投标人由此而作出的推论、理解和结论概不负责。</w:t>
      </w:r>
    </w:p>
    <w:p>
      <w:pPr>
        <w:tabs>
          <w:tab w:val="clear" w:pos="426"/>
        </w:tabs>
        <w:rPr>
          <w:highlight w:val="none"/>
        </w:rPr>
      </w:pPr>
      <w:r>
        <w:rPr>
          <w:rFonts w:hint="eastAsia"/>
          <w:highlight w:val="none"/>
        </w:rPr>
        <w:t>54.3 如果投标人实质上不符合投标资格，即使已购买招标文件、参加投标并缴纳各种费用，采购代理机构或采购人可以随时取消其投标或中标资格，采购代理机构或采购人对该投标人的一切损失概不责任。</w:t>
      </w:r>
    </w:p>
    <w:p>
      <w:pPr>
        <w:tabs>
          <w:tab w:val="clear" w:pos="426"/>
        </w:tabs>
        <w:rPr>
          <w:highlight w:val="none"/>
        </w:rPr>
      </w:pPr>
      <w:r>
        <w:rPr>
          <w:rFonts w:hint="eastAsia"/>
          <w:highlight w:val="none"/>
        </w:rPr>
        <w:t>54.4 中标无效的，发出的中标通知书和签订的合同自始没有法律约束力，但不影响合同中存在的有关解决争议方法的条款的效力。</w:t>
      </w:r>
    </w:p>
    <w:p>
      <w:pPr>
        <w:tabs>
          <w:tab w:val="clear" w:pos="426"/>
        </w:tabs>
        <w:rPr>
          <w:highlight w:val="none"/>
        </w:rPr>
      </w:pPr>
      <w:r>
        <w:rPr>
          <w:rFonts w:hint="eastAsia"/>
          <w:highlight w:val="none"/>
        </w:rPr>
        <w:t>54.5 本招标文件所有的附件与本招标文件具有同等效力。</w:t>
      </w:r>
    </w:p>
    <w:p>
      <w:pPr>
        <w:tabs>
          <w:tab w:val="clear" w:pos="426"/>
        </w:tabs>
        <w:rPr>
          <w:highlight w:val="none"/>
        </w:rPr>
      </w:pPr>
    </w:p>
    <w:p>
      <w:pPr>
        <w:pStyle w:val="42"/>
        <w:tabs>
          <w:tab w:val="clear" w:pos="426"/>
        </w:tabs>
        <w:rPr>
          <w:highlight w:val="none"/>
        </w:rPr>
      </w:pPr>
      <w:r>
        <w:rPr>
          <w:rFonts w:ascii="宋体" w:hAnsi="宋体"/>
          <w:highlight w:val="none"/>
        </w:rPr>
        <w:br w:type="page"/>
      </w:r>
      <w:bookmarkStart w:id="389" w:name="_Toc12610140"/>
      <w:r>
        <w:rPr>
          <w:rFonts w:hint="eastAsia"/>
          <w:highlight w:val="none"/>
        </w:rPr>
        <w:t>招标代理服务取费说明</w:t>
      </w:r>
      <w:bookmarkEnd w:id="389"/>
    </w:p>
    <w:p>
      <w:pPr>
        <w:tabs>
          <w:tab w:val="clear" w:pos="426"/>
        </w:tabs>
        <w:spacing w:line="300" w:lineRule="auto"/>
        <w:ind w:firstLine="440" w:firstLineChars="200"/>
        <w:rPr>
          <w:sz w:val="22"/>
          <w:highlight w:val="none"/>
        </w:rPr>
      </w:pPr>
    </w:p>
    <w:p>
      <w:pPr>
        <w:tabs>
          <w:tab w:val="clear" w:pos="426"/>
        </w:tabs>
        <w:spacing w:line="300" w:lineRule="auto"/>
        <w:ind w:firstLine="440" w:firstLineChars="200"/>
        <w:rPr>
          <w:sz w:val="22"/>
          <w:highlight w:val="none"/>
        </w:rPr>
      </w:pPr>
      <w:r>
        <w:rPr>
          <w:rFonts w:hint="eastAsia"/>
          <w:sz w:val="22"/>
          <w:highlight w:val="none"/>
        </w:rPr>
        <w:t>根据《深圳市财政委员会关于规范深圳市社会采购代理机构管理有关事项的补充通知》（深财购〔</w:t>
      </w:r>
      <w:r>
        <w:rPr>
          <w:sz w:val="22"/>
          <w:highlight w:val="none"/>
        </w:rPr>
        <w:t>2018〕27号）</w:t>
      </w:r>
      <w:r>
        <w:rPr>
          <w:rFonts w:hint="eastAsia"/>
          <w:sz w:val="22"/>
          <w:highlight w:val="none"/>
        </w:rPr>
        <w:t xml:space="preserve">的规定，招标代理服务收费将以项目中标金额为计算基数，按差额定率累进法计算，并向中标人收取，收费标准如下表所列： </w:t>
      </w:r>
    </w:p>
    <w:p>
      <w:pPr>
        <w:tabs>
          <w:tab w:val="clear" w:pos="426"/>
        </w:tabs>
        <w:spacing w:line="300" w:lineRule="auto"/>
        <w:ind w:firstLine="440" w:firstLineChars="200"/>
        <w:rPr>
          <w:sz w:val="22"/>
          <w:highlight w:val="none"/>
        </w:rPr>
      </w:pPr>
      <w:r>
        <w:rPr>
          <w:rFonts w:hint="eastAsia"/>
          <w:sz w:val="22"/>
          <w:highlight w:val="none"/>
        </w:rPr>
        <w:t>招标代理服务收费标准</w:t>
      </w:r>
    </w:p>
    <w:tbl>
      <w:tblPr>
        <w:tblStyle w:val="44"/>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86"/>
        <w:gridCol w:w="1845"/>
        <w:gridCol w:w="1845"/>
        <w:gridCol w:w="18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2986" w:type="dxa"/>
            <w:vAlign w:val="center"/>
          </w:tcPr>
          <w:p>
            <w:pPr>
              <w:tabs>
                <w:tab w:val="clear" w:pos="426"/>
              </w:tabs>
              <w:spacing w:line="240" w:lineRule="auto"/>
              <w:jc w:val="right"/>
              <w:rPr>
                <w:sz w:val="22"/>
                <w:highlight w:val="none"/>
              </w:rPr>
            </w:pPr>
            <w:r>
              <w:rPr>
                <w:rFonts w:hint="eastAsia"/>
                <w:sz w:val="22"/>
                <w:highlight w:val="none"/>
              </w:rPr>
              <w:t>项目类型</w:t>
            </w:r>
          </w:p>
          <w:p>
            <w:pPr>
              <w:tabs>
                <w:tab w:val="clear" w:pos="426"/>
              </w:tabs>
              <w:spacing w:line="240" w:lineRule="auto"/>
              <w:jc w:val="center"/>
              <w:rPr>
                <w:sz w:val="22"/>
                <w:highlight w:val="none"/>
              </w:rPr>
            </w:pPr>
            <w:r>
              <w:rPr>
                <w:rFonts w:hint="eastAsia"/>
                <w:sz w:val="22"/>
                <w:highlight w:val="none"/>
              </w:rPr>
              <w:t>费率</w:t>
            </w:r>
          </w:p>
          <w:p>
            <w:pPr>
              <w:tabs>
                <w:tab w:val="clear" w:pos="426"/>
              </w:tabs>
              <w:spacing w:line="240" w:lineRule="auto"/>
              <w:rPr>
                <w:sz w:val="22"/>
                <w:highlight w:val="none"/>
              </w:rPr>
            </w:pPr>
            <w:r>
              <w:rPr>
                <w:rFonts w:hint="eastAsia"/>
                <w:sz w:val="22"/>
                <w:highlight w:val="none"/>
              </w:rPr>
              <w:t>中标金额</w:t>
            </w:r>
          </w:p>
        </w:tc>
        <w:tc>
          <w:tcPr>
            <w:tcW w:w="1845" w:type="dxa"/>
            <w:vAlign w:val="center"/>
          </w:tcPr>
          <w:p>
            <w:pPr>
              <w:tabs>
                <w:tab w:val="clear" w:pos="426"/>
              </w:tabs>
              <w:spacing w:line="240" w:lineRule="auto"/>
              <w:jc w:val="center"/>
              <w:rPr>
                <w:sz w:val="22"/>
                <w:highlight w:val="none"/>
              </w:rPr>
            </w:pPr>
            <w:r>
              <w:rPr>
                <w:rFonts w:hint="eastAsia"/>
                <w:sz w:val="22"/>
                <w:highlight w:val="none"/>
              </w:rPr>
              <w:t>货物采购</w:t>
            </w:r>
          </w:p>
        </w:tc>
        <w:tc>
          <w:tcPr>
            <w:tcW w:w="1845" w:type="dxa"/>
            <w:vAlign w:val="center"/>
          </w:tcPr>
          <w:p>
            <w:pPr>
              <w:tabs>
                <w:tab w:val="clear" w:pos="426"/>
              </w:tabs>
              <w:spacing w:line="240" w:lineRule="auto"/>
              <w:jc w:val="center"/>
              <w:rPr>
                <w:sz w:val="22"/>
                <w:highlight w:val="none"/>
              </w:rPr>
            </w:pPr>
            <w:r>
              <w:rPr>
                <w:rFonts w:hint="eastAsia"/>
                <w:sz w:val="22"/>
                <w:highlight w:val="none"/>
              </w:rPr>
              <w:t>服务采购</w:t>
            </w:r>
          </w:p>
        </w:tc>
        <w:tc>
          <w:tcPr>
            <w:tcW w:w="1846" w:type="dxa"/>
            <w:vAlign w:val="center"/>
          </w:tcPr>
          <w:p>
            <w:pPr>
              <w:tabs>
                <w:tab w:val="clear" w:pos="426"/>
              </w:tabs>
              <w:spacing w:line="240" w:lineRule="auto"/>
              <w:jc w:val="center"/>
              <w:rPr>
                <w:sz w:val="22"/>
                <w:highlight w:val="none"/>
              </w:rPr>
            </w:pPr>
            <w:r>
              <w:rPr>
                <w:rFonts w:hint="eastAsia"/>
                <w:sz w:val="22"/>
                <w:highlight w:val="none"/>
              </w:rPr>
              <w:t>工程采购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6" w:type="dxa"/>
            <w:vAlign w:val="center"/>
          </w:tcPr>
          <w:p>
            <w:pPr>
              <w:spacing w:line="240" w:lineRule="auto"/>
              <w:rPr>
                <w:color w:val="000000"/>
                <w:sz w:val="22"/>
                <w:szCs w:val="22"/>
                <w:highlight w:val="none"/>
              </w:rPr>
            </w:pPr>
            <w:r>
              <w:rPr>
                <w:rFonts w:hint="eastAsia"/>
                <w:color w:val="000000"/>
                <w:sz w:val="22"/>
                <w:szCs w:val="22"/>
                <w:highlight w:val="none"/>
              </w:rPr>
              <w:t>100万元以下</w:t>
            </w:r>
          </w:p>
        </w:tc>
        <w:tc>
          <w:tcPr>
            <w:tcW w:w="1845" w:type="dxa"/>
            <w:vAlign w:val="center"/>
          </w:tcPr>
          <w:p>
            <w:pPr>
              <w:spacing w:line="240" w:lineRule="auto"/>
              <w:jc w:val="center"/>
              <w:rPr>
                <w:color w:val="000000"/>
                <w:sz w:val="22"/>
                <w:szCs w:val="22"/>
                <w:highlight w:val="none"/>
              </w:rPr>
            </w:pPr>
            <w:r>
              <w:rPr>
                <w:rFonts w:hint="eastAsia"/>
                <w:color w:val="000000"/>
                <w:sz w:val="22"/>
                <w:szCs w:val="22"/>
                <w:highlight w:val="none"/>
              </w:rPr>
              <w:t>1.500%</w:t>
            </w:r>
          </w:p>
        </w:tc>
        <w:tc>
          <w:tcPr>
            <w:tcW w:w="1845" w:type="dxa"/>
            <w:vAlign w:val="center"/>
          </w:tcPr>
          <w:p>
            <w:pPr>
              <w:spacing w:line="240" w:lineRule="auto"/>
              <w:jc w:val="center"/>
              <w:rPr>
                <w:color w:val="000000"/>
                <w:sz w:val="22"/>
                <w:szCs w:val="22"/>
                <w:highlight w:val="none"/>
              </w:rPr>
            </w:pPr>
            <w:r>
              <w:rPr>
                <w:rFonts w:hint="eastAsia"/>
                <w:color w:val="000000"/>
                <w:sz w:val="22"/>
                <w:szCs w:val="22"/>
                <w:highlight w:val="none"/>
              </w:rPr>
              <w:t>1.500%</w:t>
            </w:r>
          </w:p>
        </w:tc>
        <w:tc>
          <w:tcPr>
            <w:tcW w:w="1846" w:type="dxa"/>
            <w:vAlign w:val="center"/>
          </w:tcPr>
          <w:p>
            <w:pPr>
              <w:spacing w:line="240" w:lineRule="auto"/>
              <w:jc w:val="center"/>
              <w:rPr>
                <w:color w:val="000000"/>
                <w:sz w:val="22"/>
                <w:szCs w:val="22"/>
                <w:highlight w:val="none"/>
              </w:rPr>
            </w:pPr>
            <w:r>
              <w:rPr>
                <w:rFonts w:hint="eastAsia"/>
                <w:color w:val="000000"/>
                <w:sz w:val="22"/>
                <w:szCs w:val="22"/>
                <w:highlight w:val="none"/>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6" w:type="dxa"/>
            <w:vAlign w:val="center"/>
          </w:tcPr>
          <w:p>
            <w:pPr>
              <w:spacing w:line="240" w:lineRule="auto"/>
              <w:rPr>
                <w:color w:val="000000"/>
                <w:sz w:val="22"/>
                <w:szCs w:val="22"/>
                <w:highlight w:val="none"/>
              </w:rPr>
            </w:pPr>
            <w:r>
              <w:rPr>
                <w:rFonts w:hint="eastAsia"/>
                <w:color w:val="000000"/>
                <w:sz w:val="22"/>
                <w:szCs w:val="22"/>
                <w:highlight w:val="none"/>
              </w:rPr>
              <w:t>100万元（含）-500万元</w:t>
            </w:r>
          </w:p>
        </w:tc>
        <w:tc>
          <w:tcPr>
            <w:tcW w:w="1845" w:type="dxa"/>
            <w:vAlign w:val="center"/>
          </w:tcPr>
          <w:p>
            <w:pPr>
              <w:spacing w:line="240" w:lineRule="auto"/>
              <w:jc w:val="center"/>
              <w:rPr>
                <w:color w:val="000000"/>
                <w:sz w:val="22"/>
                <w:szCs w:val="22"/>
                <w:highlight w:val="none"/>
              </w:rPr>
            </w:pPr>
            <w:r>
              <w:rPr>
                <w:rFonts w:hint="eastAsia"/>
                <w:color w:val="000000"/>
                <w:sz w:val="22"/>
                <w:szCs w:val="22"/>
                <w:highlight w:val="none"/>
              </w:rPr>
              <w:t>1.100%</w:t>
            </w:r>
          </w:p>
        </w:tc>
        <w:tc>
          <w:tcPr>
            <w:tcW w:w="1845" w:type="dxa"/>
            <w:vAlign w:val="center"/>
          </w:tcPr>
          <w:p>
            <w:pPr>
              <w:spacing w:line="240" w:lineRule="auto"/>
              <w:jc w:val="center"/>
              <w:rPr>
                <w:color w:val="000000"/>
                <w:sz w:val="22"/>
                <w:szCs w:val="22"/>
                <w:highlight w:val="none"/>
              </w:rPr>
            </w:pPr>
            <w:r>
              <w:rPr>
                <w:rFonts w:hint="eastAsia"/>
                <w:color w:val="000000"/>
                <w:sz w:val="22"/>
                <w:szCs w:val="22"/>
                <w:highlight w:val="none"/>
              </w:rPr>
              <w:t>0.800%</w:t>
            </w:r>
          </w:p>
        </w:tc>
        <w:tc>
          <w:tcPr>
            <w:tcW w:w="1846" w:type="dxa"/>
            <w:vAlign w:val="center"/>
          </w:tcPr>
          <w:p>
            <w:pPr>
              <w:spacing w:line="240" w:lineRule="auto"/>
              <w:jc w:val="center"/>
              <w:rPr>
                <w:color w:val="000000"/>
                <w:sz w:val="22"/>
                <w:szCs w:val="22"/>
                <w:highlight w:val="none"/>
              </w:rPr>
            </w:pPr>
            <w:r>
              <w:rPr>
                <w:rFonts w:hint="eastAsia"/>
                <w:color w:val="000000"/>
                <w:sz w:val="22"/>
                <w:szCs w:val="22"/>
                <w:highlight w:val="none"/>
              </w:rPr>
              <w:t>0.700%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6" w:type="dxa"/>
            <w:vAlign w:val="center"/>
          </w:tcPr>
          <w:p>
            <w:pPr>
              <w:spacing w:line="240" w:lineRule="auto"/>
              <w:rPr>
                <w:color w:val="000000"/>
                <w:sz w:val="22"/>
                <w:szCs w:val="22"/>
                <w:highlight w:val="none"/>
              </w:rPr>
            </w:pPr>
            <w:r>
              <w:rPr>
                <w:rFonts w:hint="eastAsia"/>
                <w:color w:val="000000"/>
                <w:sz w:val="22"/>
                <w:szCs w:val="22"/>
                <w:highlight w:val="none"/>
              </w:rPr>
              <w:t>500万元（含）-1000万元</w:t>
            </w:r>
          </w:p>
        </w:tc>
        <w:tc>
          <w:tcPr>
            <w:tcW w:w="1845" w:type="dxa"/>
            <w:vAlign w:val="center"/>
          </w:tcPr>
          <w:p>
            <w:pPr>
              <w:spacing w:line="240" w:lineRule="auto"/>
              <w:jc w:val="center"/>
              <w:rPr>
                <w:color w:val="000000"/>
                <w:sz w:val="22"/>
                <w:szCs w:val="22"/>
                <w:highlight w:val="none"/>
              </w:rPr>
            </w:pPr>
            <w:r>
              <w:rPr>
                <w:rFonts w:hint="eastAsia"/>
                <w:color w:val="000000"/>
                <w:sz w:val="22"/>
                <w:szCs w:val="22"/>
                <w:highlight w:val="none"/>
              </w:rPr>
              <w:t>0.800%</w:t>
            </w:r>
          </w:p>
        </w:tc>
        <w:tc>
          <w:tcPr>
            <w:tcW w:w="1845" w:type="dxa"/>
            <w:vAlign w:val="center"/>
          </w:tcPr>
          <w:p>
            <w:pPr>
              <w:spacing w:line="240" w:lineRule="auto"/>
              <w:jc w:val="center"/>
              <w:rPr>
                <w:color w:val="000000"/>
                <w:sz w:val="22"/>
                <w:szCs w:val="22"/>
                <w:highlight w:val="none"/>
              </w:rPr>
            </w:pPr>
            <w:r>
              <w:rPr>
                <w:rFonts w:hint="eastAsia"/>
                <w:color w:val="000000"/>
                <w:sz w:val="22"/>
                <w:szCs w:val="22"/>
                <w:highlight w:val="none"/>
              </w:rPr>
              <w:t>0.450%</w:t>
            </w:r>
          </w:p>
        </w:tc>
        <w:tc>
          <w:tcPr>
            <w:tcW w:w="1846" w:type="dxa"/>
            <w:vAlign w:val="center"/>
          </w:tcPr>
          <w:p>
            <w:pPr>
              <w:spacing w:line="240" w:lineRule="auto"/>
              <w:jc w:val="center"/>
              <w:rPr>
                <w:color w:val="000000"/>
                <w:sz w:val="22"/>
                <w:szCs w:val="22"/>
                <w:highlight w:val="none"/>
              </w:rPr>
            </w:pPr>
            <w:r>
              <w:rPr>
                <w:rFonts w:hint="eastAsia"/>
                <w:color w:val="000000"/>
                <w:sz w:val="22"/>
                <w:szCs w:val="22"/>
                <w:highlight w:val="none"/>
              </w:rPr>
              <w:t>0.550%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6" w:type="dxa"/>
            <w:vAlign w:val="center"/>
          </w:tcPr>
          <w:p>
            <w:pPr>
              <w:spacing w:line="240" w:lineRule="auto"/>
              <w:rPr>
                <w:color w:val="000000"/>
                <w:sz w:val="22"/>
                <w:szCs w:val="22"/>
                <w:highlight w:val="none"/>
              </w:rPr>
            </w:pPr>
            <w:r>
              <w:rPr>
                <w:rFonts w:hint="eastAsia"/>
                <w:color w:val="000000"/>
                <w:sz w:val="22"/>
                <w:szCs w:val="22"/>
                <w:highlight w:val="none"/>
              </w:rPr>
              <w:t>1000万元（含）-5000万元</w:t>
            </w:r>
          </w:p>
        </w:tc>
        <w:tc>
          <w:tcPr>
            <w:tcW w:w="1845" w:type="dxa"/>
            <w:vAlign w:val="center"/>
          </w:tcPr>
          <w:p>
            <w:pPr>
              <w:spacing w:line="240" w:lineRule="auto"/>
              <w:jc w:val="center"/>
              <w:rPr>
                <w:color w:val="000000"/>
                <w:sz w:val="22"/>
                <w:szCs w:val="22"/>
                <w:highlight w:val="none"/>
              </w:rPr>
            </w:pPr>
            <w:r>
              <w:rPr>
                <w:rFonts w:hint="eastAsia"/>
                <w:color w:val="000000"/>
                <w:sz w:val="22"/>
                <w:szCs w:val="22"/>
                <w:highlight w:val="none"/>
              </w:rPr>
              <w:t>0.500%</w:t>
            </w:r>
          </w:p>
        </w:tc>
        <w:tc>
          <w:tcPr>
            <w:tcW w:w="1845" w:type="dxa"/>
            <w:vAlign w:val="center"/>
          </w:tcPr>
          <w:p>
            <w:pPr>
              <w:spacing w:line="240" w:lineRule="auto"/>
              <w:jc w:val="center"/>
              <w:rPr>
                <w:color w:val="000000"/>
                <w:sz w:val="22"/>
                <w:szCs w:val="22"/>
                <w:highlight w:val="none"/>
              </w:rPr>
            </w:pPr>
            <w:r>
              <w:rPr>
                <w:rFonts w:hint="eastAsia"/>
                <w:color w:val="000000"/>
                <w:sz w:val="22"/>
                <w:szCs w:val="22"/>
                <w:highlight w:val="none"/>
              </w:rPr>
              <w:t>0.250%</w:t>
            </w:r>
          </w:p>
        </w:tc>
        <w:tc>
          <w:tcPr>
            <w:tcW w:w="1846" w:type="dxa"/>
            <w:vAlign w:val="center"/>
          </w:tcPr>
          <w:p>
            <w:pPr>
              <w:spacing w:line="240" w:lineRule="auto"/>
              <w:jc w:val="center"/>
              <w:rPr>
                <w:color w:val="000000"/>
                <w:sz w:val="22"/>
                <w:szCs w:val="22"/>
                <w:highlight w:val="none"/>
              </w:rPr>
            </w:pPr>
            <w:r>
              <w:rPr>
                <w:rFonts w:hint="eastAsia"/>
                <w:color w:val="000000"/>
                <w:sz w:val="22"/>
                <w:szCs w:val="22"/>
                <w:highlight w:val="none"/>
              </w:rPr>
              <w:t>0.350%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6" w:type="dxa"/>
            <w:vAlign w:val="center"/>
          </w:tcPr>
          <w:p>
            <w:pPr>
              <w:spacing w:line="240" w:lineRule="auto"/>
              <w:rPr>
                <w:color w:val="000000"/>
                <w:sz w:val="22"/>
                <w:szCs w:val="22"/>
                <w:highlight w:val="none"/>
              </w:rPr>
            </w:pPr>
            <w:r>
              <w:rPr>
                <w:rFonts w:hint="eastAsia"/>
                <w:color w:val="000000"/>
                <w:sz w:val="22"/>
                <w:szCs w:val="22"/>
                <w:highlight w:val="none"/>
              </w:rPr>
              <w:t>5000万元（含）-1亿元</w:t>
            </w:r>
          </w:p>
        </w:tc>
        <w:tc>
          <w:tcPr>
            <w:tcW w:w="1845" w:type="dxa"/>
            <w:vAlign w:val="center"/>
          </w:tcPr>
          <w:p>
            <w:pPr>
              <w:spacing w:line="240" w:lineRule="auto"/>
              <w:jc w:val="center"/>
              <w:rPr>
                <w:sz w:val="22"/>
                <w:szCs w:val="22"/>
                <w:highlight w:val="none"/>
              </w:rPr>
            </w:pPr>
            <w:r>
              <w:rPr>
                <w:rFonts w:hint="eastAsia"/>
                <w:sz w:val="22"/>
                <w:szCs w:val="22"/>
                <w:highlight w:val="none"/>
              </w:rPr>
              <w:t>0.250%</w:t>
            </w:r>
          </w:p>
        </w:tc>
        <w:tc>
          <w:tcPr>
            <w:tcW w:w="1845" w:type="dxa"/>
            <w:vAlign w:val="center"/>
          </w:tcPr>
          <w:p>
            <w:pPr>
              <w:spacing w:line="240" w:lineRule="auto"/>
              <w:jc w:val="center"/>
              <w:rPr>
                <w:sz w:val="22"/>
                <w:szCs w:val="22"/>
                <w:highlight w:val="none"/>
              </w:rPr>
            </w:pPr>
            <w:r>
              <w:rPr>
                <w:rFonts w:hint="eastAsia"/>
                <w:sz w:val="22"/>
                <w:szCs w:val="22"/>
                <w:highlight w:val="none"/>
              </w:rPr>
              <w:t>0.100%</w:t>
            </w:r>
          </w:p>
        </w:tc>
        <w:tc>
          <w:tcPr>
            <w:tcW w:w="1846" w:type="dxa"/>
            <w:vAlign w:val="center"/>
          </w:tcPr>
          <w:p>
            <w:pPr>
              <w:spacing w:line="240" w:lineRule="auto"/>
              <w:jc w:val="center"/>
              <w:rPr>
                <w:sz w:val="22"/>
                <w:szCs w:val="22"/>
                <w:highlight w:val="none"/>
              </w:rPr>
            </w:pPr>
            <w:r>
              <w:rPr>
                <w:rFonts w:hint="eastAsia"/>
                <w:sz w:val="22"/>
                <w:szCs w:val="22"/>
                <w:highlight w:val="none"/>
              </w:rPr>
              <w:t>0.200%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6" w:type="dxa"/>
            <w:vAlign w:val="center"/>
          </w:tcPr>
          <w:p>
            <w:pPr>
              <w:spacing w:line="240" w:lineRule="auto"/>
              <w:rPr>
                <w:color w:val="000000"/>
                <w:sz w:val="22"/>
                <w:szCs w:val="22"/>
                <w:highlight w:val="none"/>
              </w:rPr>
            </w:pPr>
            <w:r>
              <w:rPr>
                <w:rFonts w:hint="eastAsia"/>
                <w:color w:val="000000"/>
                <w:sz w:val="22"/>
                <w:szCs w:val="22"/>
                <w:highlight w:val="none"/>
              </w:rPr>
              <w:t>1亿元（含）-5亿元</w:t>
            </w:r>
          </w:p>
        </w:tc>
        <w:tc>
          <w:tcPr>
            <w:tcW w:w="1845" w:type="dxa"/>
            <w:vAlign w:val="center"/>
          </w:tcPr>
          <w:p>
            <w:pPr>
              <w:spacing w:line="240" w:lineRule="auto"/>
              <w:jc w:val="center"/>
              <w:rPr>
                <w:sz w:val="22"/>
                <w:szCs w:val="22"/>
                <w:highlight w:val="none"/>
              </w:rPr>
            </w:pPr>
            <w:r>
              <w:rPr>
                <w:rFonts w:hint="eastAsia"/>
                <w:sz w:val="22"/>
                <w:szCs w:val="22"/>
                <w:highlight w:val="none"/>
              </w:rPr>
              <w:t>0.050%</w:t>
            </w:r>
          </w:p>
        </w:tc>
        <w:tc>
          <w:tcPr>
            <w:tcW w:w="1845" w:type="dxa"/>
            <w:vAlign w:val="center"/>
          </w:tcPr>
          <w:p>
            <w:pPr>
              <w:spacing w:line="240" w:lineRule="auto"/>
              <w:jc w:val="center"/>
              <w:rPr>
                <w:sz w:val="22"/>
                <w:szCs w:val="22"/>
                <w:highlight w:val="none"/>
              </w:rPr>
            </w:pPr>
            <w:r>
              <w:rPr>
                <w:rFonts w:hint="eastAsia"/>
                <w:sz w:val="22"/>
                <w:szCs w:val="22"/>
                <w:highlight w:val="none"/>
              </w:rPr>
              <w:t>0.050%</w:t>
            </w:r>
          </w:p>
        </w:tc>
        <w:tc>
          <w:tcPr>
            <w:tcW w:w="1846" w:type="dxa"/>
            <w:vAlign w:val="center"/>
          </w:tcPr>
          <w:p>
            <w:pPr>
              <w:spacing w:line="240" w:lineRule="auto"/>
              <w:jc w:val="center"/>
              <w:rPr>
                <w:sz w:val="22"/>
                <w:szCs w:val="22"/>
                <w:highlight w:val="none"/>
              </w:rPr>
            </w:pPr>
            <w:r>
              <w:rPr>
                <w:rFonts w:hint="eastAsia"/>
                <w:sz w:val="22"/>
                <w:szCs w:val="22"/>
                <w:highlight w:val="none"/>
              </w:rPr>
              <w:t>0.050%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6" w:type="dxa"/>
            <w:vAlign w:val="center"/>
          </w:tcPr>
          <w:p>
            <w:pPr>
              <w:spacing w:line="240" w:lineRule="auto"/>
              <w:rPr>
                <w:color w:val="000000"/>
                <w:sz w:val="22"/>
                <w:szCs w:val="22"/>
                <w:highlight w:val="none"/>
              </w:rPr>
            </w:pPr>
            <w:r>
              <w:rPr>
                <w:rFonts w:hint="eastAsia"/>
                <w:color w:val="000000"/>
                <w:sz w:val="22"/>
                <w:szCs w:val="22"/>
                <w:highlight w:val="none"/>
              </w:rPr>
              <w:t>5亿元（含）-10亿元</w:t>
            </w:r>
          </w:p>
        </w:tc>
        <w:tc>
          <w:tcPr>
            <w:tcW w:w="1845" w:type="dxa"/>
            <w:vAlign w:val="center"/>
          </w:tcPr>
          <w:p>
            <w:pPr>
              <w:spacing w:line="240" w:lineRule="auto"/>
              <w:jc w:val="center"/>
              <w:rPr>
                <w:sz w:val="22"/>
                <w:szCs w:val="22"/>
                <w:highlight w:val="none"/>
              </w:rPr>
            </w:pPr>
            <w:r>
              <w:rPr>
                <w:rFonts w:hint="eastAsia"/>
                <w:sz w:val="22"/>
                <w:szCs w:val="22"/>
                <w:highlight w:val="none"/>
              </w:rPr>
              <w:t>0.035%</w:t>
            </w:r>
          </w:p>
        </w:tc>
        <w:tc>
          <w:tcPr>
            <w:tcW w:w="1845" w:type="dxa"/>
            <w:vAlign w:val="center"/>
          </w:tcPr>
          <w:p>
            <w:pPr>
              <w:spacing w:line="240" w:lineRule="auto"/>
              <w:jc w:val="center"/>
              <w:rPr>
                <w:sz w:val="22"/>
                <w:szCs w:val="22"/>
                <w:highlight w:val="none"/>
              </w:rPr>
            </w:pPr>
            <w:r>
              <w:rPr>
                <w:rFonts w:hint="eastAsia"/>
                <w:sz w:val="22"/>
                <w:szCs w:val="22"/>
                <w:highlight w:val="none"/>
              </w:rPr>
              <w:t>0.035%</w:t>
            </w:r>
          </w:p>
        </w:tc>
        <w:tc>
          <w:tcPr>
            <w:tcW w:w="1846" w:type="dxa"/>
            <w:vAlign w:val="center"/>
          </w:tcPr>
          <w:p>
            <w:pPr>
              <w:spacing w:line="240" w:lineRule="auto"/>
              <w:jc w:val="center"/>
              <w:rPr>
                <w:sz w:val="22"/>
                <w:szCs w:val="22"/>
                <w:highlight w:val="none"/>
              </w:rPr>
            </w:pPr>
            <w:r>
              <w:rPr>
                <w:rFonts w:hint="eastAsia"/>
                <w:sz w:val="22"/>
                <w:szCs w:val="22"/>
                <w:highlight w:val="none"/>
              </w:rPr>
              <w:t>0.035%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6" w:type="dxa"/>
            <w:vAlign w:val="center"/>
          </w:tcPr>
          <w:p>
            <w:pPr>
              <w:spacing w:line="240" w:lineRule="auto"/>
              <w:rPr>
                <w:color w:val="000000"/>
                <w:sz w:val="22"/>
                <w:szCs w:val="22"/>
                <w:highlight w:val="none"/>
              </w:rPr>
            </w:pPr>
            <w:r>
              <w:rPr>
                <w:rFonts w:hint="eastAsia"/>
                <w:color w:val="000000"/>
                <w:sz w:val="22"/>
                <w:szCs w:val="22"/>
                <w:highlight w:val="none"/>
              </w:rPr>
              <w:t>10亿元（含）-50亿元</w:t>
            </w:r>
          </w:p>
        </w:tc>
        <w:tc>
          <w:tcPr>
            <w:tcW w:w="1845" w:type="dxa"/>
            <w:vAlign w:val="center"/>
          </w:tcPr>
          <w:p>
            <w:pPr>
              <w:spacing w:line="240" w:lineRule="auto"/>
              <w:jc w:val="center"/>
              <w:rPr>
                <w:sz w:val="22"/>
                <w:szCs w:val="22"/>
                <w:highlight w:val="none"/>
              </w:rPr>
            </w:pPr>
            <w:r>
              <w:rPr>
                <w:rFonts w:hint="eastAsia"/>
                <w:sz w:val="22"/>
                <w:szCs w:val="22"/>
                <w:highlight w:val="none"/>
              </w:rPr>
              <w:t>0.008%</w:t>
            </w:r>
          </w:p>
        </w:tc>
        <w:tc>
          <w:tcPr>
            <w:tcW w:w="1845" w:type="dxa"/>
            <w:vAlign w:val="center"/>
          </w:tcPr>
          <w:p>
            <w:pPr>
              <w:spacing w:line="240" w:lineRule="auto"/>
              <w:jc w:val="center"/>
              <w:rPr>
                <w:sz w:val="22"/>
                <w:szCs w:val="22"/>
                <w:highlight w:val="none"/>
              </w:rPr>
            </w:pPr>
            <w:r>
              <w:rPr>
                <w:rFonts w:hint="eastAsia"/>
                <w:sz w:val="22"/>
                <w:szCs w:val="22"/>
                <w:highlight w:val="none"/>
              </w:rPr>
              <w:t>0.008%</w:t>
            </w:r>
          </w:p>
        </w:tc>
        <w:tc>
          <w:tcPr>
            <w:tcW w:w="1846" w:type="dxa"/>
            <w:vAlign w:val="center"/>
          </w:tcPr>
          <w:p>
            <w:pPr>
              <w:spacing w:line="240" w:lineRule="auto"/>
              <w:jc w:val="center"/>
              <w:rPr>
                <w:sz w:val="22"/>
                <w:szCs w:val="22"/>
                <w:highlight w:val="none"/>
              </w:rPr>
            </w:pPr>
            <w:r>
              <w:rPr>
                <w:rFonts w:hint="eastAsia"/>
                <w:sz w:val="22"/>
                <w:szCs w:val="22"/>
                <w:highlight w:val="none"/>
              </w:rPr>
              <w:t>0.008%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6" w:type="dxa"/>
            <w:vAlign w:val="center"/>
          </w:tcPr>
          <w:p>
            <w:pPr>
              <w:spacing w:line="240" w:lineRule="auto"/>
              <w:rPr>
                <w:color w:val="000000"/>
                <w:sz w:val="22"/>
                <w:szCs w:val="22"/>
                <w:highlight w:val="none"/>
              </w:rPr>
            </w:pPr>
            <w:r>
              <w:rPr>
                <w:rFonts w:hint="eastAsia"/>
                <w:color w:val="000000"/>
                <w:sz w:val="22"/>
                <w:szCs w:val="22"/>
                <w:highlight w:val="none"/>
              </w:rPr>
              <w:t>50亿元（含）-100亿元</w:t>
            </w:r>
          </w:p>
        </w:tc>
        <w:tc>
          <w:tcPr>
            <w:tcW w:w="1845" w:type="dxa"/>
            <w:vAlign w:val="center"/>
          </w:tcPr>
          <w:p>
            <w:pPr>
              <w:spacing w:line="240" w:lineRule="auto"/>
              <w:jc w:val="center"/>
              <w:rPr>
                <w:sz w:val="22"/>
                <w:szCs w:val="22"/>
                <w:highlight w:val="none"/>
              </w:rPr>
            </w:pPr>
            <w:r>
              <w:rPr>
                <w:rFonts w:hint="eastAsia"/>
                <w:sz w:val="22"/>
                <w:szCs w:val="22"/>
                <w:highlight w:val="none"/>
              </w:rPr>
              <w:t>0.006%</w:t>
            </w:r>
          </w:p>
        </w:tc>
        <w:tc>
          <w:tcPr>
            <w:tcW w:w="1845" w:type="dxa"/>
            <w:vAlign w:val="center"/>
          </w:tcPr>
          <w:p>
            <w:pPr>
              <w:spacing w:line="240" w:lineRule="auto"/>
              <w:jc w:val="center"/>
              <w:rPr>
                <w:sz w:val="22"/>
                <w:szCs w:val="22"/>
                <w:highlight w:val="none"/>
              </w:rPr>
            </w:pPr>
            <w:r>
              <w:rPr>
                <w:rFonts w:hint="eastAsia"/>
                <w:sz w:val="22"/>
                <w:szCs w:val="22"/>
                <w:highlight w:val="none"/>
              </w:rPr>
              <w:t>0.006%</w:t>
            </w:r>
          </w:p>
        </w:tc>
        <w:tc>
          <w:tcPr>
            <w:tcW w:w="1846" w:type="dxa"/>
            <w:vAlign w:val="center"/>
          </w:tcPr>
          <w:p>
            <w:pPr>
              <w:spacing w:line="240" w:lineRule="auto"/>
              <w:jc w:val="center"/>
              <w:rPr>
                <w:sz w:val="22"/>
                <w:szCs w:val="22"/>
                <w:highlight w:val="none"/>
              </w:rPr>
            </w:pPr>
            <w:r>
              <w:rPr>
                <w:rFonts w:hint="eastAsia"/>
                <w:sz w:val="22"/>
                <w:szCs w:val="22"/>
                <w:highlight w:val="none"/>
              </w:rPr>
              <w:t>0.006%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6" w:type="dxa"/>
            <w:vAlign w:val="center"/>
          </w:tcPr>
          <w:p>
            <w:pPr>
              <w:spacing w:line="240" w:lineRule="auto"/>
              <w:rPr>
                <w:color w:val="000000"/>
                <w:sz w:val="22"/>
                <w:szCs w:val="22"/>
                <w:highlight w:val="none"/>
              </w:rPr>
            </w:pPr>
            <w:r>
              <w:rPr>
                <w:rFonts w:hint="eastAsia"/>
                <w:color w:val="000000"/>
                <w:sz w:val="22"/>
                <w:szCs w:val="22"/>
                <w:highlight w:val="none"/>
              </w:rPr>
              <w:t>100亿元（含）以上</w:t>
            </w:r>
          </w:p>
        </w:tc>
        <w:tc>
          <w:tcPr>
            <w:tcW w:w="1845" w:type="dxa"/>
            <w:vAlign w:val="center"/>
          </w:tcPr>
          <w:p>
            <w:pPr>
              <w:spacing w:line="240" w:lineRule="auto"/>
              <w:jc w:val="center"/>
              <w:rPr>
                <w:sz w:val="22"/>
                <w:szCs w:val="22"/>
                <w:highlight w:val="none"/>
              </w:rPr>
            </w:pPr>
            <w:r>
              <w:rPr>
                <w:rFonts w:hint="eastAsia"/>
                <w:sz w:val="22"/>
                <w:szCs w:val="22"/>
                <w:highlight w:val="none"/>
              </w:rPr>
              <w:t>0.004%</w:t>
            </w:r>
          </w:p>
        </w:tc>
        <w:tc>
          <w:tcPr>
            <w:tcW w:w="1845" w:type="dxa"/>
            <w:vAlign w:val="center"/>
          </w:tcPr>
          <w:p>
            <w:pPr>
              <w:spacing w:line="240" w:lineRule="auto"/>
              <w:jc w:val="center"/>
              <w:rPr>
                <w:sz w:val="22"/>
                <w:szCs w:val="22"/>
                <w:highlight w:val="none"/>
              </w:rPr>
            </w:pPr>
            <w:r>
              <w:rPr>
                <w:rFonts w:hint="eastAsia"/>
                <w:sz w:val="22"/>
                <w:szCs w:val="22"/>
                <w:highlight w:val="none"/>
              </w:rPr>
              <w:t>0.004%</w:t>
            </w:r>
          </w:p>
        </w:tc>
        <w:tc>
          <w:tcPr>
            <w:tcW w:w="1846" w:type="dxa"/>
            <w:vAlign w:val="center"/>
          </w:tcPr>
          <w:p>
            <w:pPr>
              <w:spacing w:line="240" w:lineRule="auto"/>
              <w:jc w:val="center"/>
              <w:rPr>
                <w:sz w:val="22"/>
                <w:szCs w:val="22"/>
                <w:highlight w:val="none"/>
              </w:rPr>
            </w:pPr>
            <w:r>
              <w:rPr>
                <w:rFonts w:hint="eastAsia"/>
                <w:sz w:val="22"/>
                <w:szCs w:val="22"/>
                <w:highlight w:val="none"/>
              </w:rPr>
              <w:t>0.004%</w:t>
            </w:r>
          </w:p>
        </w:tc>
      </w:tr>
    </w:tbl>
    <w:p>
      <w:pPr>
        <w:tabs>
          <w:tab w:val="clear" w:pos="426"/>
        </w:tabs>
        <w:spacing w:line="300" w:lineRule="auto"/>
        <w:ind w:left="424" w:leftChars="202"/>
        <w:rPr>
          <w:sz w:val="22"/>
          <w:highlight w:val="none"/>
        </w:rPr>
      </w:pPr>
      <w:r>
        <w:rPr>
          <w:rFonts w:hint="eastAsia"/>
          <w:sz w:val="22"/>
          <w:highlight w:val="none"/>
        </w:rPr>
        <w:t>以某5000万项目货物类招标为例：</w:t>
      </w:r>
    </w:p>
    <w:p>
      <w:pPr>
        <w:tabs>
          <w:tab w:val="clear" w:pos="426"/>
        </w:tabs>
        <w:spacing w:line="300" w:lineRule="auto"/>
        <w:ind w:left="424" w:leftChars="202"/>
        <w:rPr>
          <w:sz w:val="22"/>
          <w:highlight w:val="none"/>
        </w:rPr>
      </w:pPr>
      <w:r>
        <w:rPr>
          <w:rFonts w:hint="eastAsia"/>
          <w:sz w:val="22"/>
          <w:highlight w:val="none"/>
        </w:rPr>
        <w:t>其计算基准价</w:t>
      </w:r>
      <w:r>
        <w:rPr>
          <w:sz w:val="22"/>
          <w:highlight w:val="none"/>
        </w:rPr>
        <w:t>为</w:t>
      </w:r>
      <w:r>
        <w:rPr>
          <w:rFonts w:hint="eastAsia"/>
          <w:sz w:val="22"/>
          <w:highlight w:val="none"/>
        </w:rPr>
        <w:t>中标价5000万元</w:t>
      </w:r>
      <w:r>
        <w:rPr>
          <w:sz w:val="22"/>
          <w:highlight w:val="none"/>
        </w:rPr>
        <w:t>，则招标代理</w:t>
      </w:r>
      <w:r>
        <w:rPr>
          <w:rFonts w:hint="eastAsia"/>
          <w:sz w:val="22"/>
          <w:highlight w:val="none"/>
        </w:rPr>
        <w:t>服务</w:t>
      </w:r>
      <w:r>
        <w:rPr>
          <w:sz w:val="22"/>
          <w:highlight w:val="none"/>
        </w:rPr>
        <w:t>费计算为：</w:t>
      </w:r>
    </w:p>
    <w:p>
      <w:pPr>
        <w:tabs>
          <w:tab w:val="clear" w:pos="426"/>
        </w:tabs>
        <w:spacing w:line="300" w:lineRule="auto"/>
        <w:ind w:left="424" w:leftChars="202"/>
        <w:rPr>
          <w:sz w:val="22"/>
          <w:highlight w:val="none"/>
        </w:rPr>
      </w:pPr>
      <w:r>
        <w:rPr>
          <w:rFonts w:hint="eastAsia"/>
          <w:sz w:val="22"/>
          <w:highlight w:val="none"/>
        </w:rPr>
        <w:t>100万元×1.5%=1.5万元</w:t>
      </w:r>
    </w:p>
    <w:p>
      <w:pPr>
        <w:tabs>
          <w:tab w:val="clear" w:pos="426"/>
        </w:tabs>
        <w:spacing w:line="300" w:lineRule="auto"/>
        <w:ind w:left="424" w:leftChars="202"/>
        <w:rPr>
          <w:sz w:val="22"/>
          <w:highlight w:val="none"/>
        </w:rPr>
      </w:pPr>
      <w:r>
        <w:rPr>
          <w:rFonts w:hint="eastAsia"/>
          <w:sz w:val="22"/>
          <w:highlight w:val="none"/>
        </w:rPr>
        <w:t xml:space="preserve">（500-100）万元×1.1%=4.4万元 </w:t>
      </w:r>
    </w:p>
    <w:p>
      <w:pPr>
        <w:tabs>
          <w:tab w:val="clear" w:pos="426"/>
        </w:tabs>
        <w:spacing w:line="300" w:lineRule="auto"/>
        <w:ind w:left="424" w:leftChars="202"/>
        <w:rPr>
          <w:sz w:val="22"/>
          <w:highlight w:val="none"/>
        </w:rPr>
      </w:pPr>
      <w:r>
        <w:rPr>
          <w:rFonts w:hint="eastAsia"/>
          <w:sz w:val="22"/>
          <w:highlight w:val="none"/>
        </w:rPr>
        <w:t xml:space="preserve">（1000-500）万元×0.8%=4万元 </w:t>
      </w:r>
    </w:p>
    <w:p>
      <w:pPr>
        <w:tabs>
          <w:tab w:val="clear" w:pos="426"/>
        </w:tabs>
        <w:spacing w:line="300" w:lineRule="auto"/>
        <w:ind w:left="424" w:leftChars="202"/>
        <w:rPr>
          <w:sz w:val="22"/>
          <w:highlight w:val="none"/>
        </w:rPr>
      </w:pPr>
      <w:r>
        <w:rPr>
          <w:rFonts w:hint="eastAsia"/>
          <w:sz w:val="22"/>
          <w:highlight w:val="none"/>
        </w:rPr>
        <w:t>（5000-1000）万元×0.5%=20万元</w:t>
      </w:r>
    </w:p>
    <w:p>
      <w:pPr>
        <w:tabs>
          <w:tab w:val="clear" w:pos="426"/>
        </w:tabs>
        <w:spacing w:line="300" w:lineRule="auto"/>
        <w:ind w:left="424" w:leftChars="202"/>
        <w:rPr>
          <w:sz w:val="22"/>
          <w:highlight w:val="none"/>
        </w:rPr>
      </w:pPr>
      <w:r>
        <w:rPr>
          <w:rFonts w:hint="eastAsia"/>
          <w:sz w:val="22"/>
          <w:highlight w:val="none"/>
        </w:rPr>
        <w:t>因此，该项目招标代理服务费为：</w:t>
      </w:r>
      <w:r>
        <w:rPr>
          <w:sz w:val="22"/>
          <w:highlight w:val="none"/>
        </w:rPr>
        <w:t>1.5万元+4.4万元+4万元+20万元=29.9万元</w:t>
      </w:r>
    </w:p>
    <w:p>
      <w:pPr>
        <w:tabs>
          <w:tab w:val="clear" w:pos="426"/>
        </w:tabs>
        <w:rPr>
          <w:highlight w:val="none"/>
        </w:rPr>
      </w:pPr>
    </w:p>
    <w:p>
      <w:pPr>
        <w:pStyle w:val="33"/>
        <w:tabs>
          <w:tab w:val="clear" w:pos="426"/>
        </w:tabs>
        <w:rPr>
          <w:highlight w:val="none"/>
        </w:rPr>
      </w:pPr>
    </w:p>
    <w:sectPr>
      <w:pgSz w:w="11906" w:h="16838"/>
      <w:pgMar w:top="1134" w:right="1134" w:bottom="1134" w:left="1418" w:header="851" w:footer="992" w:gutter="0"/>
      <w:cols w:space="425" w:num="1"/>
      <w:titlePg/>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A00002EF" w:usb1="4000004B" w:usb2="00000000" w:usb3="00000000" w:csb0="2000019F" w:csb1="00000000"/>
  </w:font>
  <w:font w:name="Arial Unicode MS">
    <w:panose1 w:val="020B0604020202020204"/>
    <w:charset w:val="86"/>
    <w:family w:val="swiss"/>
    <w:pitch w:val="default"/>
    <w:sig w:usb0="FFFFFFFF" w:usb1="E9FFFFFF" w:usb2="0000003F" w:usb3="00000000" w:csb0="603F01FF" w:csb1="FFFF0000"/>
  </w:font>
  <w:font w:name="Verdana">
    <w:panose1 w:val="020B0604030504040204"/>
    <w:charset w:val="00"/>
    <w:family w:val="swiss"/>
    <w:pitch w:val="default"/>
    <w:sig w:usb0="A10006FF" w:usb1="4000205B" w:usb2="0000001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长城仿宋">
    <w:altName w:val="宋体"/>
    <w:panose1 w:val="00000000000000000000"/>
    <w:charset w:val="86"/>
    <w:family w:val="modern"/>
    <w:pitch w:val="default"/>
    <w:sig w:usb0="00000000" w:usb1="00000000" w:usb2="00000010" w:usb3="00000000" w:csb0="00040000" w:csb1="00000000"/>
  </w:font>
  <w:font w:name="Helvetica">
    <w:altName w:val="Arial"/>
    <w:panose1 w:val="020B0604020202020204"/>
    <w:charset w:val="00"/>
    <w:family w:val="swiss"/>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文鼎粗黑">
    <w:altName w:val="黑体"/>
    <w:panose1 w:val="00000000000000000000"/>
    <w:charset w:val="86"/>
    <w:family w:val="modern"/>
    <w:pitch w:val="default"/>
    <w:sig w:usb0="00000000" w:usb1="00000000" w:usb2="00000010" w:usb3="00000000" w:csb0="00040000" w:csb1="00000000"/>
  </w:font>
  <w:font w:name="Calibri Light">
    <w:panose1 w:val="020F0302020204030204"/>
    <w:charset w:val="00"/>
    <w:family w:val="swiss"/>
    <w:pitch w:val="default"/>
    <w:sig w:usb0="A00002EF" w:usb1="4000207B" w:usb2="00000000"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新宋体">
    <w:panose1 w:val="02010609030101010101"/>
    <w:charset w:val="86"/>
    <w:family w:val="modern"/>
    <w:pitch w:val="default"/>
    <w:sig w:usb0="000000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rPr>
        <w:rStyle w:val="49"/>
      </w:rPr>
    </w:pPr>
    <w:r>
      <w:rPr>
        <w:rStyle w:val="49"/>
      </w:rPr>
      <w:fldChar w:fldCharType="begin"/>
    </w:r>
    <w:r>
      <w:rPr>
        <w:rStyle w:val="49"/>
      </w:rPr>
      <w:instrText xml:space="preserve">PAGE  </w:instrText>
    </w:r>
    <w:r>
      <w:rPr>
        <w:rStyle w:val="49"/>
      </w:rPr>
      <w:fldChar w:fldCharType="separate"/>
    </w:r>
    <w:r>
      <w:rPr>
        <w:rStyle w:val="49"/>
      </w:rPr>
      <w:t>82</w:t>
    </w:r>
    <w:r>
      <w:rPr>
        <w:rStyle w:val="49"/>
      </w:rPr>
      <w:fldChar w:fldCharType="end"/>
    </w:r>
  </w:p>
  <w:p>
    <w:pPr>
      <w:pStyle w:val="2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rPr>
        <w:lang w:val="zh-CN"/>
      </w:rPr>
      <w:fldChar w:fldCharType="begin"/>
    </w:r>
    <w:r>
      <w:rPr>
        <w:lang w:val="zh-CN"/>
      </w:rPr>
      <w:instrText xml:space="preserve"> PAGE   \* MERGEFORMAT </w:instrText>
    </w:r>
    <w:r>
      <w:rPr>
        <w:lang w:val="zh-CN"/>
      </w:rPr>
      <w:fldChar w:fldCharType="separate"/>
    </w:r>
    <w:r>
      <w:rPr>
        <w:lang w:val="zh-CN"/>
      </w:rPr>
      <w:t>42</w:t>
    </w:r>
    <w:r>
      <w:rPr>
        <w:lang w:val="zh-C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rPr>
        <w:lang w:val="zh-CN"/>
      </w:rPr>
      <w:fldChar w:fldCharType="begin"/>
    </w:r>
    <w:r>
      <w:rPr>
        <w:lang w:val="zh-CN"/>
      </w:rPr>
      <w:instrText xml:space="preserve"> PAGE   \* MERGEFORMAT </w:instrText>
    </w:r>
    <w:r>
      <w:rPr>
        <w:lang w:val="zh-CN"/>
      </w:rPr>
      <w:fldChar w:fldCharType="separate"/>
    </w:r>
    <w:r>
      <w:rPr>
        <w:lang w:val="zh-CN"/>
      </w:rPr>
      <w:t>13</w:t>
    </w:r>
    <w:r>
      <w:rPr>
        <w:lang w:val="zh-CN"/>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spacing w:line="240" w:lineRule="auto"/>
    </w:pPr>
    <w:r>
      <w:rPr>
        <w:rFonts w:hint="eastAsia"/>
      </w:rPr>
      <w:t>深圳市深水水务咨询有限公司政府采购招标文件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r>
      <w:rPr>
        <w:rFonts w:hint="eastAsia"/>
      </w:rPr>
      <w:t>深圳市深水水务咨询有限公司政府采购招标文件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lvl w:ilvl="0" w:tentative="0">
      <w:start w:val="1"/>
      <w:numFmt w:val="bullet"/>
      <w:pStyle w:val="123"/>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0000000A"/>
    <w:multiLevelType w:val="multilevel"/>
    <w:tmpl w:val="0000000A"/>
    <w:lvl w:ilvl="0" w:tentative="0">
      <w:start w:val="1"/>
      <w:numFmt w:val="bullet"/>
      <w:pStyle w:val="210"/>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2">
    <w:nsid w:val="00DB0158"/>
    <w:multiLevelType w:val="multilevel"/>
    <w:tmpl w:val="00DB0158"/>
    <w:lvl w:ilvl="0" w:tentative="0">
      <w:start w:val="1"/>
      <w:numFmt w:val="bullet"/>
      <w:pStyle w:val="92"/>
      <w:lvlText w:val=""/>
      <w:lvlJc w:val="left"/>
      <w:pPr>
        <w:ind w:left="780" w:hanging="420"/>
      </w:pPr>
      <w:rPr>
        <w:rFonts w:hint="default" w:ascii="Wingdings" w:hAnsi="Wingdings"/>
      </w:rPr>
    </w:lvl>
    <w:lvl w:ilvl="1" w:tentative="0">
      <w:start w:val="1"/>
      <w:numFmt w:val="bullet"/>
      <w:lvlText w:val=""/>
      <w:lvlJc w:val="left"/>
      <w:pPr>
        <w:ind w:left="1200" w:hanging="420"/>
      </w:pPr>
      <w:rPr>
        <w:rFonts w:hint="default" w:ascii="Wingdings" w:hAnsi="Wingdings"/>
      </w:rPr>
    </w:lvl>
    <w:lvl w:ilvl="2" w:tentative="0">
      <w:start w:val="1"/>
      <w:numFmt w:val="bullet"/>
      <w:lvlText w:val=""/>
      <w:lvlJc w:val="left"/>
      <w:pPr>
        <w:ind w:left="1620" w:hanging="420"/>
      </w:pPr>
      <w:rPr>
        <w:rFonts w:hint="default" w:ascii="Wingdings" w:hAnsi="Wingdings"/>
      </w:rPr>
    </w:lvl>
    <w:lvl w:ilvl="3" w:tentative="0">
      <w:start w:val="1"/>
      <w:numFmt w:val="bullet"/>
      <w:lvlText w:val=""/>
      <w:lvlJc w:val="left"/>
      <w:pPr>
        <w:ind w:left="2040" w:hanging="420"/>
      </w:pPr>
      <w:rPr>
        <w:rFonts w:hint="default" w:ascii="Wingdings" w:hAnsi="Wingdings"/>
      </w:rPr>
    </w:lvl>
    <w:lvl w:ilvl="4" w:tentative="0">
      <w:start w:val="1"/>
      <w:numFmt w:val="bullet"/>
      <w:lvlText w:val=""/>
      <w:lvlJc w:val="left"/>
      <w:pPr>
        <w:ind w:left="2460" w:hanging="420"/>
      </w:pPr>
      <w:rPr>
        <w:rFonts w:hint="default" w:ascii="Wingdings" w:hAnsi="Wingdings"/>
      </w:rPr>
    </w:lvl>
    <w:lvl w:ilvl="5" w:tentative="0">
      <w:start w:val="1"/>
      <w:numFmt w:val="bullet"/>
      <w:lvlText w:val=""/>
      <w:lvlJc w:val="left"/>
      <w:pPr>
        <w:ind w:left="2880" w:hanging="420"/>
      </w:pPr>
      <w:rPr>
        <w:rFonts w:hint="default" w:ascii="Wingdings" w:hAnsi="Wingdings"/>
      </w:rPr>
    </w:lvl>
    <w:lvl w:ilvl="6" w:tentative="0">
      <w:start w:val="1"/>
      <w:numFmt w:val="bullet"/>
      <w:lvlText w:val=""/>
      <w:lvlJc w:val="left"/>
      <w:pPr>
        <w:ind w:left="3300" w:hanging="420"/>
      </w:pPr>
      <w:rPr>
        <w:rFonts w:hint="default" w:ascii="Wingdings" w:hAnsi="Wingdings"/>
      </w:rPr>
    </w:lvl>
    <w:lvl w:ilvl="7" w:tentative="0">
      <w:start w:val="1"/>
      <w:numFmt w:val="bullet"/>
      <w:lvlText w:val=""/>
      <w:lvlJc w:val="left"/>
      <w:pPr>
        <w:ind w:left="3720" w:hanging="420"/>
      </w:pPr>
      <w:rPr>
        <w:rFonts w:hint="default" w:ascii="Wingdings" w:hAnsi="Wingdings"/>
      </w:rPr>
    </w:lvl>
    <w:lvl w:ilvl="8" w:tentative="0">
      <w:start w:val="1"/>
      <w:numFmt w:val="bullet"/>
      <w:lvlText w:val=""/>
      <w:lvlJc w:val="left"/>
      <w:pPr>
        <w:ind w:left="4140" w:hanging="420"/>
      </w:pPr>
      <w:rPr>
        <w:rFonts w:hint="default" w:ascii="Wingdings" w:hAnsi="Wingdings"/>
      </w:rPr>
    </w:lvl>
  </w:abstractNum>
  <w:abstractNum w:abstractNumId="3">
    <w:nsid w:val="01D320DE"/>
    <w:multiLevelType w:val="multilevel"/>
    <w:tmpl w:val="01D320DE"/>
    <w:lvl w:ilvl="0" w:tentative="0">
      <w:start w:val="1"/>
      <w:numFmt w:val="chineseCountingThousand"/>
      <w:pStyle w:val="133"/>
      <w:lvlText w:val="第%1章"/>
      <w:lvlJc w:val="left"/>
      <w:pPr>
        <w:tabs>
          <w:tab w:val="left" w:pos="1440"/>
        </w:tabs>
        <w:ind w:left="0" w:firstLine="0"/>
      </w:pPr>
      <w:rPr>
        <w:rFonts w:hint="eastAsia"/>
      </w:rPr>
    </w:lvl>
    <w:lvl w:ilvl="1" w:tentative="0">
      <w:start w:val="1"/>
      <w:numFmt w:val="decimal"/>
      <w:pStyle w:val="134"/>
      <w:isLgl/>
      <w:lvlText w:val="%1.%2"/>
      <w:lvlJc w:val="left"/>
      <w:pPr>
        <w:tabs>
          <w:tab w:val="left" w:pos="720"/>
        </w:tabs>
        <w:ind w:left="0" w:firstLine="0"/>
      </w:pPr>
      <w:rPr>
        <w:rFonts w:hint="eastAsia"/>
      </w:rPr>
    </w:lvl>
    <w:lvl w:ilvl="2" w:tentative="0">
      <w:start w:val="1"/>
      <w:numFmt w:val="decimal"/>
      <w:pStyle w:val="135"/>
      <w:isLgl/>
      <w:suff w:val="space"/>
      <w:lvlText w:val="%1.%2.%3"/>
      <w:lvlJc w:val="left"/>
      <w:pPr>
        <w:ind w:left="0" w:firstLine="0"/>
      </w:pPr>
      <w:rPr>
        <w:rFonts w:hint="eastAsia"/>
      </w:rPr>
    </w:lvl>
    <w:lvl w:ilvl="3" w:tentative="0">
      <w:start w:val="1"/>
      <w:numFmt w:val="decimal"/>
      <w:lvlText w:val=""/>
      <w:lvlJc w:val="left"/>
      <w:pPr>
        <w:tabs>
          <w:tab w:val="left" w:pos="360"/>
        </w:tabs>
        <w:ind w:left="0" w:firstLine="0"/>
      </w:pPr>
      <w:rPr>
        <w:rFonts w:hint="eastAsia"/>
      </w:rPr>
    </w:lvl>
    <w:lvl w:ilvl="4" w:tentative="0">
      <w:start w:val="1"/>
      <w:numFmt w:val="decimal"/>
      <w:lvlText w:val=""/>
      <w:lvlJc w:val="left"/>
      <w:pPr>
        <w:tabs>
          <w:tab w:val="left" w:pos="360"/>
        </w:tabs>
        <w:ind w:left="0" w:firstLine="0"/>
      </w:pPr>
      <w:rPr>
        <w:rFonts w:hint="eastAsia"/>
      </w:rPr>
    </w:lvl>
    <w:lvl w:ilvl="5" w:tentative="0">
      <w:start w:val="1"/>
      <w:numFmt w:val="decimal"/>
      <w:lvlText w:val=""/>
      <w:lvlJc w:val="left"/>
      <w:pPr>
        <w:tabs>
          <w:tab w:val="left" w:pos="360"/>
        </w:tabs>
        <w:ind w:left="0" w:firstLine="0"/>
      </w:pPr>
      <w:rPr>
        <w:rFonts w:hint="eastAsia"/>
      </w:rPr>
    </w:lvl>
    <w:lvl w:ilvl="6" w:tentative="0">
      <w:start w:val="1"/>
      <w:numFmt w:val="decimal"/>
      <w:lvlText w:val=""/>
      <w:lvlJc w:val="left"/>
      <w:pPr>
        <w:tabs>
          <w:tab w:val="left" w:pos="360"/>
        </w:tabs>
        <w:ind w:left="0" w:firstLine="0"/>
      </w:pPr>
      <w:rPr>
        <w:rFonts w:hint="eastAsia"/>
      </w:rPr>
    </w:lvl>
    <w:lvl w:ilvl="7" w:tentative="0">
      <w:start w:val="1"/>
      <w:numFmt w:val="decimal"/>
      <w:lvlText w:val=""/>
      <w:lvlJc w:val="left"/>
      <w:pPr>
        <w:tabs>
          <w:tab w:val="left" w:pos="360"/>
        </w:tabs>
        <w:ind w:left="0" w:firstLine="0"/>
      </w:pPr>
      <w:rPr>
        <w:rFonts w:hint="eastAsia"/>
      </w:rPr>
    </w:lvl>
    <w:lvl w:ilvl="8" w:tentative="0">
      <w:start w:val="1"/>
      <w:numFmt w:val="decimal"/>
      <w:lvlText w:val=""/>
      <w:lvlJc w:val="left"/>
      <w:pPr>
        <w:tabs>
          <w:tab w:val="left" w:pos="360"/>
        </w:tabs>
        <w:ind w:left="0" w:firstLine="0"/>
      </w:pPr>
      <w:rPr>
        <w:rFonts w:hint="eastAsia"/>
      </w:rPr>
    </w:lvl>
  </w:abstractNum>
  <w:abstractNum w:abstractNumId="4">
    <w:nsid w:val="0A3F3F51"/>
    <w:multiLevelType w:val="multilevel"/>
    <w:tmpl w:val="0A3F3F51"/>
    <w:lvl w:ilvl="0" w:tentative="0">
      <w:start w:val="1"/>
      <w:numFmt w:val="chineseCountingThousand"/>
      <w:suff w:val="nothing"/>
      <w:lvlText w:val="%1、"/>
      <w:lvlJc w:val="left"/>
      <w:pPr>
        <w:ind w:left="3120" w:firstLine="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16AE5335"/>
    <w:multiLevelType w:val="multilevel"/>
    <w:tmpl w:val="16AE5335"/>
    <w:lvl w:ilvl="0" w:tentative="0">
      <w:start w:val="1"/>
      <w:numFmt w:val="decimal"/>
      <w:pStyle w:val="87"/>
      <w:lvlText w:val="图4-%1."/>
      <w:lvlJc w:val="center"/>
      <w:pPr>
        <w:tabs>
          <w:tab w:val="left" w:pos="737"/>
        </w:tabs>
        <w:ind w:left="737" w:hanging="449"/>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1A1E1C4B"/>
    <w:multiLevelType w:val="multilevel"/>
    <w:tmpl w:val="1A1E1C4B"/>
    <w:lvl w:ilvl="0" w:tentative="0">
      <w:start w:val="1"/>
      <w:numFmt w:val="chineseCountingThousand"/>
      <w:pStyle w:val="91"/>
      <w:lvlText w:val="第%1章"/>
      <w:lvlJc w:val="left"/>
      <w:pPr>
        <w:ind w:left="420" w:hanging="420"/>
      </w:pPr>
      <w:rPr>
        <w:rFonts w:hint="eastAsia"/>
      </w:rPr>
    </w:lvl>
    <w:lvl w:ilvl="1" w:tentative="0">
      <w:start w:val="1"/>
      <w:numFmt w:val="decimal"/>
      <w:lvlText w:val="1.%2"/>
      <w:lvlJc w:val="left"/>
      <w:pPr>
        <w:ind w:left="420" w:hanging="420"/>
      </w:pPr>
      <w:rPr>
        <w:rFonts w:hint="default" w:ascii="Calibri Light" w:hAnsi="Calibri Light" w:eastAsia="宋体" w:cs="Calibri"/>
        <w:sz w:val="32"/>
        <w:szCs w:val="32"/>
      </w:rPr>
    </w:lvl>
    <w:lvl w:ilvl="2" w:tentative="0">
      <w:start w:val="1"/>
      <w:numFmt w:val="decimal"/>
      <w:lvlText w:val="1.1.%3"/>
      <w:lvlJc w:val="left"/>
      <w:pPr>
        <w:ind w:left="420" w:firstLine="147"/>
      </w:pPr>
      <w:rPr>
        <w:rFonts w:hint="eastAsia"/>
      </w:r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22FD7025"/>
    <w:multiLevelType w:val="multilevel"/>
    <w:tmpl w:val="22FD7025"/>
    <w:lvl w:ilvl="0" w:tentative="0">
      <w:start w:val="1"/>
      <w:numFmt w:val="chineseCountingThousand"/>
      <w:suff w:val="nothing"/>
      <w:lvlText w:val="%1、"/>
      <w:lvlJc w:val="left"/>
      <w:pPr>
        <w:ind w:left="0" w:firstLine="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24212C01"/>
    <w:multiLevelType w:val="multilevel"/>
    <w:tmpl w:val="24212C01"/>
    <w:lvl w:ilvl="0" w:tentative="0">
      <w:start w:val="1"/>
      <w:numFmt w:val="chineseCountingThousand"/>
      <w:lvlText w:val="%1、"/>
      <w:lvlJc w:val="left"/>
      <w:pPr>
        <w:tabs>
          <w:tab w:val="left" w:pos="420"/>
        </w:tabs>
        <w:ind w:left="420" w:hanging="420"/>
      </w:pPr>
      <w:rPr>
        <w:rFonts w:hint="eastAsia"/>
      </w:rPr>
    </w:lvl>
    <w:lvl w:ilvl="1" w:tentative="0">
      <w:start w:val="1"/>
      <w:numFmt w:val="decimal"/>
      <w:suff w:val="nothing"/>
      <w:lvlText w:val="%2."/>
      <w:lvlJc w:val="left"/>
      <w:pPr>
        <w:ind w:left="840" w:hanging="420"/>
      </w:pPr>
      <w:rPr>
        <w:rFonts w:hint="eastAsia" w:ascii="宋体" w:hAnsi="宋体" w:eastAsia="宋体"/>
        <w:b w:val="0"/>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9">
    <w:nsid w:val="28200F5E"/>
    <w:multiLevelType w:val="multilevel"/>
    <w:tmpl w:val="28200F5E"/>
    <w:lvl w:ilvl="0" w:tentative="0">
      <w:start w:val="1"/>
      <w:numFmt w:val="decimal"/>
      <w:pStyle w:val="95"/>
      <w:lvlText w:val="%1)"/>
      <w:lvlJc w:val="left"/>
      <w:pPr>
        <w:ind w:left="420" w:hanging="420"/>
      </w:pPr>
      <w:rPr>
        <w:rFonts w:hint="default"/>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10">
    <w:nsid w:val="2D2470EB"/>
    <w:multiLevelType w:val="multilevel"/>
    <w:tmpl w:val="2D2470EB"/>
    <w:lvl w:ilvl="0" w:tentative="0">
      <w:start w:val="1"/>
      <w:numFmt w:val="bullet"/>
      <w:lvlText w:val=""/>
      <w:lvlJc w:val="left"/>
      <w:pPr>
        <w:ind w:left="420" w:hanging="420"/>
      </w:pPr>
      <w:rPr>
        <w:rFonts w:hint="default" w:ascii="Wingdings" w:hAnsi="Wingdings"/>
      </w:rPr>
    </w:lvl>
    <w:lvl w:ilvl="1" w:tentative="0">
      <w:start w:val="1"/>
      <w:numFmt w:val="decimal"/>
      <w:pStyle w:val="262"/>
      <w:lvlText w:val="%2)"/>
      <w:lvlJc w:val="left"/>
      <w:pPr>
        <w:ind w:left="840" w:hanging="420"/>
      </w:pPr>
      <w:rPr>
        <w:rFonts w:hint="default"/>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1">
    <w:nsid w:val="2E8F6958"/>
    <w:multiLevelType w:val="multilevel"/>
    <w:tmpl w:val="2E8F6958"/>
    <w:lvl w:ilvl="0" w:tentative="0">
      <w:start w:val="1"/>
      <w:numFmt w:val="decimal"/>
      <w:pStyle w:val="243"/>
      <w:lvlText w:val="%1)"/>
      <w:lvlJc w:val="left"/>
      <w:pPr>
        <w:ind w:left="620" w:hanging="420"/>
      </w:pPr>
    </w:lvl>
    <w:lvl w:ilvl="1" w:tentative="0">
      <w:start w:val="1"/>
      <w:numFmt w:val="lowerLetter"/>
      <w:lvlText w:val="%2)"/>
      <w:lvlJc w:val="left"/>
      <w:pPr>
        <w:ind w:left="1040" w:hanging="420"/>
      </w:pPr>
    </w:lvl>
    <w:lvl w:ilvl="2" w:tentative="0">
      <w:start w:val="1"/>
      <w:numFmt w:val="lowerRoman"/>
      <w:lvlText w:val="%3."/>
      <w:lvlJc w:val="right"/>
      <w:pPr>
        <w:ind w:left="1460" w:hanging="420"/>
      </w:pPr>
    </w:lvl>
    <w:lvl w:ilvl="3" w:tentative="0">
      <w:start w:val="1"/>
      <w:numFmt w:val="decimal"/>
      <w:lvlText w:val="%4."/>
      <w:lvlJc w:val="left"/>
      <w:pPr>
        <w:ind w:left="1880" w:hanging="420"/>
      </w:pPr>
    </w:lvl>
    <w:lvl w:ilvl="4" w:tentative="0">
      <w:start w:val="1"/>
      <w:numFmt w:val="lowerLetter"/>
      <w:lvlText w:val="%5)"/>
      <w:lvlJc w:val="left"/>
      <w:pPr>
        <w:ind w:left="2300" w:hanging="420"/>
      </w:pPr>
    </w:lvl>
    <w:lvl w:ilvl="5" w:tentative="0">
      <w:start w:val="1"/>
      <w:numFmt w:val="lowerRoman"/>
      <w:lvlText w:val="%6."/>
      <w:lvlJc w:val="right"/>
      <w:pPr>
        <w:ind w:left="2720" w:hanging="420"/>
      </w:pPr>
    </w:lvl>
    <w:lvl w:ilvl="6" w:tentative="0">
      <w:start w:val="1"/>
      <w:numFmt w:val="decimal"/>
      <w:lvlText w:val="%7."/>
      <w:lvlJc w:val="left"/>
      <w:pPr>
        <w:ind w:left="3140" w:hanging="420"/>
      </w:pPr>
    </w:lvl>
    <w:lvl w:ilvl="7" w:tentative="0">
      <w:start w:val="1"/>
      <w:numFmt w:val="lowerLetter"/>
      <w:lvlText w:val="%8)"/>
      <w:lvlJc w:val="left"/>
      <w:pPr>
        <w:ind w:left="3560" w:hanging="420"/>
      </w:pPr>
    </w:lvl>
    <w:lvl w:ilvl="8" w:tentative="0">
      <w:start w:val="1"/>
      <w:numFmt w:val="lowerRoman"/>
      <w:lvlText w:val="%9."/>
      <w:lvlJc w:val="right"/>
      <w:pPr>
        <w:ind w:left="3980" w:hanging="420"/>
      </w:pPr>
    </w:lvl>
  </w:abstractNum>
  <w:abstractNum w:abstractNumId="12">
    <w:nsid w:val="30555EAE"/>
    <w:multiLevelType w:val="multilevel"/>
    <w:tmpl w:val="30555EAE"/>
    <w:lvl w:ilvl="0" w:tentative="0">
      <w:start w:val="1"/>
      <w:numFmt w:val="decimal"/>
      <w:lvlText w:val="%1."/>
      <w:lvlJc w:val="left"/>
      <w:pPr>
        <w:tabs>
          <w:tab w:val="left" w:pos="420"/>
        </w:tabs>
        <w:ind w:left="0" w:firstLine="420"/>
      </w:pPr>
      <w:rPr>
        <w:rFonts w:hint="eastAsia"/>
      </w:rPr>
    </w:lvl>
    <w:lvl w:ilvl="1" w:tentative="0">
      <w:start w:val="1"/>
      <w:numFmt w:val="decimal"/>
      <w:lvlText w:val="(%2)"/>
      <w:lvlJc w:val="left"/>
      <w:pPr>
        <w:tabs>
          <w:tab w:val="left" w:pos="420"/>
        </w:tabs>
        <w:ind w:left="800" w:hanging="380"/>
      </w:pPr>
      <w:rPr>
        <w:rFonts w:hint="eastAsia"/>
      </w:rPr>
    </w:lvl>
    <w:lvl w:ilvl="2" w:tentative="0">
      <w:start w:val="1"/>
      <w:numFmt w:val="none"/>
      <w:lvlText w:val=""/>
      <w:lvlJc w:val="left"/>
      <w:pPr>
        <w:tabs>
          <w:tab w:val="left" w:pos="-328"/>
        </w:tabs>
        <w:ind w:left="-1462" w:firstLine="400"/>
      </w:pPr>
      <w:rPr>
        <w:rFonts w:hint="eastAsia"/>
      </w:rPr>
    </w:lvl>
    <w:lvl w:ilvl="3" w:tentative="0">
      <w:start w:val="1"/>
      <w:numFmt w:val="none"/>
      <w:lvlText w:val=""/>
      <w:lvlJc w:val="left"/>
      <w:pPr>
        <w:tabs>
          <w:tab w:val="left" w:pos="-1059"/>
        </w:tabs>
        <w:ind w:left="-2193" w:firstLine="400"/>
      </w:pPr>
      <w:rPr>
        <w:rFonts w:hint="eastAsia"/>
      </w:rPr>
    </w:lvl>
    <w:lvl w:ilvl="4" w:tentative="0">
      <w:start w:val="1"/>
      <w:numFmt w:val="none"/>
      <w:lvlText w:val=""/>
      <w:lvlJc w:val="left"/>
      <w:pPr>
        <w:tabs>
          <w:tab w:val="left" w:pos="-1790"/>
        </w:tabs>
        <w:ind w:left="-2924" w:firstLine="400"/>
      </w:pPr>
      <w:rPr>
        <w:rFonts w:hint="eastAsia"/>
      </w:rPr>
    </w:lvl>
    <w:lvl w:ilvl="5" w:tentative="0">
      <w:start w:val="1"/>
      <w:numFmt w:val="decimal"/>
      <w:lvlText w:val="%1.%2.%3.%4.%5.%6"/>
      <w:lvlJc w:val="left"/>
      <w:pPr>
        <w:tabs>
          <w:tab w:val="left" w:pos="-2521"/>
        </w:tabs>
        <w:ind w:left="-3655" w:firstLine="400"/>
      </w:pPr>
      <w:rPr>
        <w:rFonts w:hint="eastAsia"/>
      </w:rPr>
    </w:lvl>
    <w:lvl w:ilvl="6" w:tentative="0">
      <w:start w:val="1"/>
      <w:numFmt w:val="decimal"/>
      <w:lvlText w:val="%1.%2.%3.%4.%5.%6.%7"/>
      <w:lvlJc w:val="left"/>
      <w:pPr>
        <w:tabs>
          <w:tab w:val="left" w:pos="-3252"/>
        </w:tabs>
        <w:ind w:left="-4386" w:firstLine="400"/>
      </w:pPr>
      <w:rPr>
        <w:rFonts w:hint="eastAsia"/>
      </w:rPr>
    </w:lvl>
    <w:lvl w:ilvl="7" w:tentative="0">
      <w:start w:val="1"/>
      <w:numFmt w:val="decimal"/>
      <w:lvlText w:val="%1.%2.%3.%4.%5.%6.%7.%8"/>
      <w:lvlJc w:val="left"/>
      <w:pPr>
        <w:tabs>
          <w:tab w:val="left" w:pos="-3983"/>
        </w:tabs>
        <w:ind w:left="-5117" w:firstLine="400"/>
      </w:pPr>
      <w:rPr>
        <w:rFonts w:hint="eastAsia"/>
      </w:rPr>
    </w:lvl>
    <w:lvl w:ilvl="8" w:tentative="0">
      <w:start w:val="1"/>
      <w:numFmt w:val="decimal"/>
      <w:lvlText w:val="%1.%2.%3.%4.%5.%6.%7.%8.%9"/>
      <w:lvlJc w:val="left"/>
      <w:pPr>
        <w:tabs>
          <w:tab w:val="left" w:pos="-4714"/>
        </w:tabs>
        <w:ind w:left="-5848" w:firstLine="400"/>
      </w:pPr>
      <w:rPr>
        <w:rFonts w:hint="eastAsia"/>
      </w:rPr>
    </w:lvl>
  </w:abstractNum>
  <w:abstractNum w:abstractNumId="13">
    <w:nsid w:val="37D3508F"/>
    <w:multiLevelType w:val="multilevel"/>
    <w:tmpl w:val="37D3508F"/>
    <w:lvl w:ilvl="0" w:tentative="0">
      <w:start w:val="5"/>
      <w:numFmt w:val="decimal"/>
      <w:lvlText w:val="%1"/>
      <w:lvlJc w:val="left"/>
      <w:pPr>
        <w:tabs>
          <w:tab w:val="left" w:pos="425"/>
        </w:tabs>
        <w:ind w:left="425" w:hanging="425"/>
      </w:pPr>
      <w:rPr>
        <w:rFonts w:hint="eastAsia"/>
      </w:rPr>
    </w:lvl>
    <w:lvl w:ilvl="1" w:tentative="0">
      <w:start w:val="1"/>
      <w:numFmt w:val="decimal"/>
      <w:pStyle w:val="86"/>
      <w:lvlText w:val="%1.%2"/>
      <w:lvlJc w:val="left"/>
      <w:pPr>
        <w:tabs>
          <w:tab w:val="left" w:pos="510"/>
        </w:tabs>
        <w:ind w:left="420" w:hanging="420"/>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4">
    <w:nsid w:val="3C287EEF"/>
    <w:multiLevelType w:val="multilevel"/>
    <w:tmpl w:val="3C287EEF"/>
    <w:lvl w:ilvl="0" w:tentative="0">
      <w:start w:val="1"/>
      <w:numFmt w:val="decimal"/>
      <w:pStyle w:val="259"/>
      <w:lvlText w:val="%1)"/>
      <w:lvlJc w:val="left"/>
      <w:pPr>
        <w:ind w:left="420" w:hanging="420"/>
      </w:pPr>
      <w:rPr>
        <w:rFonts w:ascii="Times New Roman" w:hAnsi="Times New Roman" w:cs="Times New Roman"/>
        <w:b w:val="0"/>
        <w:bCs w:val="0"/>
        <w:i w:val="0"/>
        <w:iCs w:val="0"/>
        <w:caps w:val="0"/>
        <w:smallCaps w:val="0"/>
        <w:strike w:val="0"/>
        <w:dstrike w:val="0"/>
        <w:outline w:val="0"/>
        <w:shadow w:val="0"/>
        <w:emboss w:val="0"/>
        <w:imprint w:val="0"/>
        <w:vanish w:val="0"/>
        <w:spacing w:val="0"/>
        <w:position w:val="0"/>
        <w:u w:val="none"/>
        <w:vertAlign w:val="baseline"/>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4AF300E9"/>
    <w:multiLevelType w:val="multilevel"/>
    <w:tmpl w:val="4AF300E9"/>
    <w:lvl w:ilvl="0" w:tentative="0">
      <w:start w:val="2"/>
      <w:numFmt w:val="decimal"/>
      <w:lvlText w:val="(%1)"/>
      <w:lvlJc w:val="left"/>
      <w:pPr>
        <w:tabs>
          <w:tab w:val="left" w:pos="1200"/>
        </w:tabs>
        <w:ind w:left="1200" w:hanging="360"/>
      </w:pPr>
      <w:rPr>
        <w:rFonts w:hint="default"/>
      </w:rPr>
    </w:lvl>
    <w:lvl w:ilvl="1" w:tentative="0">
      <w:start w:val="1"/>
      <w:numFmt w:val="decimal"/>
      <w:suff w:val="nothing"/>
      <w:lvlText w:val="%2．"/>
      <w:lvlJc w:val="left"/>
      <w:pPr>
        <w:ind w:left="1620" w:hanging="360"/>
      </w:pPr>
      <w:rPr>
        <w:rFonts w:hint="default" w:ascii="宋体" w:hAnsi="宋体" w:eastAsia="宋体"/>
      </w:rPr>
    </w:lvl>
    <w:lvl w:ilvl="2" w:tentative="0">
      <w:start w:val="1"/>
      <w:numFmt w:val="lowerRoman"/>
      <w:lvlText w:val="%3."/>
      <w:lvlJc w:val="right"/>
      <w:pPr>
        <w:tabs>
          <w:tab w:val="left" w:pos="2100"/>
        </w:tabs>
        <w:ind w:left="2100" w:hanging="420"/>
      </w:pPr>
      <w:rPr>
        <w:rFonts w:hint="eastAsia"/>
      </w:rPr>
    </w:lvl>
    <w:lvl w:ilvl="3" w:tentative="0">
      <w:start w:val="1"/>
      <w:numFmt w:val="decimal"/>
      <w:lvlText w:val="%4."/>
      <w:lvlJc w:val="left"/>
      <w:pPr>
        <w:tabs>
          <w:tab w:val="left" w:pos="2520"/>
        </w:tabs>
        <w:ind w:left="2520" w:hanging="420"/>
      </w:pPr>
      <w:rPr>
        <w:rFonts w:hint="eastAsia"/>
      </w:rPr>
    </w:lvl>
    <w:lvl w:ilvl="4" w:tentative="0">
      <w:start w:val="1"/>
      <w:numFmt w:val="lowerLetter"/>
      <w:lvlText w:val="%5)"/>
      <w:lvlJc w:val="left"/>
      <w:pPr>
        <w:tabs>
          <w:tab w:val="left" w:pos="2940"/>
        </w:tabs>
        <w:ind w:left="2940" w:hanging="420"/>
      </w:pPr>
      <w:rPr>
        <w:rFonts w:hint="eastAsia"/>
      </w:rPr>
    </w:lvl>
    <w:lvl w:ilvl="5" w:tentative="0">
      <w:start w:val="1"/>
      <w:numFmt w:val="lowerRoman"/>
      <w:lvlText w:val="%6."/>
      <w:lvlJc w:val="right"/>
      <w:pPr>
        <w:tabs>
          <w:tab w:val="left" w:pos="3360"/>
        </w:tabs>
        <w:ind w:left="3360" w:hanging="420"/>
      </w:pPr>
      <w:rPr>
        <w:rFonts w:hint="eastAsia"/>
      </w:rPr>
    </w:lvl>
    <w:lvl w:ilvl="6" w:tentative="0">
      <w:start w:val="1"/>
      <w:numFmt w:val="decimal"/>
      <w:lvlText w:val="%7."/>
      <w:lvlJc w:val="left"/>
      <w:pPr>
        <w:tabs>
          <w:tab w:val="left" w:pos="3780"/>
        </w:tabs>
        <w:ind w:left="3780" w:hanging="420"/>
      </w:pPr>
      <w:rPr>
        <w:rFonts w:hint="eastAsia"/>
      </w:rPr>
    </w:lvl>
    <w:lvl w:ilvl="7" w:tentative="0">
      <w:start w:val="1"/>
      <w:numFmt w:val="lowerLetter"/>
      <w:lvlText w:val="%8)"/>
      <w:lvlJc w:val="left"/>
      <w:pPr>
        <w:tabs>
          <w:tab w:val="left" w:pos="4200"/>
        </w:tabs>
        <w:ind w:left="4200" w:hanging="420"/>
      </w:pPr>
      <w:rPr>
        <w:rFonts w:hint="eastAsia"/>
      </w:rPr>
    </w:lvl>
    <w:lvl w:ilvl="8" w:tentative="0">
      <w:start w:val="1"/>
      <w:numFmt w:val="lowerRoman"/>
      <w:lvlText w:val="%9."/>
      <w:lvlJc w:val="right"/>
      <w:pPr>
        <w:tabs>
          <w:tab w:val="left" w:pos="4620"/>
        </w:tabs>
        <w:ind w:left="4620" w:hanging="420"/>
      </w:pPr>
      <w:rPr>
        <w:rFonts w:hint="eastAsia"/>
      </w:rPr>
    </w:lvl>
  </w:abstractNum>
  <w:abstractNum w:abstractNumId="16">
    <w:nsid w:val="4CAA55CD"/>
    <w:multiLevelType w:val="multilevel"/>
    <w:tmpl w:val="4CAA55CD"/>
    <w:lvl w:ilvl="0" w:tentative="0">
      <w:start w:val="1"/>
      <w:numFmt w:val="bullet"/>
      <w:pStyle w:val="13"/>
      <w:lvlText w:val=""/>
      <w:lvlJc w:val="left"/>
      <w:pPr>
        <w:ind w:left="988" w:hanging="420"/>
      </w:pPr>
      <w:rPr>
        <w:rFonts w:hint="default" w:ascii="Wingdings" w:hAnsi="Wingdings"/>
      </w:rPr>
    </w:lvl>
    <w:lvl w:ilvl="1" w:tentative="0">
      <w:start w:val="1"/>
      <w:numFmt w:val="bullet"/>
      <w:lvlText w:val=""/>
      <w:lvlJc w:val="left"/>
      <w:pPr>
        <w:ind w:left="1400" w:hanging="420"/>
      </w:pPr>
      <w:rPr>
        <w:rFonts w:hint="default" w:ascii="Wingdings" w:hAnsi="Wingdings"/>
      </w:rPr>
    </w:lvl>
    <w:lvl w:ilvl="2" w:tentative="0">
      <w:start w:val="1"/>
      <w:numFmt w:val="bullet"/>
      <w:lvlText w:val=""/>
      <w:lvlJc w:val="left"/>
      <w:pPr>
        <w:ind w:left="1820" w:hanging="420"/>
      </w:pPr>
      <w:rPr>
        <w:rFonts w:hint="default" w:ascii="Wingdings" w:hAnsi="Wingdings"/>
      </w:rPr>
    </w:lvl>
    <w:lvl w:ilvl="3" w:tentative="0">
      <w:start w:val="1"/>
      <w:numFmt w:val="bullet"/>
      <w:lvlText w:val=""/>
      <w:lvlJc w:val="left"/>
      <w:pPr>
        <w:ind w:left="2240" w:hanging="420"/>
      </w:pPr>
      <w:rPr>
        <w:rFonts w:hint="default" w:ascii="Wingdings" w:hAnsi="Wingdings"/>
      </w:rPr>
    </w:lvl>
    <w:lvl w:ilvl="4" w:tentative="0">
      <w:start w:val="1"/>
      <w:numFmt w:val="bullet"/>
      <w:lvlText w:val=""/>
      <w:lvlJc w:val="left"/>
      <w:pPr>
        <w:ind w:left="2660" w:hanging="420"/>
      </w:pPr>
      <w:rPr>
        <w:rFonts w:hint="default" w:ascii="Wingdings" w:hAnsi="Wingdings"/>
      </w:rPr>
    </w:lvl>
    <w:lvl w:ilvl="5" w:tentative="0">
      <w:start w:val="1"/>
      <w:numFmt w:val="bullet"/>
      <w:lvlText w:val=""/>
      <w:lvlJc w:val="left"/>
      <w:pPr>
        <w:ind w:left="3080" w:hanging="420"/>
      </w:pPr>
      <w:rPr>
        <w:rFonts w:hint="default" w:ascii="Wingdings" w:hAnsi="Wingdings"/>
      </w:rPr>
    </w:lvl>
    <w:lvl w:ilvl="6" w:tentative="0">
      <w:start w:val="1"/>
      <w:numFmt w:val="bullet"/>
      <w:lvlText w:val=""/>
      <w:lvlJc w:val="left"/>
      <w:pPr>
        <w:ind w:left="3500" w:hanging="420"/>
      </w:pPr>
      <w:rPr>
        <w:rFonts w:hint="default" w:ascii="Wingdings" w:hAnsi="Wingdings"/>
      </w:rPr>
    </w:lvl>
    <w:lvl w:ilvl="7" w:tentative="0">
      <w:start w:val="1"/>
      <w:numFmt w:val="bullet"/>
      <w:lvlText w:val=""/>
      <w:lvlJc w:val="left"/>
      <w:pPr>
        <w:ind w:left="3920" w:hanging="420"/>
      </w:pPr>
      <w:rPr>
        <w:rFonts w:hint="default" w:ascii="Wingdings" w:hAnsi="Wingdings"/>
      </w:rPr>
    </w:lvl>
    <w:lvl w:ilvl="8" w:tentative="0">
      <w:start w:val="1"/>
      <w:numFmt w:val="bullet"/>
      <w:lvlText w:val=""/>
      <w:lvlJc w:val="left"/>
      <w:pPr>
        <w:ind w:left="4340" w:hanging="420"/>
      </w:pPr>
      <w:rPr>
        <w:rFonts w:hint="default" w:ascii="Wingdings" w:hAnsi="Wingdings"/>
      </w:rPr>
    </w:lvl>
  </w:abstractNum>
  <w:abstractNum w:abstractNumId="17">
    <w:nsid w:val="570941F9"/>
    <w:multiLevelType w:val="multilevel"/>
    <w:tmpl w:val="570941F9"/>
    <w:lvl w:ilvl="0" w:tentative="0">
      <w:start w:val="1"/>
      <w:numFmt w:val="decimal"/>
      <w:pStyle w:val="138"/>
      <w:lvlText w:val="%1."/>
      <w:lvlJc w:val="left"/>
      <w:pPr>
        <w:tabs>
          <w:tab w:val="left" w:pos="900"/>
        </w:tabs>
        <w:ind w:left="90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8">
    <w:nsid w:val="5D4A37DC"/>
    <w:multiLevelType w:val="multilevel"/>
    <w:tmpl w:val="5D4A37DC"/>
    <w:lvl w:ilvl="0" w:tentative="0">
      <w:start w:val="1"/>
      <w:numFmt w:val="decimal"/>
      <w:pStyle w:val="249"/>
      <w:lvlText w:val="%1)"/>
      <w:lvlJc w:val="left"/>
      <w:pPr>
        <w:ind w:left="982" w:hanging="420"/>
      </w:pPr>
    </w:lvl>
    <w:lvl w:ilvl="1" w:tentative="0">
      <w:start w:val="1"/>
      <w:numFmt w:val="lowerLetter"/>
      <w:pStyle w:val="246"/>
      <w:lvlText w:val="%2)"/>
      <w:lvlJc w:val="left"/>
      <w:pPr>
        <w:ind w:left="1402" w:hanging="420"/>
      </w:pPr>
    </w:lvl>
    <w:lvl w:ilvl="2" w:tentative="0">
      <w:start w:val="1"/>
      <w:numFmt w:val="lowerRoman"/>
      <w:pStyle w:val="247"/>
      <w:lvlText w:val="%3."/>
      <w:lvlJc w:val="right"/>
      <w:pPr>
        <w:ind w:left="1822" w:hanging="420"/>
      </w:pPr>
    </w:lvl>
    <w:lvl w:ilvl="3" w:tentative="0">
      <w:start w:val="1"/>
      <w:numFmt w:val="decimal"/>
      <w:lvlText w:val="%4."/>
      <w:lvlJc w:val="left"/>
      <w:pPr>
        <w:ind w:left="2242" w:hanging="420"/>
      </w:pPr>
    </w:lvl>
    <w:lvl w:ilvl="4" w:tentative="0">
      <w:start w:val="1"/>
      <w:numFmt w:val="lowerLetter"/>
      <w:lvlText w:val="%5)"/>
      <w:lvlJc w:val="left"/>
      <w:pPr>
        <w:ind w:left="2662" w:hanging="420"/>
      </w:pPr>
    </w:lvl>
    <w:lvl w:ilvl="5" w:tentative="0">
      <w:start w:val="1"/>
      <w:numFmt w:val="lowerRoman"/>
      <w:lvlText w:val="%6."/>
      <w:lvlJc w:val="right"/>
      <w:pPr>
        <w:ind w:left="3082" w:hanging="420"/>
      </w:pPr>
    </w:lvl>
    <w:lvl w:ilvl="6" w:tentative="0">
      <w:start w:val="1"/>
      <w:numFmt w:val="decimal"/>
      <w:lvlText w:val="%7."/>
      <w:lvlJc w:val="left"/>
      <w:pPr>
        <w:ind w:left="3502" w:hanging="420"/>
      </w:pPr>
    </w:lvl>
    <w:lvl w:ilvl="7" w:tentative="0">
      <w:start w:val="1"/>
      <w:numFmt w:val="lowerLetter"/>
      <w:lvlText w:val="%8)"/>
      <w:lvlJc w:val="left"/>
      <w:pPr>
        <w:ind w:left="3922" w:hanging="420"/>
      </w:pPr>
    </w:lvl>
    <w:lvl w:ilvl="8" w:tentative="0">
      <w:start w:val="1"/>
      <w:numFmt w:val="lowerRoman"/>
      <w:lvlText w:val="%9."/>
      <w:lvlJc w:val="right"/>
      <w:pPr>
        <w:ind w:left="4342" w:hanging="420"/>
      </w:pPr>
    </w:lvl>
  </w:abstractNum>
  <w:abstractNum w:abstractNumId="19">
    <w:nsid w:val="5F8239D3"/>
    <w:multiLevelType w:val="singleLevel"/>
    <w:tmpl w:val="5F8239D3"/>
    <w:lvl w:ilvl="0" w:tentative="0">
      <w:start w:val="1"/>
      <w:numFmt w:val="bullet"/>
      <w:pStyle w:val="161"/>
      <w:lvlText w:val=""/>
      <w:lvlJc w:val="left"/>
      <w:pPr>
        <w:tabs>
          <w:tab w:val="left" w:pos="360"/>
        </w:tabs>
        <w:ind w:left="360" w:hanging="360"/>
      </w:pPr>
      <w:rPr>
        <w:rFonts w:hint="default" w:ascii="Wingdings" w:hAnsi="Wingdings"/>
      </w:rPr>
    </w:lvl>
  </w:abstractNum>
  <w:abstractNum w:abstractNumId="20">
    <w:nsid w:val="64253DA1"/>
    <w:multiLevelType w:val="multilevel"/>
    <w:tmpl w:val="64253DA1"/>
    <w:lvl w:ilvl="0" w:tentative="0">
      <w:start w:val="1"/>
      <w:numFmt w:val="decimal"/>
      <w:suff w:val="nothing"/>
      <w:lvlText w:val="%1"/>
      <w:lvlJc w:val="left"/>
      <w:pPr>
        <w:ind w:left="596" w:hanging="420"/>
      </w:pPr>
      <w:rPr>
        <w:rFonts w:hint="eastAsia"/>
      </w:rPr>
    </w:lvl>
    <w:lvl w:ilvl="1" w:tentative="0">
      <w:start w:val="1"/>
      <w:numFmt w:val="lowerLetter"/>
      <w:lvlText w:val="%2)"/>
      <w:lvlJc w:val="left"/>
      <w:pPr>
        <w:tabs>
          <w:tab w:val="left" w:pos="1016"/>
        </w:tabs>
        <w:ind w:left="1016" w:hanging="420"/>
      </w:pPr>
      <w:rPr>
        <w:rFonts w:hint="eastAsia"/>
      </w:rPr>
    </w:lvl>
    <w:lvl w:ilvl="2" w:tentative="0">
      <w:start w:val="1"/>
      <w:numFmt w:val="lowerRoman"/>
      <w:lvlText w:val="%3."/>
      <w:lvlJc w:val="right"/>
      <w:pPr>
        <w:tabs>
          <w:tab w:val="left" w:pos="1436"/>
        </w:tabs>
        <w:ind w:left="1436" w:hanging="420"/>
      </w:pPr>
      <w:rPr>
        <w:rFonts w:hint="eastAsia"/>
      </w:rPr>
    </w:lvl>
    <w:lvl w:ilvl="3" w:tentative="0">
      <w:start w:val="1"/>
      <w:numFmt w:val="decimal"/>
      <w:lvlText w:val="%4."/>
      <w:lvlJc w:val="left"/>
      <w:pPr>
        <w:tabs>
          <w:tab w:val="left" w:pos="1856"/>
        </w:tabs>
        <w:ind w:left="1856" w:hanging="420"/>
      </w:pPr>
      <w:rPr>
        <w:rFonts w:hint="eastAsia"/>
      </w:rPr>
    </w:lvl>
    <w:lvl w:ilvl="4" w:tentative="0">
      <w:start w:val="1"/>
      <w:numFmt w:val="lowerLetter"/>
      <w:lvlText w:val="%5)"/>
      <w:lvlJc w:val="left"/>
      <w:pPr>
        <w:tabs>
          <w:tab w:val="left" w:pos="2276"/>
        </w:tabs>
        <w:ind w:left="2276" w:hanging="420"/>
      </w:pPr>
      <w:rPr>
        <w:rFonts w:hint="eastAsia"/>
      </w:rPr>
    </w:lvl>
    <w:lvl w:ilvl="5" w:tentative="0">
      <w:start w:val="1"/>
      <w:numFmt w:val="lowerRoman"/>
      <w:lvlText w:val="%6."/>
      <w:lvlJc w:val="right"/>
      <w:pPr>
        <w:tabs>
          <w:tab w:val="left" w:pos="2696"/>
        </w:tabs>
        <w:ind w:left="2696" w:hanging="420"/>
      </w:pPr>
      <w:rPr>
        <w:rFonts w:hint="eastAsia"/>
      </w:rPr>
    </w:lvl>
    <w:lvl w:ilvl="6" w:tentative="0">
      <w:start w:val="1"/>
      <w:numFmt w:val="decimal"/>
      <w:lvlText w:val="%7."/>
      <w:lvlJc w:val="left"/>
      <w:pPr>
        <w:tabs>
          <w:tab w:val="left" w:pos="3116"/>
        </w:tabs>
        <w:ind w:left="3116" w:hanging="420"/>
      </w:pPr>
      <w:rPr>
        <w:rFonts w:hint="eastAsia"/>
      </w:rPr>
    </w:lvl>
    <w:lvl w:ilvl="7" w:tentative="0">
      <w:start w:val="1"/>
      <w:numFmt w:val="lowerLetter"/>
      <w:lvlText w:val="%8)"/>
      <w:lvlJc w:val="left"/>
      <w:pPr>
        <w:tabs>
          <w:tab w:val="left" w:pos="3536"/>
        </w:tabs>
        <w:ind w:left="3536" w:hanging="420"/>
      </w:pPr>
      <w:rPr>
        <w:rFonts w:hint="eastAsia"/>
      </w:rPr>
    </w:lvl>
    <w:lvl w:ilvl="8" w:tentative="0">
      <w:start w:val="1"/>
      <w:numFmt w:val="lowerRoman"/>
      <w:lvlText w:val="%9."/>
      <w:lvlJc w:val="right"/>
      <w:pPr>
        <w:tabs>
          <w:tab w:val="left" w:pos="3956"/>
        </w:tabs>
        <w:ind w:left="3956" w:hanging="420"/>
      </w:pPr>
      <w:rPr>
        <w:rFonts w:hint="eastAsia"/>
      </w:rPr>
    </w:lvl>
  </w:abstractNum>
  <w:abstractNum w:abstractNumId="21">
    <w:nsid w:val="682F2EA2"/>
    <w:multiLevelType w:val="multilevel"/>
    <w:tmpl w:val="682F2EA2"/>
    <w:lvl w:ilvl="0" w:tentative="0">
      <w:start w:val="1"/>
      <w:numFmt w:val="chineseCountingThousand"/>
      <w:pStyle w:val="229"/>
      <w:lvlText w:val="第%1章"/>
      <w:lvlJc w:val="left"/>
      <w:pPr>
        <w:tabs>
          <w:tab w:val="left" w:pos="340"/>
        </w:tabs>
        <w:ind w:left="0" w:firstLine="0"/>
      </w:pPr>
      <w:rPr>
        <w:rFonts w:hint="eastAsia"/>
      </w:rPr>
    </w:lvl>
    <w:lvl w:ilvl="1" w:tentative="0">
      <w:start w:val="1"/>
      <w:numFmt w:val="decimal"/>
      <w:pStyle w:val="230"/>
      <w:isLgl/>
      <w:suff w:val="space"/>
      <w:lvlText w:val="%1.%2"/>
      <w:lvlJc w:val="left"/>
      <w:pPr>
        <w:ind w:left="0" w:firstLine="0"/>
      </w:pPr>
      <w:rPr>
        <w:rFonts w:hint="eastAsia"/>
      </w:rPr>
    </w:lvl>
    <w:lvl w:ilvl="2" w:tentative="0">
      <w:start w:val="1"/>
      <w:numFmt w:val="decimal"/>
      <w:pStyle w:val="232"/>
      <w:isLgl/>
      <w:suff w:val="space"/>
      <w:lvlText w:val="%1.%2.%3"/>
      <w:lvlJc w:val="left"/>
      <w:pPr>
        <w:ind w:left="0" w:firstLine="0"/>
      </w:pPr>
      <w:rPr>
        <w:rFonts w:hint="eastAsia"/>
      </w:rPr>
    </w:lvl>
    <w:lvl w:ilvl="3" w:tentative="0">
      <w:start w:val="1"/>
      <w:numFmt w:val="decimal"/>
      <w:pStyle w:val="234"/>
      <w:isLgl/>
      <w:suff w:val="space"/>
      <w:lvlText w:val="%1.%2.%3.%4"/>
      <w:lvlJc w:val="left"/>
      <w:pPr>
        <w:ind w:left="0" w:firstLine="0"/>
      </w:pPr>
      <w:rPr>
        <w:b w:val="0"/>
        <w:bCs w:val="0"/>
        <w:i w:val="0"/>
        <w:iCs w:val="0"/>
        <w:caps w:val="0"/>
        <w:smallCaps w:val="0"/>
        <w:strike w:val="0"/>
        <w:dstrike w:val="0"/>
        <w:outline w:val="0"/>
        <w:shadow w:val="0"/>
        <w:emboss w:val="0"/>
        <w:imprint w:val="0"/>
        <w:vanish w:val="0"/>
        <w:spacing w:val="0"/>
        <w:position w:val="0"/>
        <w:u w:val="none"/>
        <w:vertAlign w:val="baseline"/>
      </w:rPr>
    </w:lvl>
    <w:lvl w:ilvl="4" w:tentative="0">
      <w:start w:val="1"/>
      <w:numFmt w:val="decimal"/>
      <w:pStyle w:val="236"/>
      <w:isLgl/>
      <w:suff w:val="space"/>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abstractNum w:abstractNumId="22">
    <w:nsid w:val="6D314D68"/>
    <w:multiLevelType w:val="multilevel"/>
    <w:tmpl w:val="6D314D68"/>
    <w:lvl w:ilvl="0" w:tentative="0">
      <w:start w:val="1"/>
      <w:numFmt w:val="decimal"/>
      <w:pStyle w:val="254"/>
      <w:lvlText w:val="%1)"/>
      <w:lvlJc w:val="left"/>
      <w:pPr>
        <w:ind w:left="980" w:hanging="420"/>
      </w:pPr>
      <w:rPr>
        <w:b w:val="0"/>
        <w:bCs w:val="0"/>
        <w:i w:val="0"/>
        <w:iCs w:val="0"/>
        <w:caps w:val="0"/>
        <w:smallCaps w:val="0"/>
        <w:strike w:val="0"/>
        <w:dstrike w:val="0"/>
        <w:outline w:val="0"/>
        <w:shadow w:val="0"/>
        <w:emboss w:val="0"/>
        <w:imprint w:val="0"/>
        <w:vanish w:val="0"/>
        <w:spacing w:val="0"/>
        <w:position w:val="0"/>
        <w:u w:val="none"/>
        <w:vertAlign w:val="baseline"/>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23">
    <w:nsid w:val="734F656C"/>
    <w:multiLevelType w:val="multilevel"/>
    <w:tmpl w:val="734F656C"/>
    <w:lvl w:ilvl="0" w:tentative="0">
      <w:start w:val="1"/>
      <w:numFmt w:val="decimal"/>
      <w:suff w:val="nothing"/>
      <w:lvlText w:val="%1"/>
      <w:lvlJc w:val="left"/>
      <w:pPr>
        <w:ind w:left="846"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4">
    <w:nsid w:val="7B0E2BCA"/>
    <w:multiLevelType w:val="multilevel"/>
    <w:tmpl w:val="7B0E2BCA"/>
    <w:lvl w:ilvl="0" w:tentative="0">
      <w:start w:val="1"/>
      <w:numFmt w:val="bullet"/>
      <w:pStyle w:val="129"/>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5">
    <w:nsid w:val="7DD51E1B"/>
    <w:multiLevelType w:val="multilevel"/>
    <w:tmpl w:val="7DD51E1B"/>
    <w:lvl w:ilvl="0" w:tentative="0">
      <w:start w:val="1"/>
      <w:numFmt w:val="decimal"/>
      <w:pStyle w:val="219"/>
      <w:suff w:val="space"/>
      <w:lvlText w:val="%1"/>
      <w:lvlJc w:val="left"/>
      <w:pPr>
        <w:ind w:left="0" w:firstLine="0"/>
      </w:pPr>
      <w:rPr>
        <w:rFonts w:hint="eastAsia"/>
      </w:rPr>
    </w:lvl>
    <w:lvl w:ilvl="1" w:tentative="0">
      <w:start w:val="1"/>
      <w:numFmt w:val="decimal"/>
      <w:pStyle w:val="221"/>
      <w:suff w:val="space"/>
      <w:lvlText w:val="%1.%2"/>
      <w:lvlJc w:val="left"/>
      <w:pPr>
        <w:ind w:left="0" w:firstLine="0"/>
      </w:pPr>
      <w:rPr>
        <w:rFonts w:hint="eastAsia"/>
      </w:rPr>
    </w:lvl>
    <w:lvl w:ilvl="2" w:tentative="0">
      <w:start w:val="1"/>
      <w:numFmt w:val="decimal"/>
      <w:pStyle w:val="223"/>
      <w:suff w:val="space"/>
      <w:lvlText w:val="%1.%2.%3"/>
      <w:lvlJc w:val="left"/>
      <w:pPr>
        <w:ind w:left="0" w:firstLine="0"/>
      </w:pPr>
      <w:rPr>
        <w:rFonts w:hint="eastAsia"/>
      </w:rPr>
    </w:lvl>
    <w:lvl w:ilvl="3" w:tentative="0">
      <w:start w:val="1"/>
      <w:numFmt w:val="decimal"/>
      <w:pStyle w:val="225"/>
      <w:suff w:val="space"/>
      <w:lvlText w:val="%1.%2.%3.%4"/>
      <w:lvlJc w:val="left"/>
      <w:pPr>
        <w:ind w:left="0" w:firstLine="0"/>
      </w:pPr>
      <w:rPr>
        <w:rFonts w:hint="eastAsia"/>
      </w:rPr>
    </w:lvl>
    <w:lvl w:ilvl="4" w:tentative="0">
      <w:start w:val="1"/>
      <w:numFmt w:val="decimal"/>
      <w:pStyle w:val="227"/>
      <w:suff w:val="space"/>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abstractNum w:abstractNumId="26">
    <w:nsid w:val="7F499738"/>
    <w:multiLevelType w:val="singleLevel"/>
    <w:tmpl w:val="7F499738"/>
    <w:lvl w:ilvl="0" w:tentative="0">
      <w:start w:val="1"/>
      <w:numFmt w:val="chineseCounting"/>
      <w:suff w:val="nothing"/>
      <w:lvlText w:val="%1、"/>
      <w:lvlJc w:val="left"/>
      <w:rPr>
        <w:rFonts w:hint="eastAsia"/>
      </w:rPr>
    </w:lvl>
  </w:abstractNum>
  <w:num w:numId="1">
    <w:abstractNumId w:val="16"/>
  </w:num>
  <w:num w:numId="2">
    <w:abstractNumId w:val="13"/>
  </w:num>
  <w:num w:numId="3">
    <w:abstractNumId w:val="5"/>
  </w:num>
  <w:num w:numId="4">
    <w:abstractNumId w:val="6"/>
  </w:num>
  <w:num w:numId="5">
    <w:abstractNumId w:val="2"/>
  </w:num>
  <w:num w:numId="6">
    <w:abstractNumId w:val="9"/>
  </w:num>
  <w:num w:numId="7">
    <w:abstractNumId w:val="12"/>
    <w:lvlOverride w:ilvl="0">
      <w:lvl w:ilvl="0" w:tentative="1">
        <w:start w:val="1"/>
        <w:numFmt w:val="decimal"/>
        <w:pStyle w:val="115"/>
        <w:lvlText w:val="%1."/>
        <w:lvlJc w:val="left"/>
        <w:pPr>
          <w:tabs>
            <w:tab w:val="left" w:pos="420"/>
          </w:tabs>
          <w:ind w:left="0" w:firstLine="420"/>
        </w:pPr>
        <w:rPr>
          <w:rFonts w:hint="eastAsia"/>
        </w:rPr>
      </w:lvl>
    </w:lvlOverride>
    <w:lvlOverride w:ilvl="1">
      <w:lvl w:ilvl="1" w:tentative="1">
        <w:start w:val="1"/>
        <w:numFmt w:val="decimal"/>
        <w:pStyle w:val="116"/>
        <w:lvlText w:val="(%2)"/>
        <w:lvlJc w:val="left"/>
        <w:pPr>
          <w:tabs>
            <w:tab w:val="left" w:pos="420"/>
          </w:tabs>
          <w:ind w:left="800" w:hanging="380"/>
        </w:pPr>
        <w:rPr>
          <w:rFonts w:hint="eastAsia"/>
        </w:rPr>
      </w:lvl>
    </w:lvlOverride>
    <w:lvlOverride w:ilvl="2">
      <w:lvl w:ilvl="2" w:tentative="1">
        <w:start w:val="1"/>
        <w:numFmt w:val="none"/>
        <w:lvlText w:val=""/>
        <w:lvlJc w:val="left"/>
        <w:pPr>
          <w:tabs>
            <w:tab w:val="left" w:pos="-328"/>
          </w:tabs>
          <w:ind w:left="-1462" w:firstLine="400"/>
        </w:pPr>
        <w:rPr>
          <w:rFonts w:hint="eastAsia"/>
        </w:rPr>
      </w:lvl>
    </w:lvlOverride>
    <w:lvlOverride w:ilvl="3">
      <w:lvl w:ilvl="3" w:tentative="1">
        <w:start w:val="1"/>
        <w:numFmt w:val="none"/>
        <w:lvlText w:val=""/>
        <w:lvlJc w:val="left"/>
        <w:pPr>
          <w:tabs>
            <w:tab w:val="left" w:pos="-1059"/>
          </w:tabs>
          <w:ind w:left="-2193" w:firstLine="400"/>
        </w:pPr>
        <w:rPr>
          <w:rFonts w:hint="eastAsia"/>
        </w:rPr>
      </w:lvl>
    </w:lvlOverride>
    <w:lvlOverride w:ilvl="4">
      <w:lvl w:ilvl="4" w:tentative="1">
        <w:start w:val="1"/>
        <w:numFmt w:val="none"/>
        <w:lvlText w:val=""/>
        <w:lvlJc w:val="left"/>
        <w:pPr>
          <w:tabs>
            <w:tab w:val="left" w:pos="-1790"/>
          </w:tabs>
          <w:ind w:left="-2924" w:firstLine="400"/>
        </w:pPr>
        <w:rPr>
          <w:rFonts w:hint="eastAsia"/>
        </w:rPr>
      </w:lvl>
    </w:lvlOverride>
    <w:lvlOverride w:ilvl="5">
      <w:lvl w:ilvl="5" w:tentative="1">
        <w:start w:val="1"/>
        <w:numFmt w:val="decimal"/>
        <w:lvlText w:val="%1.%2.%3.%4.%5.%6"/>
        <w:lvlJc w:val="left"/>
        <w:pPr>
          <w:tabs>
            <w:tab w:val="left" w:pos="-2521"/>
          </w:tabs>
          <w:ind w:left="-3655" w:firstLine="400"/>
        </w:pPr>
        <w:rPr>
          <w:rFonts w:hint="eastAsia"/>
        </w:rPr>
      </w:lvl>
    </w:lvlOverride>
    <w:lvlOverride w:ilvl="6">
      <w:lvl w:ilvl="6" w:tentative="1">
        <w:start w:val="1"/>
        <w:numFmt w:val="decimal"/>
        <w:lvlText w:val="%1.%2.%3.%4.%5.%6.%7"/>
        <w:lvlJc w:val="left"/>
        <w:pPr>
          <w:tabs>
            <w:tab w:val="left" w:pos="-3252"/>
          </w:tabs>
          <w:ind w:left="-4386" w:firstLine="400"/>
        </w:pPr>
        <w:rPr>
          <w:rFonts w:hint="eastAsia"/>
        </w:rPr>
      </w:lvl>
    </w:lvlOverride>
    <w:lvlOverride w:ilvl="7">
      <w:lvl w:ilvl="7" w:tentative="1">
        <w:start w:val="1"/>
        <w:numFmt w:val="decimal"/>
        <w:lvlText w:val="%1.%2.%3.%4.%5.%6.%7.%8"/>
        <w:lvlJc w:val="left"/>
        <w:pPr>
          <w:tabs>
            <w:tab w:val="left" w:pos="-3983"/>
          </w:tabs>
          <w:ind w:left="-5117" w:firstLine="400"/>
        </w:pPr>
        <w:rPr>
          <w:rFonts w:hint="eastAsia"/>
        </w:rPr>
      </w:lvl>
    </w:lvlOverride>
    <w:lvlOverride w:ilvl="8">
      <w:lvl w:ilvl="8" w:tentative="1">
        <w:start w:val="1"/>
        <w:numFmt w:val="decimal"/>
        <w:lvlText w:val="%1.%2.%3.%4.%5.%6.%7.%8.%9"/>
        <w:lvlJc w:val="left"/>
        <w:pPr>
          <w:tabs>
            <w:tab w:val="left" w:pos="-4714"/>
          </w:tabs>
          <w:ind w:left="-5848" w:firstLine="400"/>
        </w:pPr>
        <w:rPr>
          <w:rFonts w:hint="eastAsia"/>
        </w:rPr>
      </w:lvl>
    </w:lvlOverride>
  </w:num>
  <w:num w:numId="8">
    <w:abstractNumId w:val="0"/>
  </w:num>
  <w:num w:numId="9">
    <w:abstractNumId w:val="24"/>
  </w:num>
  <w:num w:numId="10">
    <w:abstractNumId w:val="3"/>
  </w:num>
  <w:num w:numId="11">
    <w:abstractNumId w:val="17"/>
  </w:num>
  <w:num w:numId="12">
    <w:abstractNumId w:val="19"/>
  </w:num>
  <w:num w:numId="13">
    <w:abstractNumId w:val="1"/>
  </w:num>
  <w:num w:numId="14">
    <w:abstractNumId w:val="25"/>
  </w:num>
  <w:num w:numId="15">
    <w:abstractNumId w:val="21"/>
  </w:num>
  <w:num w:numId="16">
    <w:abstractNumId w:val="11"/>
  </w:num>
  <w:num w:numId="17">
    <w:abstractNumId w:val="18"/>
  </w:num>
  <w:num w:numId="18">
    <w:abstractNumId w:val="22"/>
  </w:num>
  <w:num w:numId="19">
    <w:abstractNumId w:val="14"/>
  </w:num>
  <w:num w:numId="20">
    <w:abstractNumId w:val="10"/>
  </w:num>
  <w:num w:numId="21">
    <w:abstractNumId w:val="23"/>
  </w:num>
  <w:num w:numId="22">
    <w:abstractNumId w:val="20"/>
  </w:num>
  <w:num w:numId="23">
    <w:abstractNumId w:val="26"/>
  </w:num>
  <w:num w:numId="24">
    <w:abstractNumId w:val="4"/>
  </w:num>
  <w:num w:numId="25">
    <w:abstractNumId w:val="7"/>
  </w:num>
  <w:num w:numId="26">
    <w:abstractNumId w:val="8"/>
  </w:num>
  <w:num w:numId="2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hideSpellingErrors/>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6C5683"/>
    <w:rsid w:val="0000037F"/>
    <w:rsid w:val="000006B9"/>
    <w:rsid w:val="00000941"/>
    <w:rsid w:val="00000AFB"/>
    <w:rsid w:val="00000DA4"/>
    <w:rsid w:val="0000145B"/>
    <w:rsid w:val="000014DA"/>
    <w:rsid w:val="0000159C"/>
    <w:rsid w:val="000015FD"/>
    <w:rsid w:val="00001AEA"/>
    <w:rsid w:val="00001BB5"/>
    <w:rsid w:val="00001CE0"/>
    <w:rsid w:val="00002710"/>
    <w:rsid w:val="00002C5F"/>
    <w:rsid w:val="00002F9F"/>
    <w:rsid w:val="0000306D"/>
    <w:rsid w:val="00003085"/>
    <w:rsid w:val="000036F7"/>
    <w:rsid w:val="000038EB"/>
    <w:rsid w:val="00003CC2"/>
    <w:rsid w:val="00004161"/>
    <w:rsid w:val="00004251"/>
    <w:rsid w:val="00004FCD"/>
    <w:rsid w:val="00005215"/>
    <w:rsid w:val="00005A10"/>
    <w:rsid w:val="00005AB7"/>
    <w:rsid w:val="00005AFC"/>
    <w:rsid w:val="00006D66"/>
    <w:rsid w:val="00007964"/>
    <w:rsid w:val="00010102"/>
    <w:rsid w:val="00010C00"/>
    <w:rsid w:val="000110A3"/>
    <w:rsid w:val="00011118"/>
    <w:rsid w:val="0001175B"/>
    <w:rsid w:val="00011A0C"/>
    <w:rsid w:val="000123F9"/>
    <w:rsid w:val="000124E2"/>
    <w:rsid w:val="000125F8"/>
    <w:rsid w:val="0001275D"/>
    <w:rsid w:val="00012C0A"/>
    <w:rsid w:val="00013948"/>
    <w:rsid w:val="0001457B"/>
    <w:rsid w:val="00014E10"/>
    <w:rsid w:val="00014F58"/>
    <w:rsid w:val="000151D5"/>
    <w:rsid w:val="000154D8"/>
    <w:rsid w:val="00015968"/>
    <w:rsid w:val="00015E98"/>
    <w:rsid w:val="00015F4B"/>
    <w:rsid w:val="0001610E"/>
    <w:rsid w:val="0001634A"/>
    <w:rsid w:val="00016BDA"/>
    <w:rsid w:val="00016D58"/>
    <w:rsid w:val="00017112"/>
    <w:rsid w:val="0001716B"/>
    <w:rsid w:val="00017540"/>
    <w:rsid w:val="0001792D"/>
    <w:rsid w:val="0001794C"/>
    <w:rsid w:val="00017C15"/>
    <w:rsid w:val="00020321"/>
    <w:rsid w:val="00020B36"/>
    <w:rsid w:val="000211EA"/>
    <w:rsid w:val="0002152F"/>
    <w:rsid w:val="000218B0"/>
    <w:rsid w:val="00022196"/>
    <w:rsid w:val="000223E5"/>
    <w:rsid w:val="00022B27"/>
    <w:rsid w:val="00022E19"/>
    <w:rsid w:val="000234B2"/>
    <w:rsid w:val="0002355C"/>
    <w:rsid w:val="0002382E"/>
    <w:rsid w:val="00023B0F"/>
    <w:rsid w:val="0002401D"/>
    <w:rsid w:val="000242CF"/>
    <w:rsid w:val="000244E1"/>
    <w:rsid w:val="000245FE"/>
    <w:rsid w:val="000252D1"/>
    <w:rsid w:val="00025673"/>
    <w:rsid w:val="00025E39"/>
    <w:rsid w:val="00026596"/>
    <w:rsid w:val="00026A09"/>
    <w:rsid w:val="0002787E"/>
    <w:rsid w:val="0003072D"/>
    <w:rsid w:val="000307E2"/>
    <w:rsid w:val="0003148B"/>
    <w:rsid w:val="0003163D"/>
    <w:rsid w:val="00031700"/>
    <w:rsid w:val="00031E25"/>
    <w:rsid w:val="00031F18"/>
    <w:rsid w:val="00031F6E"/>
    <w:rsid w:val="00032090"/>
    <w:rsid w:val="000325A7"/>
    <w:rsid w:val="0003373D"/>
    <w:rsid w:val="00033B7B"/>
    <w:rsid w:val="000343AB"/>
    <w:rsid w:val="00034B41"/>
    <w:rsid w:val="0003503F"/>
    <w:rsid w:val="00035983"/>
    <w:rsid w:val="000359C1"/>
    <w:rsid w:val="0003617B"/>
    <w:rsid w:val="000372DD"/>
    <w:rsid w:val="000377F6"/>
    <w:rsid w:val="00037A3B"/>
    <w:rsid w:val="00037F52"/>
    <w:rsid w:val="00037F54"/>
    <w:rsid w:val="0004000A"/>
    <w:rsid w:val="0004001C"/>
    <w:rsid w:val="000401D1"/>
    <w:rsid w:val="00040D3C"/>
    <w:rsid w:val="0004120F"/>
    <w:rsid w:val="00041B72"/>
    <w:rsid w:val="00041B9A"/>
    <w:rsid w:val="00041E1A"/>
    <w:rsid w:val="00042632"/>
    <w:rsid w:val="0004282A"/>
    <w:rsid w:val="00043131"/>
    <w:rsid w:val="000436E0"/>
    <w:rsid w:val="00043A7B"/>
    <w:rsid w:val="00043A89"/>
    <w:rsid w:val="00044204"/>
    <w:rsid w:val="00044591"/>
    <w:rsid w:val="00044926"/>
    <w:rsid w:val="00044E2A"/>
    <w:rsid w:val="00045157"/>
    <w:rsid w:val="00045720"/>
    <w:rsid w:val="00045739"/>
    <w:rsid w:val="00045AD6"/>
    <w:rsid w:val="00045D2B"/>
    <w:rsid w:val="0004692C"/>
    <w:rsid w:val="000474C8"/>
    <w:rsid w:val="000500A8"/>
    <w:rsid w:val="000510B6"/>
    <w:rsid w:val="00051C09"/>
    <w:rsid w:val="00051D3E"/>
    <w:rsid w:val="00051F3F"/>
    <w:rsid w:val="000523BE"/>
    <w:rsid w:val="00052BC1"/>
    <w:rsid w:val="00053715"/>
    <w:rsid w:val="0005381C"/>
    <w:rsid w:val="000538BE"/>
    <w:rsid w:val="00053A25"/>
    <w:rsid w:val="00055014"/>
    <w:rsid w:val="000557BC"/>
    <w:rsid w:val="0005582B"/>
    <w:rsid w:val="00055892"/>
    <w:rsid w:val="00055C4B"/>
    <w:rsid w:val="000566D1"/>
    <w:rsid w:val="0005677F"/>
    <w:rsid w:val="00056E39"/>
    <w:rsid w:val="00057332"/>
    <w:rsid w:val="000601F6"/>
    <w:rsid w:val="00060279"/>
    <w:rsid w:val="000602D1"/>
    <w:rsid w:val="00060346"/>
    <w:rsid w:val="00060828"/>
    <w:rsid w:val="00060E5A"/>
    <w:rsid w:val="0006171E"/>
    <w:rsid w:val="00061BBA"/>
    <w:rsid w:val="00061DCB"/>
    <w:rsid w:val="000625CA"/>
    <w:rsid w:val="0006267A"/>
    <w:rsid w:val="00062882"/>
    <w:rsid w:val="00062BA0"/>
    <w:rsid w:val="00062C42"/>
    <w:rsid w:val="00062FE2"/>
    <w:rsid w:val="00063131"/>
    <w:rsid w:val="000638A2"/>
    <w:rsid w:val="000638E3"/>
    <w:rsid w:val="00063CD3"/>
    <w:rsid w:val="00063F40"/>
    <w:rsid w:val="00063FD9"/>
    <w:rsid w:val="0006640B"/>
    <w:rsid w:val="0006670C"/>
    <w:rsid w:val="000668A8"/>
    <w:rsid w:val="00067A02"/>
    <w:rsid w:val="00067B7F"/>
    <w:rsid w:val="00067D5E"/>
    <w:rsid w:val="00070409"/>
    <w:rsid w:val="0007051D"/>
    <w:rsid w:val="00070736"/>
    <w:rsid w:val="000709E4"/>
    <w:rsid w:val="00071878"/>
    <w:rsid w:val="00073180"/>
    <w:rsid w:val="00073340"/>
    <w:rsid w:val="000738F2"/>
    <w:rsid w:val="0007455E"/>
    <w:rsid w:val="000745AD"/>
    <w:rsid w:val="00074662"/>
    <w:rsid w:val="00074870"/>
    <w:rsid w:val="000749AF"/>
    <w:rsid w:val="00075086"/>
    <w:rsid w:val="000750DC"/>
    <w:rsid w:val="0007542D"/>
    <w:rsid w:val="00075C4A"/>
    <w:rsid w:val="0007615C"/>
    <w:rsid w:val="00077188"/>
    <w:rsid w:val="000779E7"/>
    <w:rsid w:val="000804FA"/>
    <w:rsid w:val="000809EC"/>
    <w:rsid w:val="0008103C"/>
    <w:rsid w:val="000811DA"/>
    <w:rsid w:val="000814D3"/>
    <w:rsid w:val="00081A6E"/>
    <w:rsid w:val="00082667"/>
    <w:rsid w:val="00083AAF"/>
    <w:rsid w:val="00083DC6"/>
    <w:rsid w:val="000847ED"/>
    <w:rsid w:val="00085023"/>
    <w:rsid w:val="00085592"/>
    <w:rsid w:val="00085624"/>
    <w:rsid w:val="000862AC"/>
    <w:rsid w:val="000869D8"/>
    <w:rsid w:val="00086C4F"/>
    <w:rsid w:val="0008702E"/>
    <w:rsid w:val="00087A08"/>
    <w:rsid w:val="00091179"/>
    <w:rsid w:val="0009141A"/>
    <w:rsid w:val="000914AE"/>
    <w:rsid w:val="000924E5"/>
    <w:rsid w:val="00092590"/>
    <w:rsid w:val="0009269A"/>
    <w:rsid w:val="000927D9"/>
    <w:rsid w:val="00092B27"/>
    <w:rsid w:val="00092CD0"/>
    <w:rsid w:val="00092FC7"/>
    <w:rsid w:val="00093003"/>
    <w:rsid w:val="00094AA4"/>
    <w:rsid w:val="00094EB7"/>
    <w:rsid w:val="000950A7"/>
    <w:rsid w:val="00095480"/>
    <w:rsid w:val="000954D5"/>
    <w:rsid w:val="00095778"/>
    <w:rsid w:val="0009618D"/>
    <w:rsid w:val="000961F2"/>
    <w:rsid w:val="00096AAC"/>
    <w:rsid w:val="00096DC4"/>
    <w:rsid w:val="0009709B"/>
    <w:rsid w:val="0009778F"/>
    <w:rsid w:val="000A0441"/>
    <w:rsid w:val="000A0468"/>
    <w:rsid w:val="000A05B3"/>
    <w:rsid w:val="000A05DC"/>
    <w:rsid w:val="000A0B8E"/>
    <w:rsid w:val="000A0C3E"/>
    <w:rsid w:val="000A0EF0"/>
    <w:rsid w:val="000A21E9"/>
    <w:rsid w:val="000A28E2"/>
    <w:rsid w:val="000A2927"/>
    <w:rsid w:val="000A2C6D"/>
    <w:rsid w:val="000A48A7"/>
    <w:rsid w:val="000A4FD0"/>
    <w:rsid w:val="000A599B"/>
    <w:rsid w:val="000A6E0D"/>
    <w:rsid w:val="000A6EE8"/>
    <w:rsid w:val="000A6F39"/>
    <w:rsid w:val="000A709B"/>
    <w:rsid w:val="000A7241"/>
    <w:rsid w:val="000A7E36"/>
    <w:rsid w:val="000B02C2"/>
    <w:rsid w:val="000B05E2"/>
    <w:rsid w:val="000B10BA"/>
    <w:rsid w:val="000B11E0"/>
    <w:rsid w:val="000B15A6"/>
    <w:rsid w:val="000B19A9"/>
    <w:rsid w:val="000B2568"/>
    <w:rsid w:val="000B2BB0"/>
    <w:rsid w:val="000B381C"/>
    <w:rsid w:val="000B428A"/>
    <w:rsid w:val="000B44C8"/>
    <w:rsid w:val="000B4591"/>
    <w:rsid w:val="000B46FF"/>
    <w:rsid w:val="000B4BCB"/>
    <w:rsid w:val="000B5447"/>
    <w:rsid w:val="000B56CC"/>
    <w:rsid w:val="000B6961"/>
    <w:rsid w:val="000B69EB"/>
    <w:rsid w:val="000B6B59"/>
    <w:rsid w:val="000B6ECA"/>
    <w:rsid w:val="000B71D2"/>
    <w:rsid w:val="000B7228"/>
    <w:rsid w:val="000B73D3"/>
    <w:rsid w:val="000B7966"/>
    <w:rsid w:val="000B7AF7"/>
    <w:rsid w:val="000B7D06"/>
    <w:rsid w:val="000C0173"/>
    <w:rsid w:val="000C1C71"/>
    <w:rsid w:val="000C1EE4"/>
    <w:rsid w:val="000C2446"/>
    <w:rsid w:val="000C2FC5"/>
    <w:rsid w:val="000C3360"/>
    <w:rsid w:val="000C3C43"/>
    <w:rsid w:val="000C3D9C"/>
    <w:rsid w:val="000C427C"/>
    <w:rsid w:val="000C4425"/>
    <w:rsid w:val="000C52D7"/>
    <w:rsid w:val="000C580F"/>
    <w:rsid w:val="000C5F59"/>
    <w:rsid w:val="000C61EA"/>
    <w:rsid w:val="000C6975"/>
    <w:rsid w:val="000C6BA7"/>
    <w:rsid w:val="000C70F7"/>
    <w:rsid w:val="000C7B04"/>
    <w:rsid w:val="000D0132"/>
    <w:rsid w:val="000D1275"/>
    <w:rsid w:val="000D12AA"/>
    <w:rsid w:val="000D1A7D"/>
    <w:rsid w:val="000D2309"/>
    <w:rsid w:val="000D2390"/>
    <w:rsid w:val="000D23AD"/>
    <w:rsid w:val="000D2C15"/>
    <w:rsid w:val="000D350D"/>
    <w:rsid w:val="000D35B7"/>
    <w:rsid w:val="000D38F9"/>
    <w:rsid w:val="000D394A"/>
    <w:rsid w:val="000D40F0"/>
    <w:rsid w:val="000D495E"/>
    <w:rsid w:val="000D4AF6"/>
    <w:rsid w:val="000D4CFC"/>
    <w:rsid w:val="000D4E09"/>
    <w:rsid w:val="000D53B3"/>
    <w:rsid w:val="000D5864"/>
    <w:rsid w:val="000D58D2"/>
    <w:rsid w:val="000D5DD9"/>
    <w:rsid w:val="000D6AF1"/>
    <w:rsid w:val="000D6B42"/>
    <w:rsid w:val="000D6DA4"/>
    <w:rsid w:val="000D7E27"/>
    <w:rsid w:val="000E0040"/>
    <w:rsid w:val="000E01F1"/>
    <w:rsid w:val="000E0227"/>
    <w:rsid w:val="000E065D"/>
    <w:rsid w:val="000E0C54"/>
    <w:rsid w:val="000E121A"/>
    <w:rsid w:val="000E121E"/>
    <w:rsid w:val="000E14A4"/>
    <w:rsid w:val="000E14C6"/>
    <w:rsid w:val="000E166A"/>
    <w:rsid w:val="000E1C23"/>
    <w:rsid w:val="000E2B5B"/>
    <w:rsid w:val="000E2F34"/>
    <w:rsid w:val="000E301B"/>
    <w:rsid w:val="000E3EAF"/>
    <w:rsid w:val="000E4DE8"/>
    <w:rsid w:val="000E60B2"/>
    <w:rsid w:val="000E682C"/>
    <w:rsid w:val="000E69FE"/>
    <w:rsid w:val="000E6C9A"/>
    <w:rsid w:val="000F05A8"/>
    <w:rsid w:val="000F0E4C"/>
    <w:rsid w:val="000F0F13"/>
    <w:rsid w:val="000F15AE"/>
    <w:rsid w:val="000F179C"/>
    <w:rsid w:val="000F1A83"/>
    <w:rsid w:val="000F1FA3"/>
    <w:rsid w:val="000F2065"/>
    <w:rsid w:val="000F2359"/>
    <w:rsid w:val="000F2A88"/>
    <w:rsid w:val="000F2D1B"/>
    <w:rsid w:val="000F353A"/>
    <w:rsid w:val="000F3ADB"/>
    <w:rsid w:val="000F3E69"/>
    <w:rsid w:val="000F3FA1"/>
    <w:rsid w:val="000F41E9"/>
    <w:rsid w:val="000F4752"/>
    <w:rsid w:val="000F480C"/>
    <w:rsid w:val="000F48D9"/>
    <w:rsid w:val="000F4B7E"/>
    <w:rsid w:val="000F4E82"/>
    <w:rsid w:val="000F51DA"/>
    <w:rsid w:val="000F5577"/>
    <w:rsid w:val="000F565B"/>
    <w:rsid w:val="000F5789"/>
    <w:rsid w:val="000F57BF"/>
    <w:rsid w:val="000F5842"/>
    <w:rsid w:val="000F5F3F"/>
    <w:rsid w:val="000F67AA"/>
    <w:rsid w:val="000F7A66"/>
    <w:rsid w:val="00100583"/>
    <w:rsid w:val="001005AD"/>
    <w:rsid w:val="001018E7"/>
    <w:rsid w:val="001019D8"/>
    <w:rsid w:val="00101C3F"/>
    <w:rsid w:val="00101DD0"/>
    <w:rsid w:val="00102555"/>
    <w:rsid w:val="00102D63"/>
    <w:rsid w:val="00102F06"/>
    <w:rsid w:val="00103DFC"/>
    <w:rsid w:val="001040E1"/>
    <w:rsid w:val="001047E8"/>
    <w:rsid w:val="00104B2A"/>
    <w:rsid w:val="00104E51"/>
    <w:rsid w:val="00104F15"/>
    <w:rsid w:val="001051A9"/>
    <w:rsid w:val="0010553F"/>
    <w:rsid w:val="00105BA0"/>
    <w:rsid w:val="00105C7A"/>
    <w:rsid w:val="001061D3"/>
    <w:rsid w:val="00106748"/>
    <w:rsid w:val="001067A8"/>
    <w:rsid w:val="0010688F"/>
    <w:rsid w:val="00106A04"/>
    <w:rsid w:val="00106AF7"/>
    <w:rsid w:val="001075B1"/>
    <w:rsid w:val="00107AB7"/>
    <w:rsid w:val="00107D54"/>
    <w:rsid w:val="00107E28"/>
    <w:rsid w:val="00110079"/>
    <w:rsid w:val="00110173"/>
    <w:rsid w:val="00110A90"/>
    <w:rsid w:val="001111F7"/>
    <w:rsid w:val="00111A14"/>
    <w:rsid w:val="001138DA"/>
    <w:rsid w:val="00114CB1"/>
    <w:rsid w:val="00115399"/>
    <w:rsid w:val="00115711"/>
    <w:rsid w:val="0011585F"/>
    <w:rsid w:val="00115A55"/>
    <w:rsid w:val="00115AD7"/>
    <w:rsid w:val="00115B7D"/>
    <w:rsid w:val="00116224"/>
    <w:rsid w:val="001165DD"/>
    <w:rsid w:val="00116971"/>
    <w:rsid w:val="001172D4"/>
    <w:rsid w:val="00117316"/>
    <w:rsid w:val="001173B4"/>
    <w:rsid w:val="00117A19"/>
    <w:rsid w:val="001208AF"/>
    <w:rsid w:val="001212EF"/>
    <w:rsid w:val="001215C5"/>
    <w:rsid w:val="001217DC"/>
    <w:rsid w:val="0012203F"/>
    <w:rsid w:val="00122873"/>
    <w:rsid w:val="00122EAA"/>
    <w:rsid w:val="00123243"/>
    <w:rsid w:val="00123CC6"/>
    <w:rsid w:val="001241FC"/>
    <w:rsid w:val="0012517B"/>
    <w:rsid w:val="00125202"/>
    <w:rsid w:val="00125C68"/>
    <w:rsid w:val="00125C8A"/>
    <w:rsid w:val="00125E74"/>
    <w:rsid w:val="00126066"/>
    <w:rsid w:val="00126080"/>
    <w:rsid w:val="001264D8"/>
    <w:rsid w:val="00126953"/>
    <w:rsid w:val="00126AD5"/>
    <w:rsid w:val="00126B0A"/>
    <w:rsid w:val="00126C43"/>
    <w:rsid w:val="00126EEB"/>
    <w:rsid w:val="001275EA"/>
    <w:rsid w:val="00127777"/>
    <w:rsid w:val="001305BF"/>
    <w:rsid w:val="001307D9"/>
    <w:rsid w:val="00130827"/>
    <w:rsid w:val="001308A2"/>
    <w:rsid w:val="00130C56"/>
    <w:rsid w:val="00131668"/>
    <w:rsid w:val="001319AB"/>
    <w:rsid w:val="001321FC"/>
    <w:rsid w:val="001325A9"/>
    <w:rsid w:val="00132638"/>
    <w:rsid w:val="0013288F"/>
    <w:rsid w:val="00132F55"/>
    <w:rsid w:val="00132FAF"/>
    <w:rsid w:val="001330B3"/>
    <w:rsid w:val="001333A3"/>
    <w:rsid w:val="00133AF5"/>
    <w:rsid w:val="00133D2B"/>
    <w:rsid w:val="00133F4C"/>
    <w:rsid w:val="001342FB"/>
    <w:rsid w:val="00134374"/>
    <w:rsid w:val="001343C8"/>
    <w:rsid w:val="00134AF9"/>
    <w:rsid w:val="00134B47"/>
    <w:rsid w:val="00134B53"/>
    <w:rsid w:val="00134C5F"/>
    <w:rsid w:val="00134D6D"/>
    <w:rsid w:val="00135640"/>
    <w:rsid w:val="00136467"/>
    <w:rsid w:val="00136543"/>
    <w:rsid w:val="001366F0"/>
    <w:rsid w:val="00136704"/>
    <w:rsid w:val="0014046D"/>
    <w:rsid w:val="00140D6F"/>
    <w:rsid w:val="00141EC5"/>
    <w:rsid w:val="00142838"/>
    <w:rsid w:val="00143282"/>
    <w:rsid w:val="00143430"/>
    <w:rsid w:val="00143653"/>
    <w:rsid w:val="0014396D"/>
    <w:rsid w:val="00143B3A"/>
    <w:rsid w:val="00144298"/>
    <w:rsid w:val="001444E2"/>
    <w:rsid w:val="001446E6"/>
    <w:rsid w:val="00144959"/>
    <w:rsid w:val="00144B1C"/>
    <w:rsid w:val="0014521C"/>
    <w:rsid w:val="0014539A"/>
    <w:rsid w:val="0014549B"/>
    <w:rsid w:val="0014599D"/>
    <w:rsid w:val="00146A71"/>
    <w:rsid w:val="00146AE7"/>
    <w:rsid w:val="00147350"/>
    <w:rsid w:val="00147AE8"/>
    <w:rsid w:val="00147B3F"/>
    <w:rsid w:val="00150829"/>
    <w:rsid w:val="001520F3"/>
    <w:rsid w:val="00152CBF"/>
    <w:rsid w:val="001530C6"/>
    <w:rsid w:val="001530CC"/>
    <w:rsid w:val="001530FC"/>
    <w:rsid w:val="00153212"/>
    <w:rsid w:val="00153237"/>
    <w:rsid w:val="00153387"/>
    <w:rsid w:val="0015359C"/>
    <w:rsid w:val="0015366C"/>
    <w:rsid w:val="001540C3"/>
    <w:rsid w:val="00154156"/>
    <w:rsid w:val="00154BE4"/>
    <w:rsid w:val="00154CC9"/>
    <w:rsid w:val="001559C0"/>
    <w:rsid w:val="00155AB6"/>
    <w:rsid w:val="001560F0"/>
    <w:rsid w:val="00156987"/>
    <w:rsid w:val="00156D80"/>
    <w:rsid w:val="00156DC1"/>
    <w:rsid w:val="00157E23"/>
    <w:rsid w:val="00157FC3"/>
    <w:rsid w:val="0016028E"/>
    <w:rsid w:val="00160854"/>
    <w:rsid w:val="001610A3"/>
    <w:rsid w:val="00161C84"/>
    <w:rsid w:val="001623F2"/>
    <w:rsid w:val="00162651"/>
    <w:rsid w:val="001626BD"/>
    <w:rsid w:val="00162D35"/>
    <w:rsid w:val="001635AE"/>
    <w:rsid w:val="001635DB"/>
    <w:rsid w:val="0016379F"/>
    <w:rsid w:val="00163812"/>
    <w:rsid w:val="00163865"/>
    <w:rsid w:val="0016482C"/>
    <w:rsid w:val="0016483A"/>
    <w:rsid w:val="00164A38"/>
    <w:rsid w:val="00164E23"/>
    <w:rsid w:val="00164FD8"/>
    <w:rsid w:val="001650F8"/>
    <w:rsid w:val="00165222"/>
    <w:rsid w:val="001652FD"/>
    <w:rsid w:val="0016595F"/>
    <w:rsid w:val="00165A06"/>
    <w:rsid w:val="00166372"/>
    <w:rsid w:val="001663C2"/>
    <w:rsid w:val="00166A2C"/>
    <w:rsid w:val="001675AC"/>
    <w:rsid w:val="00167879"/>
    <w:rsid w:val="001678AE"/>
    <w:rsid w:val="00167E9C"/>
    <w:rsid w:val="00170BD9"/>
    <w:rsid w:val="00170E88"/>
    <w:rsid w:val="001715D2"/>
    <w:rsid w:val="0017191D"/>
    <w:rsid w:val="00171B3F"/>
    <w:rsid w:val="00171E87"/>
    <w:rsid w:val="00171FD5"/>
    <w:rsid w:val="00172369"/>
    <w:rsid w:val="00172D74"/>
    <w:rsid w:val="0017320F"/>
    <w:rsid w:val="00173374"/>
    <w:rsid w:val="0017350C"/>
    <w:rsid w:val="00173873"/>
    <w:rsid w:val="00174FBF"/>
    <w:rsid w:val="0017584B"/>
    <w:rsid w:val="00175E0B"/>
    <w:rsid w:val="00175E43"/>
    <w:rsid w:val="00176286"/>
    <w:rsid w:val="00176BC7"/>
    <w:rsid w:val="00177167"/>
    <w:rsid w:val="00180F00"/>
    <w:rsid w:val="001813D7"/>
    <w:rsid w:val="00181EFF"/>
    <w:rsid w:val="0018205E"/>
    <w:rsid w:val="00182A05"/>
    <w:rsid w:val="00182A09"/>
    <w:rsid w:val="001834DC"/>
    <w:rsid w:val="0018360E"/>
    <w:rsid w:val="00183959"/>
    <w:rsid w:val="00183C79"/>
    <w:rsid w:val="00183C8B"/>
    <w:rsid w:val="00183E75"/>
    <w:rsid w:val="00184465"/>
    <w:rsid w:val="001845CF"/>
    <w:rsid w:val="00184BF0"/>
    <w:rsid w:val="00185508"/>
    <w:rsid w:val="001857BB"/>
    <w:rsid w:val="001865BB"/>
    <w:rsid w:val="00187339"/>
    <w:rsid w:val="001873B5"/>
    <w:rsid w:val="00187518"/>
    <w:rsid w:val="00187941"/>
    <w:rsid w:val="00190552"/>
    <w:rsid w:val="00190FB6"/>
    <w:rsid w:val="001911C7"/>
    <w:rsid w:val="001912E3"/>
    <w:rsid w:val="001913D0"/>
    <w:rsid w:val="00191B7F"/>
    <w:rsid w:val="001933A1"/>
    <w:rsid w:val="00193911"/>
    <w:rsid w:val="00194444"/>
    <w:rsid w:val="00194FD4"/>
    <w:rsid w:val="00195092"/>
    <w:rsid w:val="001952F2"/>
    <w:rsid w:val="0019560F"/>
    <w:rsid w:val="00195AC6"/>
    <w:rsid w:val="00195BE2"/>
    <w:rsid w:val="00195DED"/>
    <w:rsid w:val="00196B4E"/>
    <w:rsid w:val="00196E75"/>
    <w:rsid w:val="00197D73"/>
    <w:rsid w:val="00197F24"/>
    <w:rsid w:val="001A027A"/>
    <w:rsid w:val="001A0C05"/>
    <w:rsid w:val="001A0D2C"/>
    <w:rsid w:val="001A2025"/>
    <w:rsid w:val="001A2282"/>
    <w:rsid w:val="001A3425"/>
    <w:rsid w:val="001A35A9"/>
    <w:rsid w:val="001A37A1"/>
    <w:rsid w:val="001A398D"/>
    <w:rsid w:val="001A3AE8"/>
    <w:rsid w:val="001A41EA"/>
    <w:rsid w:val="001A422B"/>
    <w:rsid w:val="001A440A"/>
    <w:rsid w:val="001A4441"/>
    <w:rsid w:val="001A4A55"/>
    <w:rsid w:val="001A4BB5"/>
    <w:rsid w:val="001A4F44"/>
    <w:rsid w:val="001A53DF"/>
    <w:rsid w:val="001A54DC"/>
    <w:rsid w:val="001A57CF"/>
    <w:rsid w:val="001A5D61"/>
    <w:rsid w:val="001A6A4F"/>
    <w:rsid w:val="001A76B7"/>
    <w:rsid w:val="001B0C8A"/>
    <w:rsid w:val="001B0FB7"/>
    <w:rsid w:val="001B112B"/>
    <w:rsid w:val="001B1339"/>
    <w:rsid w:val="001B197E"/>
    <w:rsid w:val="001B1FC5"/>
    <w:rsid w:val="001B26FF"/>
    <w:rsid w:val="001B2B6A"/>
    <w:rsid w:val="001B2CC0"/>
    <w:rsid w:val="001B32B8"/>
    <w:rsid w:val="001B4A03"/>
    <w:rsid w:val="001B4AD1"/>
    <w:rsid w:val="001B5614"/>
    <w:rsid w:val="001B5B57"/>
    <w:rsid w:val="001B6B20"/>
    <w:rsid w:val="001B783E"/>
    <w:rsid w:val="001B7BEC"/>
    <w:rsid w:val="001C006F"/>
    <w:rsid w:val="001C04B2"/>
    <w:rsid w:val="001C07C5"/>
    <w:rsid w:val="001C083C"/>
    <w:rsid w:val="001C0D59"/>
    <w:rsid w:val="001C0DED"/>
    <w:rsid w:val="001C1FDE"/>
    <w:rsid w:val="001C2140"/>
    <w:rsid w:val="001C2493"/>
    <w:rsid w:val="001C2A9D"/>
    <w:rsid w:val="001C2C77"/>
    <w:rsid w:val="001C3021"/>
    <w:rsid w:val="001C3737"/>
    <w:rsid w:val="001C3CC2"/>
    <w:rsid w:val="001C3ECC"/>
    <w:rsid w:val="001C3F78"/>
    <w:rsid w:val="001C44BE"/>
    <w:rsid w:val="001C4592"/>
    <w:rsid w:val="001C4BD7"/>
    <w:rsid w:val="001C5839"/>
    <w:rsid w:val="001C5986"/>
    <w:rsid w:val="001C61B1"/>
    <w:rsid w:val="001C62D6"/>
    <w:rsid w:val="001C6AF5"/>
    <w:rsid w:val="001C77E1"/>
    <w:rsid w:val="001C7ADA"/>
    <w:rsid w:val="001D0A66"/>
    <w:rsid w:val="001D1872"/>
    <w:rsid w:val="001D1C05"/>
    <w:rsid w:val="001D1C72"/>
    <w:rsid w:val="001D2CC8"/>
    <w:rsid w:val="001D2F0C"/>
    <w:rsid w:val="001D2FF7"/>
    <w:rsid w:val="001D3543"/>
    <w:rsid w:val="001D3930"/>
    <w:rsid w:val="001D3A40"/>
    <w:rsid w:val="001D46EF"/>
    <w:rsid w:val="001D4AF5"/>
    <w:rsid w:val="001D58E5"/>
    <w:rsid w:val="001D5FDE"/>
    <w:rsid w:val="001D6191"/>
    <w:rsid w:val="001D6289"/>
    <w:rsid w:val="001D62D7"/>
    <w:rsid w:val="001D650B"/>
    <w:rsid w:val="001D6563"/>
    <w:rsid w:val="001D6CA4"/>
    <w:rsid w:val="001D76AD"/>
    <w:rsid w:val="001D7A5C"/>
    <w:rsid w:val="001E072E"/>
    <w:rsid w:val="001E086E"/>
    <w:rsid w:val="001E08AE"/>
    <w:rsid w:val="001E174B"/>
    <w:rsid w:val="001E226F"/>
    <w:rsid w:val="001E2366"/>
    <w:rsid w:val="001E24A9"/>
    <w:rsid w:val="001E2502"/>
    <w:rsid w:val="001E292F"/>
    <w:rsid w:val="001E3202"/>
    <w:rsid w:val="001E38C5"/>
    <w:rsid w:val="001E3DD9"/>
    <w:rsid w:val="001E474D"/>
    <w:rsid w:val="001E47E9"/>
    <w:rsid w:val="001E4F0E"/>
    <w:rsid w:val="001E5210"/>
    <w:rsid w:val="001E53B7"/>
    <w:rsid w:val="001E5580"/>
    <w:rsid w:val="001E582A"/>
    <w:rsid w:val="001E5A81"/>
    <w:rsid w:val="001E5AFC"/>
    <w:rsid w:val="001E5EE8"/>
    <w:rsid w:val="001E6615"/>
    <w:rsid w:val="001E72B2"/>
    <w:rsid w:val="001E72E6"/>
    <w:rsid w:val="001F0169"/>
    <w:rsid w:val="001F0349"/>
    <w:rsid w:val="001F0B74"/>
    <w:rsid w:val="001F1A0D"/>
    <w:rsid w:val="001F1E59"/>
    <w:rsid w:val="001F20E8"/>
    <w:rsid w:val="001F2B19"/>
    <w:rsid w:val="001F2DD4"/>
    <w:rsid w:val="001F3AEE"/>
    <w:rsid w:val="001F3D85"/>
    <w:rsid w:val="001F40A5"/>
    <w:rsid w:val="001F41F6"/>
    <w:rsid w:val="001F434C"/>
    <w:rsid w:val="001F4EB8"/>
    <w:rsid w:val="001F5399"/>
    <w:rsid w:val="001F56BD"/>
    <w:rsid w:val="001F596D"/>
    <w:rsid w:val="001F6572"/>
    <w:rsid w:val="001F6F6A"/>
    <w:rsid w:val="001F6FAC"/>
    <w:rsid w:val="001F7595"/>
    <w:rsid w:val="002008FA"/>
    <w:rsid w:val="00200A7A"/>
    <w:rsid w:val="00200B34"/>
    <w:rsid w:val="00200B4C"/>
    <w:rsid w:val="002019F2"/>
    <w:rsid w:val="00201C2A"/>
    <w:rsid w:val="00201CDA"/>
    <w:rsid w:val="002021A8"/>
    <w:rsid w:val="00202326"/>
    <w:rsid w:val="00202865"/>
    <w:rsid w:val="00202E03"/>
    <w:rsid w:val="00203267"/>
    <w:rsid w:val="0020391D"/>
    <w:rsid w:val="00203C2E"/>
    <w:rsid w:val="002044BC"/>
    <w:rsid w:val="00204615"/>
    <w:rsid w:val="00204EFE"/>
    <w:rsid w:val="00205010"/>
    <w:rsid w:val="002053AE"/>
    <w:rsid w:val="00205F9C"/>
    <w:rsid w:val="00207369"/>
    <w:rsid w:val="00207767"/>
    <w:rsid w:val="0020784C"/>
    <w:rsid w:val="00207BDB"/>
    <w:rsid w:val="00207C21"/>
    <w:rsid w:val="00210771"/>
    <w:rsid w:val="00211885"/>
    <w:rsid w:val="00211AB7"/>
    <w:rsid w:val="00211C59"/>
    <w:rsid w:val="00214143"/>
    <w:rsid w:val="00214211"/>
    <w:rsid w:val="0021428F"/>
    <w:rsid w:val="00214715"/>
    <w:rsid w:val="00215229"/>
    <w:rsid w:val="00215699"/>
    <w:rsid w:val="002159DE"/>
    <w:rsid w:val="00215ADD"/>
    <w:rsid w:val="00215CE6"/>
    <w:rsid w:val="00215E99"/>
    <w:rsid w:val="002166A6"/>
    <w:rsid w:val="00216A61"/>
    <w:rsid w:val="00216BB6"/>
    <w:rsid w:val="00216C30"/>
    <w:rsid w:val="00217650"/>
    <w:rsid w:val="00217B45"/>
    <w:rsid w:val="0022048B"/>
    <w:rsid w:val="00220692"/>
    <w:rsid w:val="0022182A"/>
    <w:rsid w:val="00221C86"/>
    <w:rsid w:val="00222103"/>
    <w:rsid w:val="00222261"/>
    <w:rsid w:val="00222616"/>
    <w:rsid w:val="002236C9"/>
    <w:rsid w:val="002237D3"/>
    <w:rsid w:val="00223B07"/>
    <w:rsid w:val="00223C82"/>
    <w:rsid w:val="0022436A"/>
    <w:rsid w:val="00224E52"/>
    <w:rsid w:val="00225736"/>
    <w:rsid w:val="0022590D"/>
    <w:rsid w:val="00225E64"/>
    <w:rsid w:val="002260CB"/>
    <w:rsid w:val="002267CE"/>
    <w:rsid w:val="002267D0"/>
    <w:rsid w:val="00227488"/>
    <w:rsid w:val="002278B8"/>
    <w:rsid w:val="00227D49"/>
    <w:rsid w:val="00227FC7"/>
    <w:rsid w:val="00230422"/>
    <w:rsid w:val="00230479"/>
    <w:rsid w:val="00231431"/>
    <w:rsid w:val="00231740"/>
    <w:rsid w:val="002319E6"/>
    <w:rsid w:val="0023244F"/>
    <w:rsid w:val="002325A8"/>
    <w:rsid w:val="00232B18"/>
    <w:rsid w:val="00232EED"/>
    <w:rsid w:val="00233C2A"/>
    <w:rsid w:val="002341F6"/>
    <w:rsid w:val="0023440D"/>
    <w:rsid w:val="002347B1"/>
    <w:rsid w:val="00234A18"/>
    <w:rsid w:val="00234DDE"/>
    <w:rsid w:val="002351B7"/>
    <w:rsid w:val="00235307"/>
    <w:rsid w:val="00235A21"/>
    <w:rsid w:val="00235D25"/>
    <w:rsid w:val="00235E13"/>
    <w:rsid w:val="00236A66"/>
    <w:rsid w:val="00236E72"/>
    <w:rsid w:val="00236F13"/>
    <w:rsid w:val="0023706D"/>
    <w:rsid w:val="002372F4"/>
    <w:rsid w:val="0024029A"/>
    <w:rsid w:val="002407C8"/>
    <w:rsid w:val="00240EC2"/>
    <w:rsid w:val="002417F8"/>
    <w:rsid w:val="00241FC8"/>
    <w:rsid w:val="00242200"/>
    <w:rsid w:val="00242328"/>
    <w:rsid w:val="00242CBE"/>
    <w:rsid w:val="002440FD"/>
    <w:rsid w:val="0024472B"/>
    <w:rsid w:val="002458CC"/>
    <w:rsid w:val="00245C4C"/>
    <w:rsid w:val="00246221"/>
    <w:rsid w:val="00246447"/>
    <w:rsid w:val="00246CCD"/>
    <w:rsid w:val="002471BC"/>
    <w:rsid w:val="00247870"/>
    <w:rsid w:val="002478E5"/>
    <w:rsid w:val="00247AF9"/>
    <w:rsid w:val="0025073C"/>
    <w:rsid w:val="00250C89"/>
    <w:rsid w:val="00250F42"/>
    <w:rsid w:val="00250FD2"/>
    <w:rsid w:val="00251A8F"/>
    <w:rsid w:val="00252702"/>
    <w:rsid w:val="00253EA0"/>
    <w:rsid w:val="00254B44"/>
    <w:rsid w:val="00254E99"/>
    <w:rsid w:val="00255BAF"/>
    <w:rsid w:val="00256999"/>
    <w:rsid w:val="0025753B"/>
    <w:rsid w:val="00257AAE"/>
    <w:rsid w:val="0026027A"/>
    <w:rsid w:val="00260423"/>
    <w:rsid w:val="00260533"/>
    <w:rsid w:val="002606FF"/>
    <w:rsid w:val="00260A23"/>
    <w:rsid w:val="00260ED8"/>
    <w:rsid w:val="00261513"/>
    <w:rsid w:val="002615F8"/>
    <w:rsid w:val="002616E6"/>
    <w:rsid w:val="00261A54"/>
    <w:rsid w:val="00261D37"/>
    <w:rsid w:val="00261E00"/>
    <w:rsid w:val="00263081"/>
    <w:rsid w:val="00263607"/>
    <w:rsid w:val="00263874"/>
    <w:rsid w:val="00263D34"/>
    <w:rsid w:val="00263EF1"/>
    <w:rsid w:val="00264059"/>
    <w:rsid w:val="0026411A"/>
    <w:rsid w:val="00264FC8"/>
    <w:rsid w:val="002654E8"/>
    <w:rsid w:val="002656E1"/>
    <w:rsid w:val="00265728"/>
    <w:rsid w:val="00265CFF"/>
    <w:rsid w:val="00266406"/>
    <w:rsid w:val="00267334"/>
    <w:rsid w:val="002674E3"/>
    <w:rsid w:val="00267755"/>
    <w:rsid w:val="002705FE"/>
    <w:rsid w:val="002706F0"/>
    <w:rsid w:val="002713DB"/>
    <w:rsid w:val="002715AC"/>
    <w:rsid w:val="00272219"/>
    <w:rsid w:val="00272D7E"/>
    <w:rsid w:val="002730AC"/>
    <w:rsid w:val="00273278"/>
    <w:rsid w:val="00273AFD"/>
    <w:rsid w:val="002741A0"/>
    <w:rsid w:val="002746D8"/>
    <w:rsid w:val="00275343"/>
    <w:rsid w:val="00275608"/>
    <w:rsid w:val="00275641"/>
    <w:rsid w:val="00276AE0"/>
    <w:rsid w:val="00276D6A"/>
    <w:rsid w:val="0027753A"/>
    <w:rsid w:val="00277E64"/>
    <w:rsid w:val="00280042"/>
    <w:rsid w:val="00280AB5"/>
    <w:rsid w:val="00280B32"/>
    <w:rsid w:val="0028218E"/>
    <w:rsid w:val="002821E9"/>
    <w:rsid w:val="002823AE"/>
    <w:rsid w:val="00282613"/>
    <w:rsid w:val="00282A2B"/>
    <w:rsid w:val="0028318B"/>
    <w:rsid w:val="00283C90"/>
    <w:rsid w:val="00283FE7"/>
    <w:rsid w:val="00284346"/>
    <w:rsid w:val="00284387"/>
    <w:rsid w:val="00285523"/>
    <w:rsid w:val="0028553F"/>
    <w:rsid w:val="002857C6"/>
    <w:rsid w:val="0028608C"/>
    <w:rsid w:val="002868A6"/>
    <w:rsid w:val="002868BE"/>
    <w:rsid w:val="0028710F"/>
    <w:rsid w:val="002872C3"/>
    <w:rsid w:val="0028796D"/>
    <w:rsid w:val="002903E2"/>
    <w:rsid w:val="0029077C"/>
    <w:rsid w:val="002908A7"/>
    <w:rsid w:val="002913FD"/>
    <w:rsid w:val="00291826"/>
    <w:rsid w:val="00291D71"/>
    <w:rsid w:val="00292115"/>
    <w:rsid w:val="00292F66"/>
    <w:rsid w:val="0029315D"/>
    <w:rsid w:val="00293534"/>
    <w:rsid w:val="00293777"/>
    <w:rsid w:val="00293B16"/>
    <w:rsid w:val="0029421A"/>
    <w:rsid w:val="0029449E"/>
    <w:rsid w:val="00294C8B"/>
    <w:rsid w:val="0029504D"/>
    <w:rsid w:val="0029570C"/>
    <w:rsid w:val="002966DE"/>
    <w:rsid w:val="00296F46"/>
    <w:rsid w:val="00296F84"/>
    <w:rsid w:val="00296F8A"/>
    <w:rsid w:val="002A13CA"/>
    <w:rsid w:val="002A180F"/>
    <w:rsid w:val="002A1873"/>
    <w:rsid w:val="002A1AE1"/>
    <w:rsid w:val="002A2857"/>
    <w:rsid w:val="002A2D7B"/>
    <w:rsid w:val="002A367A"/>
    <w:rsid w:val="002A36DF"/>
    <w:rsid w:val="002A3B40"/>
    <w:rsid w:val="002A40BC"/>
    <w:rsid w:val="002A4404"/>
    <w:rsid w:val="002A4ACC"/>
    <w:rsid w:val="002A51E9"/>
    <w:rsid w:val="002A52E3"/>
    <w:rsid w:val="002A5425"/>
    <w:rsid w:val="002A547D"/>
    <w:rsid w:val="002A556E"/>
    <w:rsid w:val="002A5B44"/>
    <w:rsid w:val="002A5CA0"/>
    <w:rsid w:val="002A5DA4"/>
    <w:rsid w:val="002A6022"/>
    <w:rsid w:val="002A63AF"/>
    <w:rsid w:val="002A6AD1"/>
    <w:rsid w:val="002A6FBE"/>
    <w:rsid w:val="002A70E7"/>
    <w:rsid w:val="002A7869"/>
    <w:rsid w:val="002A7BB5"/>
    <w:rsid w:val="002A7F5B"/>
    <w:rsid w:val="002B0D78"/>
    <w:rsid w:val="002B0F46"/>
    <w:rsid w:val="002B0FBD"/>
    <w:rsid w:val="002B1202"/>
    <w:rsid w:val="002B1821"/>
    <w:rsid w:val="002B2078"/>
    <w:rsid w:val="002B22D4"/>
    <w:rsid w:val="002B232E"/>
    <w:rsid w:val="002B2334"/>
    <w:rsid w:val="002B291F"/>
    <w:rsid w:val="002B2E6C"/>
    <w:rsid w:val="002B3178"/>
    <w:rsid w:val="002B3333"/>
    <w:rsid w:val="002B3C14"/>
    <w:rsid w:val="002B3C46"/>
    <w:rsid w:val="002B3F66"/>
    <w:rsid w:val="002B3FD0"/>
    <w:rsid w:val="002B43FA"/>
    <w:rsid w:val="002B5C84"/>
    <w:rsid w:val="002B6421"/>
    <w:rsid w:val="002B6B22"/>
    <w:rsid w:val="002B7969"/>
    <w:rsid w:val="002C06D1"/>
    <w:rsid w:val="002C12CD"/>
    <w:rsid w:val="002C1A12"/>
    <w:rsid w:val="002C1ECA"/>
    <w:rsid w:val="002C2417"/>
    <w:rsid w:val="002C2DB8"/>
    <w:rsid w:val="002C3051"/>
    <w:rsid w:val="002C3066"/>
    <w:rsid w:val="002C4063"/>
    <w:rsid w:val="002C41DC"/>
    <w:rsid w:val="002C423C"/>
    <w:rsid w:val="002C4822"/>
    <w:rsid w:val="002C4EB6"/>
    <w:rsid w:val="002C5A63"/>
    <w:rsid w:val="002C63F6"/>
    <w:rsid w:val="002C7445"/>
    <w:rsid w:val="002C754B"/>
    <w:rsid w:val="002C75AC"/>
    <w:rsid w:val="002C762E"/>
    <w:rsid w:val="002C79D7"/>
    <w:rsid w:val="002D0356"/>
    <w:rsid w:val="002D06E7"/>
    <w:rsid w:val="002D07C0"/>
    <w:rsid w:val="002D0904"/>
    <w:rsid w:val="002D0905"/>
    <w:rsid w:val="002D0919"/>
    <w:rsid w:val="002D0C19"/>
    <w:rsid w:val="002D0FC6"/>
    <w:rsid w:val="002D1101"/>
    <w:rsid w:val="002D138C"/>
    <w:rsid w:val="002D14B7"/>
    <w:rsid w:val="002D18BC"/>
    <w:rsid w:val="002D192F"/>
    <w:rsid w:val="002D1A3D"/>
    <w:rsid w:val="002D2441"/>
    <w:rsid w:val="002D3A8A"/>
    <w:rsid w:val="002D3B3F"/>
    <w:rsid w:val="002D3CC7"/>
    <w:rsid w:val="002D3EC8"/>
    <w:rsid w:val="002D4325"/>
    <w:rsid w:val="002D45BF"/>
    <w:rsid w:val="002D4A85"/>
    <w:rsid w:val="002D5DC4"/>
    <w:rsid w:val="002D64DF"/>
    <w:rsid w:val="002D71F8"/>
    <w:rsid w:val="002D7674"/>
    <w:rsid w:val="002D7906"/>
    <w:rsid w:val="002D7A6A"/>
    <w:rsid w:val="002D7BC0"/>
    <w:rsid w:val="002E000C"/>
    <w:rsid w:val="002E0376"/>
    <w:rsid w:val="002E0BB3"/>
    <w:rsid w:val="002E1280"/>
    <w:rsid w:val="002E13E0"/>
    <w:rsid w:val="002E1950"/>
    <w:rsid w:val="002E22A2"/>
    <w:rsid w:val="002E2864"/>
    <w:rsid w:val="002E2900"/>
    <w:rsid w:val="002E2D4A"/>
    <w:rsid w:val="002E2F6A"/>
    <w:rsid w:val="002E38DB"/>
    <w:rsid w:val="002E3D09"/>
    <w:rsid w:val="002E3D8D"/>
    <w:rsid w:val="002E4095"/>
    <w:rsid w:val="002E4F35"/>
    <w:rsid w:val="002E5256"/>
    <w:rsid w:val="002E5271"/>
    <w:rsid w:val="002E538F"/>
    <w:rsid w:val="002E539A"/>
    <w:rsid w:val="002E55DD"/>
    <w:rsid w:val="002E5995"/>
    <w:rsid w:val="002E5E77"/>
    <w:rsid w:val="002E5F31"/>
    <w:rsid w:val="002E686B"/>
    <w:rsid w:val="002E748D"/>
    <w:rsid w:val="002E7B71"/>
    <w:rsid w:val="002E7C98"/>
    <w:rsid w:val="002E7EA2"/>
    <w:rsid w:val="002F0F75"/>
    <w:rsid w:val="002F0FA6"/>
    <w:rsid w:val="002F117A"/>
    <w:rsid w:val="002F127D"/>
    <w:rsid w:val="002F12EB"/>
    <w:rsid w:val="002F14F5"/>
    <w:rsid w:val="002F1528"/>
    <w:rsid w:val="002F214C"/>
    <w:rsid w:val="002F2B7A"/>
    <w:rsid w:val="002F2F6C"/>
    <w:rsid w:val="002F2FF4"/>
    <w:rsid w:val="002F3102"/>
    <w:rsid w:val="002F3105"/>
    <w:rsid w:val="002F3388"/>
    <w:rsid w:val="002F37D0"/>
    <w:rsid w:val="002F4604"/>
    <w:rsid w:val="002F4675"/>
    <w:rsid w:val="002F485F"/>
    <w:rsid w:val="002F493D"/>
    <w:rsid w:val="002F49C5"/>
    <w:rsid w:val="002F54F6"/>
    <w:rsid w:val="002F554B"/>
    <w:rsid w:val="002F5836"/>
    <w:rsid w:val="002F5892"/>
    <w:rsid w:val="002F5EB8"/>
    <w:rsid w:val="002F6071"/>
    <w:rsid w:val="002F6F94"/>
    <w:rsid w:val="002F72FF"/>
    <w:rsid w:val="002F750F"/>
    <w:rsid w:val="002F79CC"/>
    <w:rsid w:val="002F7BE7"/>
    <w:rsid w:val="002F7C59"/>
    <w:rsid w:val="002F7F8F"/>
    <w:rsid w:val="0030000F"/>
    <w:rsid w:val="00300149"/>
    <w:rsid w:val="00300264"/>
    <w:rsid w:val="003014B1"/>
    <w:rsid w:val="003019D9"/>
    <w:rsid w:val="0030242B"/>
    <w:rsid w:val="00302595"/>
    <w:rsid w:val="00302850"/>
    <w:rsid w:val="00303041"/>
    <w:rsid w:val="003030F5"/>
    <w:rsid w:val="0030349E"/>
    <w:rsid w:val="003036F3"/>
    <w:rsid w:val="0030463E"/>
    <w:rsid w:val="00304AB6"/>
    <w:rsid w:val="00304ED6"/>
    <w:rsid w:val="003064BF"/>
    <w:rsid w:val="00306521"/>
    <w:rsid w:val="00307223"/>
    <w:rsid w:val="00307B47"/>
    <w:rsid w:val="00307CCA"/>
    <w:rsid w:val="0031034B"/>
    <w:rsid w:val="003107C6"/>
    <w:rsid w:val="00310825"/>
    <w:rsid w:val="0031239E"/>
    <w:rsid w:val="003123BD"/>
    <w:rsid w:val="00312AB8"/>
    <w:rsid w:val="00312FB7"/>
    <w:rsid w:val="00313100"/>
    <w:rsid w:val="00313197"/>
    <w:rsid w:val="0031398C"/>
    <w:rsid w:val="00313B82"/>
    <w:rsid w:val="00313D9B"/>
    <w:rsid w:val="00313F79"/>
    <w:rsid w:val="003142D0"/>
    <w:rsid w:val="00314A3B"/>
    <w:rsid w:val="00315212"/>
    <w:rsid w:val="00315A06"/>
    <w:rsid w:val="00315CD2"/>
    <w:rsid w:val="00316600"/>
    <w:rsid w:val="003166C1"/>
    <w:rsid w:val="00316A8B"/>
    <w:rsid w:val="00316BF6"/>
    <w:rsid w:val="0031733B"/>
    <w:rsid w:val="0031751A"/>
    <w:rsid w:val="00317E87"/>
    <w:rsid w:val="0032081F"/>
    <w:rsid w:val="003212EB"/>
    <w:rsid w:val="003220AC"/>
    <w:rsid w:val="00322121"/>
    <w:rsid w:val="003221EB"/>
    <w:rsid w:val="00322425"/>
    <w:rsid w:val="003225FB"/>
    <w:rsid w:val="003232FE"/>
    <w:rsid w:val="003235CB"/>
    <w:rsid w:val="00323759"/>
    <w:rsid w:val="00323A7C"/>
    <w:rsid w:val="00323C32"/>
    <w:rsid w:val="00323ECF"/>
    <w:rsid w:val="00323FC7"/>
    <w:rsid w:val="00324A1D"/>
    <w:rsid w:val="00325742"/>
    <w:rsid w:val="00325B63"/>
    <w:rsid w:val="00326196"/>
    <w:rsid w:val="00326240"/>
    <w:rsid w:val="00326C33"/>
    <w:rsid w:val="003277FF"/>
    <w:rsid w:val="003278A1"/>
    <w:rsid w:val="00327909"/>
    <w:rsid w:val="00327AB3"/>
    <w:rsid w:val="00327D16"/>
    <w:rsid w:val="00330D77"/>
    <w:rsid w:val="00330FEB"/>
    <w:rsid w:val="00331120"/>
    <w:rsid w:val="00331E0F"/>
    <w:rsid w:val="00331E9D"/>
    <w:rsid w:val="003327DF"/>
    <w:rsid w:val="00332FCC"/>
    <w:rsid w:val="0033371C"/>
    <w:rsid w:val="0033439F"/>
    <w:rsid w:val="0033446E"/>
    <w:rsid w:val="003369FF"/>
    <w:rsid w:val="00336A50"/>
    <w:rsid w:val="00336AEA"/>
    <w:rsid w:val="00336B35"/>
    <w:rsid w:val="0033758C"/>
    <w:rsid w:val="0033764B"/>
    <w:rsid w:val="00340778"/>
    <w:rsid w:val="00340B2C"/>
    <w:rsid w:val="00340B44"/>
    <w:rsid w:val="0034138D"/>
    <w:rsid w:val="003416BE"/>
    <w:rsid w:val="0034170C"/>
    <w:rsid w:val="00341CED"/>
    <w:rsid w:val="00342759"/>
    <w:rsid w:val="00342DC1"/>
    <w:rsid w:val="00343525"/>
    <w:rsid w:val="00343A57"/>
    <w:rsid w:val="00343BDF"/>
    <w:rsid w:val="00343F41"/>
    <w:rsid w:val="0034459F"/>
    <w:rsid w:val="00344FD2"/>
    <w:rsid w:val="00345300"/>
    <w:rsid w:val="00345424"/>
    <w:rsid w:val="003454BA"/>
    <w:rsid w:val="003459F3"/>
    <w:rsid w:val="00345EA7"/>
    <w:rsid w:val="003461F1"/>
    <w:rsid w:val="0034652C"/>
    <w:rsid w:val="0034681A"/>
    <w:rsid w:val="003472BD"/>
    <w:rsid w:val="0034765D"/>
    <w:rsid w:val="00347CFD"/>
    <w:rsid w:val="00347D0E"/>
    <w:rsid w:val="00347F10"/>
    <w:rsid w:val="0035067B"/>
    <w:rsid w:val="00350E0D"/>
    <w:rsid w:val="003512FF"/>
    <w:rsid w:val="00351FA1"/>
    <w:rsid w:val="00351FB4"/>
    <w:rsid w:val="003524FB"/>
    <w:rsid w:val="00352B65"/>
    <w:rsid w:val="003530E5"/>
    <w:rsid w:val="0035373E"/>
    <w:rsid w:val="00353878"/>
    <w:rsid w:val="00353A00"/>
    <w:rsid w:val="003545C1"/>
    <w:rsid w:val="00354A1F"/>
    <w:rsid w:val="00355060"/>
    <w:rsid w:val="00355567"/>
    <w:rsid w:val="00355B11"/>
    <w:rsid w:val="00355C02"/>
    <w:rsid w:val="00355F4E"/>
    <w:rsid w:val="00356117"/>
    <w:rsid w:val="003562B1"/>
    <w:rsid w:val="00356A2B"/>
    <w:rsid w:val="003575DF"/>
    <w:rsid w:val="00357DFD"/>
    <w:rsid w:val="00357E85"/>
    <w:rsid w:val="00360494"/>
    <w:rsid w:val="00360745"/>
    <w:rsid w:val="00360AE4"/>
    <w:rsid w:val="003626C0"/>
    <w:rsid w:val="003629AC"/>
    <w:rsid w:val="00362C5E"/>
    <w:rsid w:val="00362E6F"/>
    <w:rsid w:val="00362FA9"/>
    <w:rsid w:val="00363417"/>
    <w:rsid w:val="003635F2"/>
    <w:rsid w:val="003639E5"/>
    <w:rsid w:val="00363D7A"/>
    <w:rsid w:val="0036404A"/>
    <w:rsid w:val="003640A7"/>
    <w:rsid w:val="00364EA5"/>
    <w:rsid w:val="0036508D"/>
    <w:rsid w:val="003650E8"/>
    <w:rsid w:val="003651C8"/>
    <w:rsid w:val="003652EA"/>
    <w:rsid w:val="00365B48"/>
    <w:rsid w:val="00366CAC"/>
    <w:rsid w:val="00367440"/>
    <w:rsid w:val="00367894"/>
    <w:rsid w:val="003679BA"/>
    <w:rsid w:val="003700A3"/>
    <w:rsid w:val="00370217"/>
    <w:rsid w:val="003708BE"/>
    <w:rsid w:val="00370B40"/>
    <w:rsid w:val="00371690"/>
    <w:rsid w:val="0037240A"/>
    <w:rsid w:val="00373411"/>
    <w:rsid w:val="00373D40"/>
    <w:rsid w:val="00374251"/>
    <w:rsid w:val="003744B3"/>
    <w:rsid w:val="00374D41"/>
    <w:rsid w:val="00374E2C"/>
    <w:rsid w:val="00375439"/>
    <w:rsid w:val="00376121"/>
    <w:rsid w:val="00376A7A"/>
    <w:rsid w:val="00376E2B"/>
    <w:rsid w:val="003770D6"/>
    <w:rsid w:val="003771F5"/>
    <w:rsid w:val="00377540"/>
    <w:rsid w:val="00377BE4"/>
    <w:rsid w:val="00380094"/>
    <w:rsid w:val="003800F0"/>
    <w:rsid w:val="00380B3A"/>
    <w:rsid w:val="00382306"/>
    <w:rsid w:val="00382B86"/>
    <w:rsid w:val="00383071"/>
    <w:rsid w:val="003832EF"/>
    <w:rsid w:val="00383749"/>
    <w:rsid w:val="003837F4"/>
    <w:rsid w:val="003846D9"/>
    <w:rsid w:val="003847DC"/>
    <w:rsid w:val="0038564A"/>
    <w:rsid w:val="0038576C"/>
    <w:rsid w:val="00385800"/>
    <w:rsid w:val="00385F39"/>
    <w:rsid w:val="0038743E"/>
    <w:rsid w:val="003879DF"/>
    <w:rsid w:val="00387DFA"/>
    <w:rsid w:val="0039083F"/>
    <w:rsid w:val="00391374"/>
    <w:rsid w:val="003914D5"/>
    <w:rsid w:val="003915E4"/>
    <w:rsid w:val="00391FAB"/>
    <w:rsid w:val="0039203E"/>
    <w:rsid w:val="00392050"/>
    <w:rsid w:val="003923B4"/>
    <w:rsid w:val="00392539"/>
    <w:rsid w:val="00392677"/>
    <w:rsid w:val="003936EA"/>
    <w:rsid w:val="00393987"/>
    <w:rsid w:val="00393AED"/>
    <w:rsid w:val="003940F7"/>
    <w:rsid w:val="00394981"/>
    <w:rsid w:val="003953A8"/>
    <w:rsid w:val="00395A26"/>
    <w:rsid w:val="00395FCB"/>
    <w:rsid w:val="00396130"/>
    <w:rsid w:val="00396766"/>
    <w:rsid w:val="003968D5"/>
    <w:rsid w:val="00396D6E"/>
    <w:rsid w:val="00396FF0"/>
    <w:rsid w:val="003977E4"/>
    <w:rsid w:val="0039788E"/>
    <w:rsid w:val="00397C74"/>
    <w:rsid w:val="00397E2E"/>
    <w:rsid w:val="00397F3C"/>
    <w:rsid w:val="003A0529"/>
    <w:rsid w:val="003A0962"/>
    <w:rsid w:val="003A32D8"/>
    <w:rsid w:val="003A3551"/>
    <w:rsid w:val="003A35AE"/>
    <w:rsid w:val="003A37E9"/>
    <w:rsid w:val="003A38F0"/>
    <w:rsid w:val="003A42F3"/>
    <w:rsid w:val="003A443D"/>
    <w:rsid w:val="003A47E4"/>
    <w:rsid w:val="003A4932"/>
    <w:rsid w:val="003A4CED"/>
    <w:rsid w:val="003A6627"/>
    <w:rsid w:val="003A6A5A"/>
    <w:rsid w:val="003A7025"/>
    <w:rsid w:val="003A72E9"/>
    <w:rsid w:val="003A7E27"/>
    <w:rsid w:val="003B0173"/>
    <w:rsid w:val="003B0398"/>
    <w:rsid w:val="003B0DA5"/>
    <w:rsid w:val="003B2921"/>
    <w:rsid w:val="003B2E38"/>
    <w:rsid w:val="003B4A4A"/>
    <w:rsid w:val="003B5386"/>
    <w:rsid w:val="003B53A5"/>
    <w:rsid w:val="003B55CA"/>
    <w:rsid w:val="003B59EE"/>
    <w:rsid w:val="003B5B72"/>
    <w:rsid w:val="003B6D71"/>
    <w:rsid w:val="003B6EF2"/>
    <w:rsid w:val="003B7E7A"/>
    <w:rsid w:val="003C0463"/>
    <w:rsid w:val="003C0842"/>
    <w:rsid w:val="003C0905"/>
    <w:rsid w:val="003C0AA4"/>
    <w:rsid w:val="003C0C4A"/>
    <w:rsid w:val="003C0F5F"/>
    <w:rsid w:val="003C1EAF"/>
    <w:rsid w:val="003C267B"/>
    <w:rsid w:val="003C346B"/>
    <w:rsid w:val="003C3731"/>
    <w:rsid w:val="003C39C7"/>
    <w:rsid w:val="003C3C6D"/>
    <w:rsid w:val="003C40EE"/>
    <w:rsid w:val="003C4206"/>
    <w:rsid w:val="003C42F7"/>
    <w:rsid w:val="003C479F"/>
    <w:rsid w:val="003C4884"/>
    <w:rsid w:val="003C5092"/>
    <w:rsid w:val="003C5A73"/>
    <w:rsid w:val="003C5DEF"/>
    <w:rsid w:val="003C641E"/>
    <w:rsid w:val="003C6C81"/>
    <w:rsid w:val="003C6CC1"/>
    <w:rsid w:val="003C6F33"/>
    <w:rsid w:val="003D047F"/>
    <w:rsid w:val="003D0576"/>
    <w:rsid w:val="003D0FBC"/>
    <w:rsid w:val="003D1197"/>
    <w:rsid w:val="003D1210"/>
    <w:rsid w:val="003D2333"/>
    <w:rsid w:val="003D2521"/>
    <w:rsid w:val="003D298F"/>
    <w:rsid w:val="003D2FBA"/>
    <w:rsid w:val="003D3161"/>
    <w:rsid w:val="003D3227"/>
    <w:rsid w:val="003D36B8"/>
    <w:rsid w:val="003D3A55"/>
    <w:rsid w:val="003D408F"/>
    <w:rsid w:val="003D4347"/>
    <w:rsid w:val="003D5413"/>
    <w:rsid w:val="003D54E0"/>
    <w:rsid w:val="003D5996"/>
    <w:rsid w:val="003D59E2"/>
    <w:rsid w:val="003D5BCA"/>
    <w:rsid w:val="003D5D5D"/>
    <w:rsid w:val="003D60A4"/>
    <w:rsid w:val="003D60B7"/>
    <w:rsid w:val="003D6407"/>
    <w:rsid w:val="003D647A"/>
    <w:rsid w:val="003D6B1D"/>
    <w:rsid w:val="003D6E30"/>
    <w:rsid w:val="003D70B5"/>
    <w:rsid w:val="003D79C5"/>
    <w:rsid w:val="003D7B41"/>
    <w:rsid w:val="003D7B45"/>
    <w:rsid w:val="003E03E3"/>
    <w:rsid w:val="003E05FE"/>
    <w:rsid w:val="003E0CD7"/>
    <w:rsid w:val="003E14F0"/>
    <w:rsid w:val="003E30D9"/>
    <w:rsid w:val="003E32D8"/>
    <w:rsid w:val="003E3E19"/>
    <w:rsid w:val="003E417D"/>
    <w:rsid w:val="003E427F"/>
    <w:rsid w:val="003E47DE"/>
    <w:rsid w:val="003E4CDE"/>
    <w:rsid w:val="003E4CFE"/>
    <w:rsid w:val="003E4F42"/>
    <w:rsid w:val="003E5075"/>
    <w:rsid w:val="003E5233"/>
    <w:rsid w:val="003E570A"/>
    <w:rsid w:val="003E5F95"/>
    <w:rsid w:val="003E6F0B"/>
    <w:rsid w:val="003F00D4"/>
    <w:rsid w:val="003F00DF"/>
    <w:rsid w:val="003F018C"/>
    <w:rsid w:val="003F09CB"/>
    <w:rsid w:val="003F10D3"/>
    <w:rsid w:val="003F1150"/>
    <w:rsid w:val="003F140D"/>
    <w:rsid w:val="003F143C"/>
    <w:rsid w:val="003F1548"/>
    <w:rsid w:val="003F176D"/>
    <w:rsid w:val="003F228F"/>
    <w:rsid w:val="003F22E0"/>
    <w:rsid w:val="003F274F"/>
    <w:rsid w:val="003F2B3D"/>
    <w:rsid w:val="003F3105"/>
    <w:rsid w:val="003F3328"/>
    <w:rsid w:val="003F3C34"/>
    <w:rsid w:val="003F3ED7"/>
    <w:rsid w:val="003F4172"/>
    <w:rsid w:val="003F4222"/>
    <w:rsid w:val="003F4249"/>
    <w:rsid w:val="003F4251"/>
    <w:rsid w:val="003F44CA"/>
    <w:rsid w:val="003F461D"/>
    <w:rsid w:val="003F4940"/>
    <w:rsid w:val="003F4C90"/>
    <w:rsid w:val="003F5071"/>
    <w:rsid w:val="003F5086"/>
    <w:rsid w:val="003F550A"/>
    <w:rsid w:val="003F6ECC"/>
    <w:rsid w:val="003F7EFA"/>
    <w:rsid w:val="0040013E"/>
    <w:rsid w:val="00400C90"/>
    <w:rsid w:val="004012F6"/>
    <w:rsid w:val="00401D27"/>
    <w:rsid w:val="00402D65"/>
    <w:rsid w:val="00402E02"/>
    <w:rsid w:val="00403364"/>
    <w:rsid w:val="00403971"/>
    <w:rsid w:val="0040415C"/>
    <w:rsid w:val="00404D74"/>
    <w:rsid w:val="00404E03"/>
    <w:rsid w:val="00405080"/>
    <w:rsid w:val="0040518A"/>
    <w:rsid w:val="00405693"/>
    <w:rsid w:val="004056F3"/>
    <w:rsid w:val="0040616D"/>
    <w:rsid w:val="00406215"/>
    <w:rsid w:val="00406EF0"/>
    <w:rsid w:val="0040725A"/>
    <w:rsid w:val="00411BB1"/>
    <w:rsid w:val="004126A1"/>
    <w:rsid w:val="00412FA3"/>
    <w:rsid w:val="0041450E"/>
    <w:rsid w:val="004148E1"/>
    <w:rsid w:val="00414BCB"/>
    <w:rsid w:val="00414FE4"/>
    <w:rsid w:val="00415370"/>
    <w:rsid w:val="00415762"/>
    <w:rsid w:val="00415781"/>
    <w:rsid w:val="00415800"/>
    <w:rsid w:val="00415A0B"/>
    <w:rsid w:val="00415C60"/>
    <w:rsid w:val="00415CFE"/>
    <w:rsid w:val="00415F80"/>
    <w:rsid w:val="00416353"/>
    <w:rsid w:val="00416BB6"/>
    <w:rsid w:val="00416F40"/>
    <w:rsid w:val="00417769"/>
    <w:rsid w:val="00417819"/>
    <w:rsid w:val="00420819"/>
    <w:rsid w:val="004215BB"/>
    <w:rsid w:val="0042173F"/>
    <w:rsid w:val="0042192C"/>
    <w:rsid w:val="00421EF2"/>
    <w:rsid w:val="0042241E"/>
    <w:rsid w:val="00422668"/>
    <w:rsid w:val="00422EC3"/>
    <w:rsid w:val="004230B6"/>
    <w:rsid w:val="004235A9"/>
    <w:rsid w:val="004235EE"/>
    <w:rsid w:val="00423782"/>
    <w:rsid w:val="00423AE9"/>
    <w:rsid w:val="00423C30"/>
    <w:rsid w:val="00423D94"/>
    <w:rsid w:val="00424B17"/>
    <w:rsid w:val="00424CC9"/>
    <w:rsid w:val="00424E40"/>
    <w:rsid w:val="00424E61"/>
    <w:rsid w:val="004259E2"/>
    <w:rsid w:val="00426176"/>
    <w:rsid w:val="004262D0"/>
    <w:rsid w:val="00426699"/>
    <w:rsid w:val="00426865"/>
    <w:rsid w:val="00426979"/>
    <w:rsid w:val="00426CA0"/>
    <w:rsid w:val="00427460"/>
    <w:rsid w:val="0042747D"/>
    <w:rsid w:val="004277E6"/>
    <w:rsid w:val="0043061B"/>
    <w:rsid w:val="00430622"/>
    <w:rsid w:val="004306B1"/>
    <w:rsid w:val="004311CE"/>
    <w:rsid w:val="0043166B"/>
    <w:rsid w:val="00431AC1"/>
    <w:rsid w:val="004322D7"/>
    <w:rsid w:val="00432468"/>
    <w:rsid w:val="00432796"/>
    <w:rsid w:val="00432989"/>
    <w:rsid w:val="004329C9"/>
    <w:rsid w:val="00432C23"/>
    <w:rsid w:val="00432CD5"/>
    <w:rsid w:val="00432D2B"/>
    <w:rsid w:val="00433AF2"/>
    <w:rsid w:val="00433C4C"/>
    <w:rsid w:val="00433CFE"/>
    <w:rsid w:val="00434450"/>
    <w:rsid w:val="00434AAB"/>
    <w:rsid w:val="00434F05"/>
    <w:rsid w:val="00435592"/>
    <w:rsid w:val="00435AC8"/>
    <w:rsid w:val="00435E27"/>
    <w:rsid w:val="00435F06"/>
    <w:rsid w:val="0043631C"/>
    <w:rsid w:val="004363FA"/>
    <w:rsid w:val="004364CC"/>
    <w:rsid w:val="00436B89"/>
    <w:rsid w:val="00437AC3"/>
    <w:rsid w:val="00437D2B"/>
    <w:rsid w:val="004405B0"/>
    <w:rsid w:val="00440CCD"/>
    <w:rsid w:val="00440D3E"/>
    <w:rsid w:val="004417BD"/>
    <w:rsid w:val="00441A35"/>
    <w:rsid w:val="00441FF9"/>
    <w:rsid w:val="00442A49"/>
    <w:rsid w:val="004431A8"/>
    <w:rsid w:val="004431D7"/>
    <w:rsid w:val="0044363A"/>
    <w:rsid w:val="004436E9"/>
    <w:rsid w:val="004437B2"/>
    <w:rsid w:val="0044382F"/>
    <w:rsid w:val="00443DE8"/>
    <w:rsid w:val="0044408A"/>
    <w:rsid w:val="004442EB"/>
    <w:rsid w:val="004443A5"/>
    <w:rsid w:val="004448C6"/>
    <w:rsid w:val="00444C64"/>
    <w:rsid w:val="0044507C"/>
    <w:rsid w:val="00445DF5"/>
    <w:rsid w:val="00450EB4"/>
    <w:rsid w:val="004510A4"/>
    <w:rsid w:val="004510D8"/>
    <w:rsid w:val="0045135E"/>
    <w:rsid w:val="0045137F"/>
    <w:rsid w:val="00451544"/>
    <w:rsid w:val="00452683"/>
    <w:rsid w:val="004535B0"/>
    <w:rsid w:val="00453A9A"/>
    <w:rsid w:val="00453E31"/>
    <w:rsid w:val="00454597"/>
    <w:rsid w:val="004548E6"/>
    <w:rsid w:val="0045493D"/>
    <w:rsid w:val="004552F4"/>
    <w:rsid w:val="0045541F"/>
    <w:rsid w:val="0045543A"/>
    <w:rsid w:val="0045561A"/>
    <w:rsid w:val="004556D9"/>
    <w:rsid w:val="004561F9"/>
    <w:rsid w:val="0045637C"/>
    <w:rsid w:val="004566F5"/>
    <w:rsid w:val="0045695D"/>
    <w:rsid w:val="00457E92"/>
    <w:rsid w:val="00460096"/>
    <w:rsid w:val="004610C6"/>
    <w:rsid w:val="00461BF2"/>
    <w:rsid w:val="00463416"/>
    <w:rsid w:val="00463869"/>
    <w:rsid w:val="00463CF9"/>
    <w:rsid w:val="00463EAF"/>
    <w:rsid w:val="00464A9C"/>
    <w:rsid w:val="00464E8F"/>
    <w:rsid w:val="00464F23"/>
    <w:rsid w:val="004657B3"/>
    <w:rsid w:val="004660F5"/>
    <w:rsid w:val="00466830"/>
    <w:rsid w:val="00466C93"/>
    <w:rsid w:val="00467567"/>
    <w:rsid w:val="00467BC2"/>
    <w:rsid w:val="00467C44"/>
    <w:rsid w:val="00467CFB"/>
    <w:rsid w:val="00470418"/>
    <w:rsid w:val="004705F7"/>
    <w:rsid w:val="0047068C"/>
    <w:rsid w:val="00471E81"/>
    <w:rsid w:val="004724AF"/>
    <w:rsid w:val="004724E2"/>
    <w:rsid w:val="004727C4"/>
    <w:rsid w:val="004727E8"/>
    <w:rsid w:val="00472FFE"/>
    <w:rsid w:val="0047322A"/>
    <w:rsid w:val="00473357"/>
    <w:rsid w:val="00473379"/>
    <w:rsid w:val="0047352D"/>
    <w:rsid w:val="004743CB"/>
    <w:rsid w:val="00474B50"/>
    <w:rsid w:val="00475FA8"/>
    <w:rsid w:val="0047652F"/>
    <w:rsid w:val="00476FE9"/>
    <w:rsid w:val="00477BD1"/>
    <w:rsid w:val="00477F96"/>
    <w:rsid w:val="00477FAF"/>
    <w:rsid w:val="0048027B"/>
    <w:rsid w:val="004807AC"/>
    <w:rsid w:val="00481272"/>
    <w:rsid w:val="00481638"/>
    <w:rsid w:val="004817B5"/>
    <w:rsid w:val="00481E94"/>
    <w:rsid w:val="00482199"/>
    <w:rsid w:val="0048231B"/>
    <w:rsid w:val="00482478"/>
    <w:rsid w:val="004826FF"/>
    <w:rsid w:val="00482CCF"/>
    <w:rsid w:val="004830D2"/>
    <w:rsid w:val="00483131"/>
    <w:rsid w:val="00483170"/>
    <w:rsid w:val="0048383D"/>
    <w:rsid w:val="004851E8"/>
    <w:rsid w:val="00485580"/>
    <w:rsid w:val="00485811"/>
    <w:rsid w:val="00485E3C"/>
    <w:rsid w:val="00485F89"/>
    <w:rsid w:val="00486A68"/>
    <w:rsid w:val="00486B09"/>
    <w:rsid w:val="00487CFA"/>
    <w:rsid w:val="004901CA"/>
    <w:rsid w:val="00490A10"/>
    <w:rsid w:val="00490A62"/>
    <w:rsid w:val="00490E9E"/>
    <w:rsid w:val="00491F9F"/>
    <w:rsid w:val="004920D9"/>
    <w:rsid w:val="0049242A"/>
    <w:rsid w:val="00492735"/>
    <w:rsid w:val="00492B25"/>
    <w:rsid w:val="00492EC7"/>
    <w:rsid w:val="004930B8"/>
    <w:rsid w:val="00493C96"/>
    <w:rsid w:val="00494932"/>
    <w:rsid w:val="00494FC9"/>
    <w:rsid w:val="00494FF0"/>
    <w:rsid w:val="004950F8"/>
    <w:rsid w:val="00495192"/>
    <w:rsid w:val="00495211"/>
    <w:rsid w:val="004956F2"/>
    <w:rsid w:val="00495B23"/>
    <w:rsid w:val="00496AD4"/>
    <w:rsid w:val="004970B6"/>
    <w:rsid w:val="00497B89"/>
    <w:rsid w:val="004A0324"/>
    <w:rsid w:val="004A034D"/>
    <w:rsid w:val="004A0C25"/>
    <w:rsid w:val="004A0E76"/>
    <w:rsid w:val="004A1222"/>
    <w:rsid w:val="004A15F4"/>
    <w:rsid w:val="004A1EA2"/>
    <w:rsid w:val="004A201B"/>
    <w:rsid w:val="004A27B0"/>
    <w:rsid w:val="004A2B6F"/>
    <w:rsid w:val="004A3807"/>
    <w:rsid w:val="004A3BB0"/>
    <w:rsid w:val="004A4377"/>
    <w:rsid w:val="004A4D2B"/>
    <w:rsid w:val="004A525D"/>
    <w:rsid w:val="004A52C4"/>
    <w:rsid w:val="004A57EB"/>
    <w:rsid w:val="004A5824"/>
    <w:rsid w:val="004A58D8"/>
    <w:rsid w:val="004A6211"/>
    <w:rsid w:val="004B0095"/>
    <w:rsid w:val="004B05E1"/>
    <w:rsid w:val="004B181D"/>
    <w:rsid w:val="004B1CAB"/>
    <w:rsid w:val="004B2F20"/>
    <w:rsid w:val="004B36ED"/>
    <w:rsid w:val="004B3956"/>
    <w:rsid w:val="004B398F"/>
    <w:rsid w:val="004B3A1F"/>
    <w:rsid w:val="004B3D44"/>
    <w:rsid w:val="004B3FD4"/>
    <w:rsid w:val="004B41B5"/>
    <w:rsid w:val="004B4812"/>
    <w:rsid w:val="004B493D"/>
    <w:rsid w:val="004B50AB"/>
    <w:rsid w:val="004B57A6"/>
    <w:rsid w:val="004B612E"/>
    <w:rsid w:val="004B623B"/>
    <w:rsid w:val="004B63F2"/>
    <w:rsid w:val="004B676E"/>
    <w:rsid w:val="004B677A"/>
    <w:rsid w:val="004C04A8"/>
    <w:rsid w:val="004C1315"/>
    <w:rsid w:val="004C1BAB"/>
    <w:rsid w:val="004C2155"/>
    <w:rsid w:val="004C21B7"/>
    <w:rsid w:val="004C2939"/>
    <w:rsid w:val="004C2A81"/>
    <w:rsid w:val="004C35AE"/>
    <w:rsid w:val="004C3D69"/>
    <w:rsid w:val="004C3E02"/>
    <w:rsid w:val="004C3EE4"/>
    <w:rsid w:val="004C4010"/>
    <w:rsid w:val="004C422D"/>
    <w:rsid w:val="004C4CEB"/>
    <w:rsid w:val="004C5853"/>
    <w:rsid w:val="004C5CF1"/>
    <w:rsid w:val="004C66A9"/>
    <w:rsid w:val="004C6D8E"/>
    <w:rsid w:val="004C7A27"/>
    <w:rsid w:val="004C7CAC"/>
    <w:rsid w:val="004C7CE4"/>
    <w:rsid w:val="004D000F"/>
    <w:rsid w:val="004D0551"/>
    <w:rsid w:val="004D0C22"/>
    <w:rsid w:val="004D0D3E"/>
    <w:rsid w:val="004D0FF9"/>
    <w:rsid w:val="004D14C8"/>
    <w:rsid w:val="004D28EF"/>
    <w:rsid w:val="004D2A4E"/>
    <w:rsid w:val="004D3733"/>
    <w:rsid w:val="004D3E79"/>
    <w:rsid w:val="004D3EA7"/>
    <w:rsid w:val="004D3EC0"/>
    <w:rsid w:val="004D4AE0"/>
    <w:rsid w:val="004D4D01"/>
    <w:rsid w:val="004D5A88"/>
    <w:rsid w:val="004D69A2"/>
    <w:rsid w:val="004D6D16"/>
    <w:rsid w:val="004D6D2E"/>
    <w:rsid w:val="004D75E2"/>
    <w:rsid w:val="004D7BF4"/>
    <w:rsid w:val="004D7C92"/>
    <w:rsid w:val="004E0471"/>
    <w:rsid w:val="004E0A57"/>
    <w:rsid w:val="004E0E95"/>
    <w:rsid w:val="004E0FDE"/>
    <w:rsid w:val="004E15EF"/>
    <w:rsid w:val="004E19BA"/>
    <w:rsid w:val="004E1AF8"/>
    <w:rsid w:val="004E23D0"/>
    <w:rsid w:val="004E35BF"/>
    <w:rsid w:val="004E38A2"/>
    <w:rsid w:val="004E38B2"/>
    <w:rsid w:val="004E3936"/>
    <w:rsid w:val="004E397D"/>
    <w:rsid w:val="004E3D80"/>
    <w:rsid w:val="004E41C6"/>
    <w:rsid w:val="004E45B6"/>
    <w:rsid w:val="004E503A"/>
    <w:rsid w:val="004E56EA"/>
    <w:rsid w:val="004E57F7"/>
    <w:rsid w:val="004E58E4"/>
    <w:rsid w:val="004E5D9C"/>
    <w:rsid w:val="004E675B"/>
    <w:rsid w:val="004E6B8E"/>
    <w:rsid w:val="004E6E2E"/>
    <w:rsid w:val="004E75CB"/>
    <w:rsid w:val="004E7AC8"/>
    <w:rsid w:val="004F0543"/>
    <w:rsid w:val="004F056B"/>
    <w:rsid w:val="004F0DDD"/>
    <w:rsid w:val="004F114F"/>
    <w:rsid w:val="004F1E2E"/>
    <w:rsid w:val="004F25B7"/>
    <w:rsid w:val="004F3068"/>
    <w:rsid w:val="004F49DD"/>
    <w:rsid w:val="004F4ACD"/>
    <w:rsid w:val="004F578B"/>
    <w:rsid w:val="004F5D6F"/>
    <w:rsid w:val="004F63F8"/>
    <w:rsid w:val="004F713A"/>
    <w:rsid w:val="004F728C"/>
    <w:rsid w:val="004F72AD"/>
    <w:rsid w:val="004F738C"/>
    <w:rsid w:val="004F7408"/>
    <w:rsid w:val="004F7B92"/>
    <w:rsid w:val="00500035"/>
    <w:rsid w:val="00500BDE"/>
    <w:rsid w:val="00500E97"/>
    <w:rsid w:val="00500F7A"/>
    <w:rsid w:val="005011A4"/>
    <w:rsid w:val="005012AD"/>
    <w:rsid w:val="00501CDD"/>
    <w:rsid w:val="00501F97"/>
    <w:rsid w:val="0050241C"/>
    <w:rsid w:val="005027BB"/>
    <w:rsid w:val="0050319C"/>
    <w:rsid w:val="005033A8"/>
    <w:rsid w:val="005037E1"/>
    <w:rsid w:val="00503A18"/>
    <w:rsid w:val="00503B5C"/>
    <w:rsid w:val="00503B96"/>
    <w:rsid w:val="0050456A"/>
    <w:rsid w:val="00505E1D"/>
    <w:rsid w:val="005068E1"/>
    <w:rsid w:val="00506C12"/>
    <w:rsid w:val="00506CE0"/>
    <w:rsid w:val="005070EA"/>
    <w:rsid w:val="0050728A"/>
    <w:rsid w:val="0050760D"/>
    <w:rsid w:val="005077C5"/>
    <w:rsid w:val="0050796D"/>
    <w:rsid w:val="0051082A"/>
    <w:rsid w:val="00510870"/>
    <w:rsid w:val="005110BA"/>
    <w:rsid w:val="0051168A"/>
    <w:rsid w:val="00511823"/>
    <w:rsid w:val="00511DFB"/>
    <w:rsid w:val="00512085"/>
    <w:rsid w:val="00512205"/>
    <w:rsid w:val="005122F4"/>
    <w:rsid w:val="00513571"/>
    <w:rsid w:val="00513FA3"/>
    <w:rsid w:val="005141DA"/>
    <w:rsid w:val="005143FB"/>
    <w:rsid w:val="00514E36"/>
    <w:rsid w:val="005156A6"/>
    <w:rsid w:val="00515ABC"/>
    <w:rsid w:val="00516393"/>
    <w:rsid w:val="00517871"/>
    <w:rsid w:val="00520B4F"/>
    <w:rsid w:val="005215EF"/>
    <w:rsid w:val="00522423"/>
    <w:rsid w:val="00522A54"/>
    <w:rsid w:val="00522CDA"/>
    <w:rsid w:val="00522DB0"/>
    <w:rsid w:val="00523306"/>
    <w:rsid w:val="0052367E"/>
    <w:rsid w:val="00523B66"/>
    <w:rsid w:val="00523F51"/>
    <w:rsid w:val="00524016"/>
    <w:rsid w:val="005244A4"/>
    <w:rsid w:val="00524595"/>
    <w:rsid w:val="00524AD7"/>
    <w:rsid w:val="00525727"/>
    <w:rsid w:val="00525B43"/>
    <w:rsid w:val="0052639A"/>
    <w:rsid w:val="00526477"/>
    <w:rsid w:val="00526691"/>
    <w:rsid w:val="00527E19"/>
    <w:rsid w:val="0053027E"/>
    <w:rsid w:val="00530755"/>
    <w:rsid w:val="0053076D"/>
    <w:rsid w:val="00530F4C"/>
    <w:rsid w:val="0053133D"/>
    <w:rsid w:val="005313F7"/>
    <w:rsid w:val="00531F39"/>
    <w:rsid w:val="00532607"/>
    <w:rsid w:val="00532767"/>
    <w:rsid w:val="005328BA"/>
    <w:rsid w:val="00532F8B"/>
    <w:rsid w:val="00533920"/>
    <w:rsid w:val="00533DC4"/>
    <w:rsid w:val="0053480E"/>
    <w:rsid w:val="00534CB1"/>
    <w:rsid w:val="00534ED5"/>
    <w:rsid w:val="00535324"/>
    <w:rsid w:val="0053540E"/>
    <w:rsid w:val="00535521"/>
    <w:rsid w:val="0053574C"/>
    <w:rsid w:val="00535969"/>
    <w:rsid w:val="00535F4E"/>
    <w:rsid w:val="005371C4"/>
    <w:rsid w:val="0053749F"/>
    <w:rsid w:val="0054125E"/>
    <w:rsid w:val="005419F2"/>
    <w:rsid w:val="0054209B"/>
    <w:rsid w:val="0054216F"/>
    <w:rsid w:val="005422EB"/>
    <w:rsid w:val="0054294B"/>
    <w:rsid w:val="00542969"/>
    <w:rsid w:val="00542D37"/>
    <w:rsid w:val="00542F18"/>
    <w:rsid w:val="00543157"/>
    <w:rsid w:val="00543397"/>
    <w:rsid w:val="005439A1"/>
    <w:rsid w:val="00543C00"/>
    <w:rsid w:val="00543DFB"/>
    <w:rsid w:val="00544492"/>
    <w:rsid w:val="00544853"/>
    <w:rsid w:val="00544984"/>
    <w:rsid w:val="005450E2"/>
    <w:rsid w:val="00545264"/>
    <w:rsid w:val="005452E2"/>
    <w:rsid w:val="0054549F"/>
    <w:rsid w:val="005456F8"/>
    <w:rsid w:val="0054750F"/>
    <w:rsid w:val="0054786F"/>
    <w:rsid w:val="00547AC8"/>
    <w:rsid w:val="00547BE4"/>
    <w:rsid w:val="0055086B"/>
    <w:rsid w:val="005508E3"/>
    <w:rsid w:val="00550A28"/>
    <w:rsid w:val="00550D43"/>
    <w:rsid w:val="00550DD7"/>
    <w:rsid w:val="005512D5"/>
    <w:rsid w:val="00551350"/>
    <w:rsid w:val="0055175A"/>
    <w:rsid w:val="00551DEC"/>
    <w:rsid w:val="00552096"/>
    <w:rsid w:val="005523F9"/>
    <w:rsid w:val="0055245B"/>
    <w:rsid w:val="0055255F"/>
    <w:rsid w:val="00552717"/>
    <w:rsid w:val="00552D55"/>
    <w:rsid w:val="00553D54"/>
    <w:rsid w:val="00553F9F"/>
    <w:rsid w:val="005545E0"/>
    <w:rsid w:val="00554CB6"/>
    <w:rsid w:val="00554FC3"/>
    <w:rsid w:val="00555523"/>
    <w:rsid w:val="0055563E"/>
    <w:rsid w:val="00555E0D"/>
    <w:rsid w:val="00556796"/>
    <w:rsid w:val="00556E02"/>
    <w:rsid w:val="0055764E"/>
    <w:rsid w:val="00557770"/>
    <w:rsid w:val="0055783F"/>
    <w:rsid w:val="00557CF4"/>
    <w:rsid w:val="00560528"/>
    <w:rsid w:val="00560A5E"/>
    <w:rsid w:val="00560D92"/>
    <w:rsid w:val="00561923"/>
    <w:rsid w:val="00561CA1"/>
    <w:rsid w:val="005630F4"/>
    <w:rsid w:val="0056310A"/>
    <w:rsid w:val="00563C49"/>
    <w:rsid w:val="00564AD0"/>
    <w:rsid w:val="00565AC1"/>
    <w:rsid w:val="00566883"/>
    <w:rsid w:val="005674CA"/>
    <w:rsid w:val="00567907"/>
    <w:rsid w:val="00567A04"/>
    <w:rsid w:val="00567F76"/>
    <w:rsid w:val="00570239"/>
    <w:rsid w:val="005704CB"/>
    <w:rsid w:val="00570D7F"/>
    <w:rsid w:val="005710A9"/>
    <w:rsid w:val="00571D59"/>
    <w:rsid w:val="00572E3E"/>
    <w:rsid w:val="00573335"/>
    <w:rsid w:val="00573619"/>
    <w:rsid w:val="005737F5"/>
    <w:rsid w:val="00573860"/>
    <w:rsid w:val="00573EE9"/>
    <w:rsid w:val="005741C2"/>
    <w:rsid w:val="00574209"/>
    <w:rsid w:val="0057420B"/>
    <w:rsid w:val="00574401"/>
    <w:rsid w:val="0057574C"/>
    <w:rsid w:val="00575951"/>
    <w:rsid w:val="00576330"/>
    <w:rsid w:val="00576566"/>
    <w:rsid w:val="00577E70"/>
    <w:rsid w:val="00577E96"/>
    <w:rsid w:val="00577FBB"/>
    <w:rsid w:val="005800F5"/>
    <w:rsid w:val="00580280"/>
    <w:rsid w:val="0058031C"/>
    <w:rsid w:val="00580611"/>
    <w:rsid w:val="0058135A"/>
    <w:rsid w:val="005815FE"/>
    <w:rsid w:val="005817FD"/>
    <w:rsid w:val="00581EDE"/>
    <w:rsid w:val="00582C36"/>
    <w:rsid w:val="005836AB"/>
    <w:rsid w:val="00583FDC"/>
    <w:rsid w:val="00584058"/>
    <w:rsid w:val="005847E2"/>
    <w:rsid w:val="00585571"/>
    <w:rsid w:val="005855F8"/>
    <w:rsid w:val="00585991"/>
    <w:rsid w:val="00585B91"/>
    <w:rsid w:val="00585D45"/>
    <w:rsid w:val="00586BF1"/>
    <w:rsid w:val="005872CC"/>
    <w:rsid w:val="0058745C"/>
    <w:rsid w:val="005903E4"/>
    <w:rsid w:val="00590954"/>
    <w:rsid w:val="00591256"/>
    <w:rsid w:val="005917DF"/>
    <w:rsid w:val="00592264"/>
    <w:rsid w:val="00592899"/>
    <w:rsid w:val="00592A40"/>
    <w:rsid w:val="00592D17"/>
    <w:rsid w:val="00593386"/>
    <w:rsid w:val="00593604"/>
    <w:rsid w:val="0059424C"/>
    <w:rsid w:val="005943AE"/>
    <w:rsid w:val="0059442B"/>
    <w:rsid w:val="00594826"/>
    <w:rsid w:val="00594881"/>
    <w:rsid w:val="00594884"/>
    <w:rsid w:val="005950D6"/>
    <w:rsid w:val="00595486"/>
    <w:rsid w:val="005958D0"/>
    <w:rsid w:val="00595D8B"/>
    <w:rsid w:val="005962B6"/>
    <w:rsid w:val="005964BF"/>
    <w:rsid w:val="00596B9C"/>
    <w:rsid w:val="00596ED3"/>
    <w:rsid w:val="0059751C"/>
    <w:rsid w:val="0059786C"/>
    <w:rsid w:val="00597919"/>
    <w:rsid w:val="005A0506"/>
    <w:rsid w:val="005A0861"/>
    <w:rsid w:val="005A0B9F"/>
    <w:rsid w:val="005A0C48"/>
    <w:rsid w:val="005A0D08"/>
    <w:rsid w:val="005A0D31"/>
    <w:rsid w:val="005A0DCB"/>
    <w:rsid w:val="005A2FCE"/>
    <w:rsid w:val="005A3476"/>
    <w:rsid w:val="005A3ACA"/>
    <w:rsid w:val="005A3B1B"/>
    <w:rsid w:val="005A42FD"/>
    <w:rsid w:val="005A4707"/>
    <w:rsid w:val="005A496B"/>
    <w:rsid w:val="005A4B19"/>
    <w:rsid w:val="005A4FF1"/>
    <w:rsid w:val="005A5171"/>
    <w:rsid w:val="005A5D1A"/>
    <w:rsid w:val="005A6089"/>
    <w:rsid w:val="005A63D8"/>
    <w:rsid w:val="005A669B"/>
    <w:rsid w:val="005A6E11"/>
    <w:rsid w:val="005A73D7"/>
    <w:rsid w:val="005A7DBE"/>
    <w:rsid w:val="005B009D"/>
    <w:rsid w:val="005B021B"/>
    <w:rsid w:val="005B03F8"/>
    <w:rsid w:val="005B075B"/>
    <w:rsid w:val="005B0A62"/>
    <w:rsid w:val="005B0AEE"/>
    <w:rsid w:val="005B1082"/>
    <w:rsid w:val="005B1BEC"/>
    <w:rsid w:val="005B1DFA"/>
    <w:rsid w:val="005B1EB5"/>
    <w:rsid w:val="005B204B"/>
    <w:rsid w:val="005B2C3A"/>
    <w:rsid w:val="005B32CE"/>
    <w:rsid w:val="005B33DC"/>
    <w:rsid w:val="005B34EE"/>
    <w:rsid w:val="005B3568"/>
    <w:rsid w:val="005B3606"/>
    <w:rsid w:val="005B38B6"/>
    <w:rsid w:val="005B446E"/>
    <w:rsid w:val="005B49B6"/>
    <w:rsid w:val="005B4D55"/>
    <w:rsid w:val="005B5D5E"/>
    <w:rsid w:val="005B5FDA"/>
    <w:rsid w:val="005B68A7"/>
    <w:rsid w:val="005B6AD2"/>
    <w:rsid w:val="005B6E36"/>
    <w:rsid w:val="005B74C5"/>
    <w:rsid w:val="005B7733"/>
    <w:rsid w:val="005B7976"/>
    <w:rsid w:val="005B7A22"/>
    <w:rsid w:val="005C00C1"/>
    <w:rsid w:val="005C047D"/>
    <w:rsid w:val="005C0602"/>
    <w:rsid w:val="005C12A6"/>
    <w:rsid w:val="005C1D73"/>
    <w:rsid w:val="005C2114"/>
    <w:rsid w:val="005C2362"/>
    <w:rsid w:val="005C25DD"/>
    <w:rsid w:val="005C2AB0"/>
    <w:rsid w:val="005C2E28"/>
    <w:rsid w:val="005C3015"/>
    <w:rsid w:val="005C3069"/>
    <w:rsid w:val="005C30A3"/>
    <w:rsid w:val="005C343C"/>
    <w:rsid w:val="005C37F5"/>
    <w:rsid w:val="005C3BD3"/>
    <w:rsid w:val="005C40C7"/>
    <w:rsid w:val="005C42B0"/>
    <w:rsid w:val="005C4A96"/>
    <w:rsid w:val="005C4C7F"/>
    <w:rsid w:val="005C57C8"/>
    <w:rsid w:val="005C63FA"/>
    <w:rsid w:val="005C6F54"/>
    <w:rsid w:val="005C75D1"/>
    <w:rsid w:val="005C773A"/>
    <w:rsid w:val="005C7C28"/>
    <w:rsid w:val="005D0512"/>
    <w:rsid w:val="005D058E"/>
    <w:rsid w:val="005D082B"/>
    <w:rsid w:val="005D0976"/>
    <w:rsid w:val="005D097F"/>
    <w:rsid w:val="005D0E7C"/>
    <w:rsid w:val="005D10BA"/>
    <w:rsid w:val="005D1576"/>
    <w:rsid w:val="005D1762"/>
    <w:rsid w:val="005D1D9F"/>
    <w:rsid w:val="005D2217"/>
    <w:rsid w:val="005D2667"/>
    <w:rsid w:val="005D3EBB"/>
    <w:rsid w:val="005D42B4"/>
    <w:rsid w:val="005D4CF7"/>
    <w:rsid w:val="005D51D9"/>
    <w:rsid w:val="005D5347"/>
    <w:rsid w:val="005D570F"/>
    <w:rsid w:val="005D5CC5"/>
    <w:rsid w:val="005D5DCA"/>
    <w:rsid w:val="005D5E85"/>
    <w:rsid w:val="005D63B4"/>
    <w:rsid w:val="005D6732"/>
    <w:rsid w:val="005D787B"/>
    <w:rsid w:val="005D7E93"/>
    <w:rsid w:val="005E0949"/>
    <w:rsid w:val="005E12BE"/>
    <w:rsid w:val="005E1467"/>
    <w:rsid w:val="005E1F3C"/>
    <w:rsid w:val="005E241F"/>
    <w:rsid w:val="005E281B"/>
    <w:rsid w:val="005E3154"/>
    <w:rsid w:val="005E3DF8"/>
    <w:rsid w:val="005E43B5"/>
    <w:rsid w:val="005E4660"/>
    <w:rsid w:val="005E4F66"/>
    <w:rsid w:val="005E515C"/>
    <w:rsid w:val="005E6499"/>
    <w:rsid w:val="005E6505"/>
    <w:rsid w:val="005E75E3"/>
    <w:rsid w:val="005E7ECD"/>
    <w:rsid w:val="005F0215"/>
    <w:rsid w:val="005F1267"/>
    <w:rsid w:val="005F1D43"/>
    <w:rsid w:val="005F2AC1"/>
    <w:rsid w:val="005F2EA8"/>
    <w:rsid w:val="005F322F"/>
    <w:rsid w:val="005F3322"/>
    <w:rsid w:val="005F3751"/>
    <w:rsid w:val="005F3EC3"/>
    <w:rsid w:val="005F4136"/>
    <w:rsid w:val="005F446D"/>
    <w:rsid w:val="005F5051"/>
    <w:rsid w:val="005F584B"/>
    <w:rsid w:val="005F64C6"/>
    <w:rsid w:val="005F76FB"/>
    <w:rsid w:val="005F784D"/>
    <w:rsid w:val="005F7A0B"/>
    <w:rsid w:val="005F7DAE"/>
    <w:rsid w:val="0060081A"/>
    <w:rsid w:val="00600828"/>
    <w:rsid w:val="006008F1"/>
    <w:rsid w:val="00600C01"/>
    <w:rsid w:val="00600E1B"/>
    <w:rsid w:val="00601735"/>
    <w:rsid w:val="00601BE4"/>
    <w:rsid w:val="006025F2"/>
    <w:rsid w:val="00602AC4"/>
    <w:rsid w:val="00602B46"/>
    <w:rsid w:val="00602BD2"/>
    <w:rsid w:val="006034BF"/>
    <w:rsid w:val="006039B8"/>
    <w:rsid w:val="00604B87"/>
    <w:rsid w:val="00604CBC"/>
    <w:rsid w:val="00604E04"/>
    <w:rsid w:val="00605275"/>
    <w:rsid w:val="00605529"/>
    <w:rsid w:val="00605CAB"/>
    <w:rsid w:val="00605DAE"/>
    <w:rsid w:val="00605DB9"/>
    <w:rsid w:val="0060650E"/>
    <w:rsid w:val="006065CF"/>
    <w:rsid w:val="00606E5D"/>
    <w:rsid w:val="006075BE"/>
    <w:rsid w:val="006076EF"/>
    <w:rsid w:val="006079C8"/>
    <w:rsid w:val="00607C70"/>
    <w:rsid w:val="00610F39"/>
    <w:rsid w:val="00611079"/>
    <w:rsid w:val="00611A4C"/>
    <w:rsid w:val="00612E59"/>
    <w:rsid w:val="0061315B"/>
    <w:rsid w:val="00613648"/>
    <w:rsid w:val="00613C12"/>
    <w:rsid w:val="00613C47"/>
    <w:rsid w:val="00614071"/>
    <w:rsid w:val="00614292"/>
    <w:rsid w:val="006148AC"/>
    <w:rsid w:val="00615654"/>
    <w:rsid w:val="00616201"/>
    <w:rsid w:val="00616225"/>
    <w:rsid w:val="00616C1C"/>
    <w:rsid w:val="00616D5E"/>
    <w:rsid w:val="00616EEC"/>
    <w:rsid w:val="00617270"/>
    <w:rsid w:val="006174C5"/>
    <w:rsid w:val="00617A8B"/>
    <w:rsid w:val="00617C23"/>
    <w:rsid w:val="006200B8"/>
    <w:rsid w:val="0062040C"/>
    <w:rsid w:val="00620422"/>
    <w:rsid w:val="00620A9B"/>
    <w:rsid w:val="006219E3"/>
    <w:rsid w:val="0062224C"/>
    <w:rsid w:val="00622FEA"/>
    <w:rsid w:val="006234A7"/>
    <w:rsid w:val="006237D6"/>
    <w:rsid w:val="006237EE"/>
    <w:rsid w:val="006238B2"/>
    <w:rsid w:val="00623B67"/>
    <w:rsid w:val="00623CDF"/>
    <w:rsid w:val="00623DB1"/>
    <w:rsid w:val="00623E78"/>
    <w:rsid w:val="006241D2"/>
    <w:rsid w:val="006245F3"/>
    <w:rsid w:val="00624B63"/>
    <w:rsid w:val="00624E6F"/>
    <w:rsid w:val="0062529D"/>
    <w:rsid w:val="006252E6"/>
    <w:rsid w:val="0062552F"/>
    <w:rsid w:val="00625B47"/>
    <w:rsid w:val="006267E8"/>
    <w:rsid w:val="00626A11"/>
    <w:rsid w:val="00626BE7"/>
    <w:rsid w:val="0062726B"/>
    <w:rsid w:val="00627353"/>
    <w:rsid w:val="00627ED6"/>
    <w:rsid w:val="006304D2"/>
    <w:rsid w:val="006307EF"/>
    <w:rsid w:val="00630C76"/>
    <w:rsid w:val="006319CA"/>
    <w:rsid w:val="00633107"/>
    <w:rsid w:val="0063310A"/>
    <w:rsid w:val="00634932"/>
    <w:rsid w:val="00634CD1"/>
    <w:rsid w:val="00634E71"/>
    <w:rsid w:val="00634EC0"/>
    <w:rsid w:val="00635233"/>
    <w:rsid w:val="0063627F"/>
    <w:rsid w:val="006362FE"/>
    <w:rsid w:val="006364D6"/>
    <w:rsid w:val="006370A6"/>
    <w:rsid w:val="00637A76"/>
    <w:rsid w:val="00637EE5"/>
    <w:rsid w:val="00640E07"/>
    <w:rsid w:val="006411E4"/>
    <w:rsid w:val="006412A5"/>
    <w:rsid w:val="0064140B"/>
    <w:rsid w:val="006419A2"/>
    <w:rsid w:val="00642012"/>
    <w:rsid w:val="0064266A"/>
    <w:rsid w:val="00642D72"/>
    <w:rsid w:val="006431BC"/>
    <w:rsid w:val="00643671"/>
    <w:rsid w:val="00643819"/>
    <w:rsid w:val="00643B4C"/>
    <w:rsid w:val="00643F85"/>
    <w:rsid w:val="006443CB"/>
    <w:rsid w:val="00644A19"/>
    <w:rsid w:val="00644B55"/>
    <w:rsid w:val="00644F80"/>
    <w:rsid w:val="00645874"/>
    <w:rsid w:val="006478DA"/>
    <w:rsid w:val="006479E0"/>
    <w:rsid w:val="00647A43"/>
    <w:rsid w:val="00647F7B"/>
    <w:rsid w:val="0065074A"/>
    <w:rsid w:val="0065116C"/>
    <w:rsid w:val="00651E96"/>
    <w:rsid w:val="00652423"/>
    <w:rsid w:val="006533F3"/>
    <w:rsid w:val="00653579"/>
    <w:rsid w:val="00653F6B"/>
    <w:rsid w:val="00653FE6"/>
    <w:rsid w:val="0065446A"/>
    <w:rsid w:val="00654C11"/>
    <w:rsid w:val="006551F6"/>
    <w:rsid w:val="0065552B"/>
    <w:rsid w:val="006558F8"/>
    <w:rsid w:val="00656662"/>
    <w:rsid w:val="006566ED"/>
    <w:rsid w:val="00656B4B"/>
    <w:rsid w:val="00660024"/>
    <w:rsid w:val="00660B46"/>
    <w:rsid w:val="00660F6F"/>
    <w:rsid w:val="00661918"/>
    <w:rsid w:val="0066199E"/>
    <w:rsid w:val="00661CD2"/>
    <w:rsid w:val="00661F08"/>
    <w:rsid w:val="00662130"/>
    <w:rsid w:val="00662453"/>
    <w:rsid w:val="00662889"/>
    <w:rsid w:val="00662A5A"/>
    <w:rsid w:val="00662B7E"/>
    <w:rsid w:val="00662F7D"/>
    <w:rsid w:val="0066318E"/>
    <w:rsid w:val="006647A9"/>
    <w:rsid w:val="00664875"/>
    <w:rsid w:val="00664938"/>
    <w:rsid w:val="006649BD"/>
    <w:rsid w:val="00664CE3"/>
    <w:rsid w:val="006650F7"/>
    <w:rsid w:val="006653D7"/>
    <w:rsid w:val="006654F3"/>
    <w:rsid w:val="00665F5E"/>
    <w:rsid w:val="00666091"/>
    <w:rsid w:val="0066657E"/>
    <w:rsid w:val="006665BA"/>
    <w:rsid w:val="006665FE"/>
    <w:rsid w:val="00666A4F"/>
    <w:rsid w:val="00666B25"/>
    <w:rsid w:val="00667106"/>
    <w:rsid w:val="00667460"/>
    <w:rsid w:val="00667FC6"/>
    <w:rsid w:val="006703AA"/>
    <w:rsid w:val="006703D9"/>
    <w:rsid w:val="00670473"/>
    <w:rsid w:val="006704B8"/>
    <w:rsid w:val="006704F6"/>
    <w:rsid w:val="006708EA"/>
    <w:rsid w:val="00670947"/>
    <w:rsid w:val="00671091"/>
    <w:rsid w:val="00671AC7"/>
    <w:rsid w:val="00671EB7"/>
    <w:rsid w:val="00672569"/>
    <w:rsid w:val="0067281B"/>
    <w:rsid w:val="0067426D"/>
    <w:rsid w:val="0067545E"/>
    <w:rsid w:val="00675611"/>
    <w:rsid w:val="00676062"/>
    <w:rsid w:val="006761BA"/>
    <w:rsid w:val="00676C72"/>
    <w:rsid w:val="00676E43"/>
    <w:rsid w:val="00677435"/>
    <w:rsid w:val="00677C33"/>
    <w:rsid w:val="00680936"/>
    <w:rsid w:val="00680D8C"/>
    <w:rsid w:val="0068165C"/>
    <w:rsid w:val="006818B4"/>
    <w:rsid w:val="00681B25"/>
    <w:rsid w:val="00681C66"/>
    <w:rsid w:val="00681D8C"/>
    <w:rsid w:val="00681DEA"/>
    <w:rsid w:val="006820E0"/>
    <w:rsid w:val="00682221"/>
    <w:rsid w:val="006826B4"/>
    <w:rsid w:val="00682725"/>
    <w:rsid w:val="00682A2D"/>
    <w:rsid w:val="00682D87"/>
    <w:rsid w:val="00683502"/>
    <w:rsid w:val="00683A1C"/>
    <w:rsid w:val="00683C37"/>
    <w:rsid w:val="00683E4E"/>
    <w:rsid w:val="00684387"/>
    <w:rsid w:val="006845A2"/>
    <w:rsid w:val="006853A4"/>
    <w:rsid w:val="006853C3"/>
    <w:rsid w:val="006862B9"/>
    <w:rsid w:val="00686546"/>
    <w:rsid w:val="006876CE"/>
    <w:rsid w:val="006877FF"/>
    <w:rsid w:val="0068793A"/>
    <w:rsid w:val="00687B34"/>
    <w:rsid w:val="00690781"/>
    <w:rsid w:val="00690B17"/>
    <w:rsid w:val="0069128F"/>
    <w:rsid w:val="00691404"/>
    <w:rsid w:val="00691415"/>
    <w:rsid w:val="00691580"/>
    <w:rsid w:val="00691C9D"/>
    <w:rsid w:val="0069207C"/>
    <w:rsid w:val="006920A6"/>
    <w:rsid w:val="00692582"/>
    <w:rsid w:val="00692DAF"/>
    <w:rsid w:val="00692FF6"/>
    <w:rsid w:val="006935A7"/>
    <w:rsid w:val="00693652"/>
    <w:rsid w:val="006939E7"/>
    <w:rsid w:val="00693D3E"/>
    <w:rsid w:val="006942F7"/>
    <w:rsid w:val="00694475"/>
    <w:rsid w:val="00694564"/>
    <w:rsid w:val="006946B2"/>
    <w:rsid w:val="00695396"/>
    <w:rsid w:val="006954A0"/>
    <w:rsid w:val="00695620"/>
    <w:rsid w:val="00695659"/>
    <w:rsid w:val="00695D76"/>
    <w:rsid w:val="00695DCE"/>
    <w:rsid w:val="00696142"/>
    <w:rsid w:val="00696A0F"/>
    <w:rsid w:val="006971D2"/>
    <w:rsid w:val="00697AE8"/>
    <w:rsid w:val="00697F01"/>
    <w:rsid w:val="006A017C"/>
    <w:rsid w:val="006A15BA"/>
    <w:rsid w:val="006A1AAE"/>
    <w:rsid w:val="006A1D60"/>
    <w:rsid w:val="006A2150"/>
    <w:rsid w:val="006A241D"/>
    <w:rsid w:val="006A3288"/>
    <w:rsid w:val="006A35A2"/>
    <w:rsid w:val="006A3939"/>
    <w:rsid w:val="006A3C54"/>
    <w:rsid w:val="006A3CB4"/>
    <w:rsid w:val="006A43E6"/>
    <w:rsid w:val="006A45B1"/>
    <w:rsid w:val="006A470C"/>
    <w:rsid w:val="006A4893"/>
    <w:rsid w:val="006A4A1E"/>
    <w:rsid w:val="006A4D1D"/>
    <w:rsid w:val="006A4FC1"/>
    <w:rsid w:val="006A50C7"/>
    <w:rsid w:val="006A5136"/>
    <w:rsid w:val="006A53B9"/>
    <w:rsid w:val="006A5E28"/>
    <w:rsid w:val="006A5E65"/>
    <w:rsid w:val="006A692E"/>
    <w:rsid w:val="006A6A3A"/>
    <w:rsid w:val="006A6E33"/>
    <w:rsid w:val="006A6E5E"/>
    <w:rsid w:val="006A70BE"/>
    <w:rsid w:val="006A7662"/>
    <w:rsid w:val="006A786D"/>
    <w:rsid w:val="006A7F39"/>
    <w:rsid w:val="006B0121"/>
    <w:rsid w:val="006B0128"/>
    <w:rsid w:val="006B059F"/>
    <w:rsid w:val="006B0BA9"/>
    <w:rsid w:val="006B134D"/>
    <w:rsid w:val="006B182B"/>
    <w:rsid w:val="006B1A20"/>
    <w:rsid w:val="006B1C7C"/>
    <w:rsid w:val="006B1EC8"/>
    <w:rsid w:val="006B2136"/>
    <w:rsid w:val="006B3086"/>
    <w:rsid w:val="006B4547"/>
    <w:rsid w:val="006B63D8"/>
    <w:rsid w:val="006B6F32"/>
    <w:rsid w:val="006B7130"/>
    <w:rsid w:val="006B7D4A"/>
    <w:rsid w:val="006B7EF5"/>
    <w:rsid w:val="006C06F7"/>
    <w:rsid w:val="006C1294"/>
    <w:rsid w:val="006C15D1"/>
    <w:rsid w:val="006C201C"/>
    <w:rsid w:val="006C2B05"/>
    <w:rsid w:val="006C2F42"/>
    <w:rsid w:val="006C397B"/>
    <w:rsid w:val="006C408A"/>
    <w:rsid w:val="006C4150"/>
    <w:rsid w:val="006C4F75"/>
    <w:rsid w:val="006C507B"/>
    <w:rsid w:val="006C5186"/>
    <w:rsid w:val="006C51DA"/>
    <w:rsid w:val="006C5214"/>
    <w:rsid w:val="006C5683"/>
    <w:rsid w:val="006C5E33"/>
    <w:rsid w:val="006C5E48"/>
    <w:rsid w:val="006C6434"/>
    <w:rsid w:val="006C6552"/>
    <w:rsid w:val="006C65CC"/>
    <w:rsid w:val="006C6B08"/>
    <w:rsid w:val="006C6CD8"/>
    <w:rsid w:val="006C6CF4"/>
    <w:rsid w:val="006C75A8"/>
    <w:rsid w:val="006D013F"/>
    <w:rsid w:val="006D017F"/>
    <w:rsid w:val="006D0301"/>
    <w:rsid w:val="006D032D"/>
    <w:rsid w:val="006D08DF"/>
    <w:rsid w:val="006D0A14"/>
    <w:rsid w:val="006D10BF"/>
    <w:rsid w:val="006D1C72"/>
    <w:rsid w:val="006D1D3F"/>
    <w:rsid w:val="006D20B4"/>
    <w:rsid w:val="006D211A"/>
    <w:rsid w:val="006D2145"/>
    <w:rsid w:val="006D253B"/>
    <w:rsid w:val="006D3441"/>
    <w:rsid w:val="006D35DB"/>
    <w:rsid w:val="006D3C4F"/>
    <w:rsid w:val="006D3D5E"/>
    <w:rsid w:val="006D44D0"/>
    <w:rsid w:val="006D5625"/>
    <w:rsid w:val="006D57CB"/>
    <w:rsid w:val="006D5A82"/>
    <w:rsid w:val="006D5D92"/>
    <w:rsid w:val="006D60EE"/>
    <w:rsid w:val="006D6550"/>
    <w:rsid w:val="006D6CDD"/>
    <w:rsid w:val="006D719D"/>
    <w:rsid w:val="006D7444"/>
    <w:rsid w:val="006D7A4C"/>
    <w:rsid w:val="006E044C"/>
    <w:rsid w:val="006E1267"/>
    <w:rsid w:val="006E2251"/>
    <w:rsid w:val="006E2AF2"/>
    <w:rsid w:val="006E36D4"/>
    <w:rsid w:val="006E3992"/>
    <w:rsid w:val="006E3AAD"/>
    <w:rsid w:val="006E4238"/>
    <w:rsid w:val="006E4239"/>
    <w:rsid w:val="006E447A"/>
    <w:rsid w:val="006E44FC"/>
    <w:rsid w:val="006E4511"/>
    <w:rsid w:val="006E4560"/>
    <w:rsid w:val="006E665F"/>
    <w:rsid w:val="006E6948"/>
    <w:rsid w:val="006E71FE"/>
    <w:rsid w:val="006E720E"/>
    <w:rsid w:val="006E7B97"/>
    <w:rsid w:val="006E7C1C"/>
    <w:rsid w:val="006E7D23"/>
    <w:rsid w:val="006F05FD"/>
    <w:rsid w:val="006F063E"/>
    <w:rsid w:val="006F0B83"/>
    <w:rsid w:val="006F15F3"/>
    <w:rsid w:val="006F1BBB"/>
    <w:rsid w:val="006F1C92"/>
    <w:rsid w:val="006F2173"/>
    <w:rsid w:val="006F2318"/>
    <w:rsid w:val="006F2550"/>
    <w:rsid w:val="006F2CA3"/>
    <w:rsid w:val="006F3B10"/>
    <w:rsid w:val="006F3EA8"/>
    <w:rsid w:val="006F41BA"/>
    <w:rsid w:val="006F41E7"/>
    <w:rsid w:val="006F4740"/>
    <w:rsid w:val="006F49A7"/>
    <w:rsid w:val="006F4CB8"/>
    <w:rsid w:val="006F568F"/>
    <w:rsid w:val="006F6798"/>
    <w:rsid w:val="006F6D4C"/>
    <w:rsid w:val="006F6E67"/>
    <w:rsid w:val="006F7157"/>
    <w:rsid w:val="006F78E0"/>
    <w:rsid w:val="006F7BF5"/>
    <w:rsid w:val="006F7FE0"/>
    <w:rsid w:val="0070032D"/>
    <w:rsid w:val="00701590"/>
    <w:rsid w:val="00701CF4"/>
    <w:rsid w:val="007020E9"/>
    <w:rsid w:val="00702150"/>
    <w:rsid w:val="00702B1B"/>
    <w:rsid w:val="00702CFE"/>
    <w:rsid w:val="0070395E"/>
    <w:rsid w:val="00704164"/>
    <w:rsid w:val="00704531"/>
    <w:rsid w:val="00704E3D"/>
    <w:rsid w:val="00705031"/>
    <w:rsid w:val="007053D4"/>
    <w:rsid w:val="00705F52"/>
    <w:rsid w:val="00706277"/>
    <w:rsid w:val="0070651E"/>
    <w:rsid w:val="00706A58"/>
    <w:rsid w:val="00706C93"/>
    <w:rsid w:val="00710253"/>
    <w:rsid w:val="00710437"/>
    <w:rsid w:val="00711022"/>
    <w:rsid w:val="007110E1"/>
    <w:rsid w:val="00711CFE"/>
    <w:rsid w:val="00711DED"/>
    <w:rsid w:val="00712584"/>
    <w:rsid w:val="007127F4"/>
    <w:rsid w:val="00713662"/>
    <w:rsid w:val="007139C3"/>
    <w:rsid w:val="007142A7"/>
    <w:rsid w:val="00714394"/>
    <w:rsid w:val="007143BC"/>
    <w:rsid w:val="00714C0F"/>
    <w:rsid w:val="00714E44"/>
    <w:rsid w:val="007150B9"/>
    <w:rsid w:val="00715199"/>
    <w:rsid w:val="00715639"/>
    <w:rsid w:val="00715AAC"/>
    <w:rsid w:val="007163F8"/>
    <w:rsid w:val="00716498"/>
    <w:rsid w:val="00716B9D"/>
    <w:rsid w:val="00716D40"/>
    <w:rsid w:val="00716E93"/>
    <w:rsid w:val="0071729C"/>
    <w:rsid w:val="00720A0F"/>
    <w:rsid w:val="00720A60"/>
    <w:rsid w:val="00720ADE"/>
    <w:rsid w:val="007210F5"/>
    <w:rsid w:val="00721235"/>
    <w:rsid w:val="00721282"/>
    <w:rsid w:val="007213BB"/>
    <w:rsid w:val="00721946"/>
    <w:rsid w:val="00721AFE"/>
    <w:rsid w:val="00721F7E"/>
    <w:rsid w:val="00721FE5"/>
    <w:rsid w:val="0072238C"/>
    <w:rsid w:val="007225B1"/>
    <w:rsid w:val="00722E29"/>
    <w:rsid w:val="007238C5"/>
    <w:rsid w:val="00724606"/>
    <w:rsid w:val="00724E85"/>
    <w:rsid w:val="00725860"/>
    <w:rsid w:val="00725FAE"/>
    <w:rsid w:val="007266DD"/>
    <w:rsid w:val="00726B00"/>
    <w:rsid w:val="00726DA7"/>
    <w:rsid w:val="00727583"/>
    <w:rsid w:val="00730073"/>
    <w:rsid w:val="00730F89"/>
    <w:rsid w:val="007314D4"/>
    <w:rsid w:val="00732E20"/>
    <w:rsid w:val="00733025"/>
    <w:rsid w:val="007334DC"/>
    <w:rsid w:val="00734887"/>
    <w:rsid w:val="00734994"/>
    <w:rsid w:val="00735BFA"/>
    <w:rsid w:val="0073642E"/>
    <w:rsid w:val="007365B6"/>
    <w:rsid w:val="00736B84"/>
    <w:rsid w:val="00737EBD"/>
    <w:rsid w:val="007401E2"/>
    <w:rsid w:val="0074077D"/>
    <w:rsid w:val="0074081A"/>
    <w:rsid w:val="00740B49"/>
    <w:rsid w:val="00740E33"/>
    <w:rsid w:val="007411E5"/>
    <w:rsid w:val="00741697"/>
    <w:rsid w:val="00742F8A"/>
    <w:rsid w:val="007431CD"/>
    <w:rsid w:val="007443C2"/>
    <w:rsid w:val="007447A4"/>
    <w:rsid w:val="00744FA3"/>
    <w:rsid w:val="00745385"/>
    <w:rsid w:val="00745726"/>
    <w:rsid w:val="00745AE0"/>
    <w:rsid w:val="00746951"/>
    <w:rsid w:val="0074722C"/>
    <w:rsid w:val="0074751B"/>
    <w:rsid w:val="0074791E"/>
    <w:rsid w:val="0075001A"/>
    <w:rsid w:val="00750376"/>
    <w:rsid w:val="00750904"/>
    <w:rsid w:val="00750A08"/>
    <w:rsid w:val="00750A66"/>
    <w:rsid w:val="00750B28"/>
    <w:rsid w:val="00750D30"/>
    <w:rsid w:val="0075115D"/>
    <w:rsid w:val="007517F3"/>
    <w:rsid w:val="00751A01"/>
    <w:rsid w:val="007523F2"/>
    <w:rsid w:val="007524D7"/>
    <w:rsid w:val="0075283C"/>
    <w:rsid w:val="00753069"/>
    <w:rsid w:val="0075372E"/>
    <w:rsid w:val="00753890"/>
    <w:rsid w:val="00753B7D"/>
    <w:rsid w:val="00754A33"/>
    <w:rsid w:val="00754EEC"/>
    <w:rsid w:val="0075500C"/>
    <w:rsid w:val="0075501A"/>
    <w:rsid w:val="007555DF"/>
    <w:rsid w:val="00755818"/>
    <w:rsid w:val="00755D21"/>
    <w:rsid w:val="00755E75"/>
    <w:rsid w:val="007564E1"/>
    <w:rsid w:val="007565B5"/>
    <w:rsid w:val="00756C43"/>
    <w:rsid w:val="0075775A"/>
    <w:rsid w:val="007600E6"/>
    <w:rsid w:val="00760C40"/>
    <w:rsid w:val="00760D49"/>
    <w:rsid w:val="00760FBE"/>
    <w:rsid w:val="0076118F"/>
    <w:rsid w:val="00761434"/>
    <w:rsid w:val="00761721"/>
    <w:rsid w:val="007618EF"/>
    <w:rsid w:val="00761ADD"/>
    <w:rsid w:val="00761FD5"/>
    <w:rsid w:val="00763721"/>
    <w:rsid w:val="00763B6C"/>
    <w:rsid w:val="00763DB6"/>
    <w:rsid w:val="00764054"/>
    <w:rsid w:val="00764F70"/>
    <w:rsid w:val="00765CC3"/>
    <w:rsid w:val="00765DD8"/>
    <w:rsid w:val="007666DD"/>
    <w:rsid w:val="007669D3"/>
    <w:rsid w:val="00766D36"/>
    <w:rsid w:val="007673C6"/>
    <w:rsid w:val="00767607"/>
    <w:rsid w:val="00767985"/>
    <w:rsid w:val="00770825"/>
    <w:rsid w:val="007709CB"/>
    <w:rsid w:val="0077158D"/>
    <w:rsid w:val="0077165F"/>
    <w:rsid w:val="00772803"/>
    <w:rsid w:val="00772EDF"/>
    <w:rsid w:val="00772FA4"/>
    <w:rsid w:val="007735C4"/>
    <w:rsid w:val="00773874"/>
    <w:rsid w:val="00773D56"/>
    <w:rsid w:val="0077477A"/>
    <w:rsid w:val="00774BFF"/>
    <w:rsid w:val="00774FDC"/>
    <w:rsid w:val="00775048"/>
    <w:rsid w:val="00775273"/>
    <w:rsid w:val="00775861"/>
    <w:rsid w:val="00775952"/>
    <w:rsid w:val="00775B52"/>
    <w:rsid w:val="00775EED"/>
    <w:rsid w:val="007762C6"/>
    <w:rsid w:val="007765DF"/>
    <w:rsid w:val="007770B9"/>
    <w:rsid w:val="00777117"/>
    <w:rsid w:val="00780A4F"/>
    <w:rsid w:val="00780D88"/>
    <w:rsid w:val="00780F42"/>
    <w:rsid w:val="0078126C"/>
    <w:rsid w:val="00781AD1"/>
    <w:rsid w:val="0078258B"/>
    <w:rsid w:val="00783BCC"/>
    <w:rsid w:val="007840F3"/>
    <w:rsid w:val="00784121"/>
    <w:rsid w:val="007842A0"/>
    <w:rsid w:val="00784315"/>
    <w:rsid w:val="00784B64"/>
    <w:rsid w:val="00784D55"/>
    <w:rsid w:val="00785491"/>
    <w:rsid w:val="007858C0"/>
    <w:rsid w:val="007863BB"/>
    <w:rsid w:val="0078665C"/>
    <w:rsid w:val="0078679A"/>
    <w:rsid w:val="00786E65"/>
    <w:rsid w:val="0078707F"/>
    <w:rsid w:val="0078731C"/>
    <w:rsid w:val="00787678"/>
    <w:rsid w:val="00787F23"/>
    <w:rsid w:val="007900CB"/>
    <w:rsid w:val="00790739"/>
    <w:rsid w:val="00790DFB"/>
    <w:rsid w:val="00791B10"/>
    <w:rsid w:val="00791E8B"/>
    <w:rsid w:val="00792447"/>
    <w:rsid w:val="0079251D"/>
    <w:rsid w:val="00792659"/>
    <w:rsid w:val="00792679"/>
    <w:rsid w:val="0079270E"/>
    <w:rsid w:val="00792855"/>
    <w:rsid w:val="00794390"/>
    <w:rsid w:val="0079439A"/>
    <w:rsid w:val="00794A05"/>
    <w:rsid w:val="007957F4"/>
    <w:rsid w:val="00795950"/>
    <w:rsid w:val="00795B64"/>
    <w:rsid w:val="0079656B"/>
    <w:rsid w:val="0079694C"/>
    <w:rsid w:val="00796DBD"/>
    <w:rsid w:val="00797E9D"/>
    <w:rsid w:val="00797FAD"/>
    <w:rsid w:val="007A0AF5"/>
    <w:rsid w:val="007A100B"/>
    <w:rsid w:val="007A354D"/>
    <w:rsid w:val="007A38D8"/>
    <w:rsid w:val="007A3A64"/>
    <w:rsid w:val="007A3DED"/>
    <w:rsid w:val="007A4C77"/>
    <w:rsid w:val="007A4DEC"/>
    <w:rsid w:val="007A4E17"/>
    <w:rsid w:val="007A520F"/>
    <w:rsid w:val="007A56E3"/>
    <w:rsid w:val="007A5961"/>
    <w:rsid w:val="007A5AC1"/>
    <w:rsid w:val="007A5AF4"/>
    <w:rsid w:val="007A641B"/>
    <w:rsid w:val="007A660D"/>
    <w:rsid w:val="007A68DC"/>
    <w:rsid w:val="007A6D0D"/>
    <w:rsid w:val="007A711B"/>
    <w:rsid w:val="007A7394"/>
    <w:rsid w:val="007A7EE5"/>
    <w:rsid w:val="007A7F6D"/>
    <w:rsid w:val="007B04A7"/>
    <w:rsid w:val="007B0522"/>
    <w:rsid w:val="007B0B2B"/>
    <w:rsid w:val="007B0B61"/>
    <w:rsid w:val="007B0FBD"/>
    <w:rsid w:val="007B172E"/>
    <w:rsid w:val="007B1BAF"/>
    <w:rsid w:val="007B1E34"/>
    <w:rsid w:val="007B2245"/>
    <w:rsid w:val="007B225A"/>
    <w:rsid w:val="007B2630"/>
    <w:rsid w:val="007B2896"/>
    <w:rsid w:val="007B2CDD"/>
    <w:rsid w:val="007B3154"/>
    <w:rsid w:val="007B35F7"/>
    <w:rsid w:val="007B3948"/>
    <w:rsid w:val="007B3B4C"/>
    <w:rsid w:val="007B41D6"/>
    <w:rsid w:val="007B4F72"/>
    <w:rsid w:val="007B5445"/>
    <w:rsid w:val="007B58DE"/>
    <w:rsid w:val="007B5C63"/>
    <w:rsid w:val="007B6896"/>
    <w:rsid w:val="007B7764"/>
    <w:rsid w:val="007B79F5"/>
    <w:rsid w:val="007B7AC9"/>
    <w:rsid w:val="007B7BE9"/>
    <w:rsid w:val="007C0A01"/>
    <w:rsid w:val="007C0E04"/>
    <w:rsid w:val="007C123B"/>
    <w:rsid w:val="007C21F1"/>
    <w:rsid w:val="007C24D7"/>
    <w:rsid w:val="007C2647"/>
    <w:rsid w:val="007C2827"/>
    <w:rsid w:val="007C2AAC"/>
    <w:rsid w:val="007C2B1F"/>
    <w:rsid w:val="007C3224"/>
    <w:rsid w:val="007C348F"/>
    <w:rsid w:val="007C34E5"/>
    <w:rsid w:val="007C3813"/>
    <w:rsid w:val="007C3858"/>
    <w:rsid w:val="007C3A26"/>
    <w:rsid w:val="007C3E6A"/>
    <w:rsid w:val="007C41F0"/>
    <w:rsid w:val="007C42C0"/>
    <w:rsid w:val="007C5029"/>
    <w:rsid w:val="007C543F"/>
    <w:rsid w:val="007C5E7D"/>
    <w:rsid w:val="007C5EF9"/>
    <w:rsid w:val="007C6A99"/>
    <w:rsid w:val="007C6BE3"/>
    <w:rsid w:val="007C6DD2"/>
    <w:rsid w:val="007C6E85"/>
    <w:rsid w:val="007C70A7"/>
    <w:rsid w:val="007C73B0"/>
    <w:rsid w:val="007C74E5"/>
    <w:rsid w:val="007C76FB"/>
    <w:rsid w:val="007D024F"/>
    <w:rsid w:val="007D060B"/>
    <w:rsid w:val="007D0E43"/>
    <w:rsid w:val="007D13E7"/>
    <w:rsid w:val="007D1991"/>
    <w:rsid w:val="007D1A65"/>
    <w:rsid w:val="007D1E37"/>
    <w:rsid w:val="007D2037"/>
    <w:rsid w:val="007D232F"/>
    <w:rsid w:val="007D2385"/>
    <w:rsid w:val="007D25D4"/>
    <w:rsid w:val="007D2E2D"/>
    <w:rsid w:val="007D2FF7"/>
    <w:rsid w:val="007D3D9D"/>
    <w:rsid w:val="007D4036"/>
    <w:rsid w:val="007D467A"/>
    <w:rsid w:val="007D48B3"/>
    <w:rsid w:val="007D563E"/>
    <w:rsid w:val="007D5B51"/>
    <w:rsid w:val="007D5FC1"/>
    <w:rsid w:val="007D6B00"/>
    <w:rsid w:val="007D715A"/>
    <w:rsid w:val="007D740C"/>
    <w:rsid w:val="007E0153"/>
    <w:rsid w:val="007E0E9E"/>
    <w:rsid w:val="007E1040"/>
    <w:rsid w:val="007E10A9"/>
    <w:rsid w:val="007E19DC"/>
    <w:rsid w:val="007E21FB"/>
    <w:rsid w:val="007E2347"/>
    <w:rsid w:val="007E26A8"/>
    <w:rsid w:val="007E329D"/>
    <w:rsid w:val="007E39E7"/>
    <w:rsid w:val="007E3AD5"/>
    <w:rsid w:val="007E420B"/>
    <w:rsid w:val="007E47D2"/>
    <w:rsid w:val="007E4932"/>
    <w:rsid w:val="007E49A1"/>
    <w:rsid w:val="007E49D4"/>
    <w:rsid w:val="007E4B8B"/>
    <w:rsid w:val="007E502C"/>
    <w:rsid w:val="007E5153"/>
    <w:rsid w:val="007E5A74"/>
    <w:rsid w:val="007E5BD7"/>
    <w:rsid w:val="007E5F6C"/>
    <w:rsid w:val="007E6023"/>
    <w:rsid w:val="007E6312"/>
    <w:rsid w:val="007E728B"/>
    <w:rsid w:val="007E75F0"/>
    <w:rsid w:val="007E76A3"/>
    <w:rsid w:val="007E784A"/>
    <w:rsid w:val="007E7968"/>
    <w:rsid w:val="007F013A"/>
    <w:rsid w:val="007F067A"/>
    <w:rsid w:val="007F088F"/>
    <w:rsid w:val="007F0995"/>
    <w:rsid w:val="007F0C68"/>
    <w:rsid w:val="007F1244"/>
    <w:rsid w:val="007F1FB0"/>
    <w:rsid w:val="007F2188"/>
    <w:rsid w:val="007F2D90"/>
    <w:rsid w:val="007F4211"/>
    <w:rsid w:val="007F4317"/>
    <w:rsid w:val="007F4F82"/>
    <w:rsid w:val="007F54DB"/>
    <w:rsid w:val="007F69DB"/>
    <w:rsid w:val="007F6A9A"/>
    <w:rsid w:val="007F6B93"/>
    <w:rsid w:val="007F6B9F"/>
    <w:rsid w:val="007F709F"/>
    <w:rsid w:val="007F73DA"/>
    <w:rsid w:val="007F78FA"/>
    <w:rsid w:val="008008F3"/>
    <w:rsid w:val="008013D6"/>
    <w:rsid w:val="008014FC"/>
    <w:rsid w:val="00801CA0"/>
    <w:rsid w:val="00801EEA"/>
    <w:rsid w:val="0080248D"/>
    <w:rsid w:val="00802493"/>
    <w:rsid w:val="00802785"/>
    <w:rsid w:val="00803014"/>
    <w:rsid w:val="008030B8"/>
    <w:rsid w:val="008039FE"/>
    <w:rsid w:val="00804653"/>
    <w:rsid w:val="00805D36"/>
    <w:rsid w:val="00806336"/>
    <w:rsid w:val="008066F8"/>
    <w:rsid w:val="00806A84"/>
    <w:rsid w:val="00806F66"/>
    <w:rsid w:val="008073D2"/>
    <w:rsid w:val="008077B2"/>
    <w:rsid w:val="00807C6C"/>
    <w:rsid w:val="00811F8C"/>
    <w:rsid w:val="0081243E"/>
    <w:rsid w:val="00812B10"/>
    <w:rsid w:val="00813385"/>
    <w:rsid w:val="0081340B"/>
    <w:rsid w:val="008135E0"/>
    <w:rsid w:val="00813D52"/>
    <w:rsid w:val="00813DA5"/>
    <w:rsid w:val="00813E59"/>
    <w:rsid w:val="00814E63"/>
    <w:rsid w:val="0081628A"/>
    <w:rsid w:val="00816BD8"/>
    <w:rsid w:val="00816C39"/>
    <w:rsid w:val="00816E37"/>
    <w:rsid w:val="008175CC"/>
    <w:rsid w:val="00817BB4"/>
    <w:rsid w:val="00817E89"/>
    <w:rsid w:val="00817E9F"/>
    <w:rsid w:val="00821021"/>
    <w:rsid w:val="008214BB"/>
    <w:rsid w:val="00821609"/>
    <w:rsid w:val="00821B58"/>
    <w:rsid w:val="00821DCC"/>
    <w:rsid w:val="0082202C"/>
    <w:rsid w:val="00822117"/>
    <w:rsid w:val="008225E3"/>
    <w:rsid w:val="008227E4"/>
    <w:rsid w:val="00822D06"/>
    <w:rsid w:val="00822D4E"/>
    <w:rsid w:val="00823329"/>
    <w:rsid w:val="008236D8"/>
    <w:rsid w:val="00823B4E"/>
    <w:rsid w:val="00823C0D"/>
    <w:rsid w:val="00823CEC"/>
    <w:rsid w:val="00824594"/>
    <w:rsid w:val="0082460C"/>
    <w:rsid w:val="008249B0"/>
    <w:rsid w:val="00824A07"/>
    <w:rsid w:val="0082578E"/>
    <w:rsid w:val="00825BF1"/>
    <w:rsid w:val="008268A1"/>
    <w:rsid w:val="00826CD4"/>
    <w:rsid w:val="00826D8D"/>
    <w:rsid w:val="00826F17"/>
    <w:rsid w:val="00826F4C"/>
    <w:rsid w:val="00827183"/>
    <w:rsid w:val="0082722A"/>
    <w:rsid w:val="00827797"/>
    <w:rsid w:val="00827B01"/>
    <w:rsid w:val="0083135D"/>
    <w:rsid w:val="00832B12"/>
    <w:rsid w:val="00833014"/>
    <w:rsid w:val="00833970"/>
    <w:rsid w:val="008339B2"/>
    <w:rsid w:val="00833FBB"/>
    <w:rsid w:val="008346A8"/>
    <w:rsid w:val="00834B85"/>
    <w:rsid w:val="00834BCA"/>
    <w:rsid w:val="00834F10"/>
    <w:rsid w:val="008355E4"/>
    <w:rsid w:val="008356E1"/>
    <w:rsid w:val="00836005"/>
    <w:rsid w:val="00836A4D"/>
    <w:rsid w:val="00836F94"/>
    <w:rsid w:val="00837699"/>
    <w:rsid w:val="008377DA"/>
    <w:rsid w:val="00837E29"/>
    <w:rsid w:val="00837FEE"/>
    <w:rsid w:val="008409B9"/>
    <w:rsid w:val="00840AFF"/>
    <w:rsid w:val="00841FF7"/>
    <w:rsid w:val="00842A25"/>
    <w:rsid w:val="00843842"/>
    <w:rsid w:val="008448DD"/>
    <w:rsid w:val="00844D06"/>
    <w:rsid w:val="00844E27"/>
    <w:rsid w:val="00844EC9"/>
    <w:rsid w:val="00845811"/>
    <w:rsid w:val="00845A15"/>
    <w:rsid w:val="00845B51"/>
    <w:rsid w:val="0084632F"/>
    <w:rsid w:val="00847121"/>
    <w:rsid w:val="00847309"/>
    <w:rsid w:val="0084765F"/>
    <w:rsid w:val="00847C0D"/>
    <w:rsid w:val="00847DA7"/>
    <w:rsid w:val="00847EAB"/>
    <w:rsid w:val="00850498"/>
    <w:rsid w:val="00850B51"/>
    <w:rsid w:val="00850C0F"/>
    <w:rsid w:val="00850EF7"/>
    <w:rsid w:val="0085106A"/>
    <w:rsid w:val="008523B0"/>
    <w:rsid w:val="00852A1F"/>
    <w:rsid w:val="00853C37"/>
    <w:rsid w:val="00853F10"/>
    <w:rsid w:val="00853F6C"/>
    <w:rsid w:val="0085468B"/>
    <w:rsid w:val="00854EA0"/>
    <w:rsid w:val="008552DD"/>
    <w:rsid w:val="008552FC"/>
    <w:rsid w:val="00855423"/>
    <w:rsid w:val="00855B06"/>
    <w:rsid w:val="008561BB"/>
    <w:rsid w:val="008565AA"/>
    <w:rsid w:val="00856DDF"/>
    <w:rsid w:val="008574B0"/>
    <w:rsid w:val="008575F9"/>
    <w:rsid w:val="00857D29"/>
    <w:rsid w:val="00857E25"/>
    <w:rsid w:val="00860071"/>
    <w:rsid w:val="008609A4"/>
    <w:rsid w:val="00860A30"/>
    <w:rsid w:val="00861363"/>
    <w:rsid w:val="00862095"/>
    <w:rsid w:val="0086214C"/>
    <w:rsid w:val="00862646"/>
    <w:rsid w:val="008629A8"/>
    <w:rsid w:val="00863089"/>
    <w:rsid w:val="00863198"/>
    <w:rsid w:val="00863465"/>
    <w:rsid w:val="00863541"/>
    <w:rsid w:val="00863544"/>
    <w:rsid w:val="00863B3D"/>
    <w:rsid w:val="008640B5"/>
    <w:rsid w:val="00864C32"/>
    <w:rsid w:val="00864C9F"/>
    <w:rsid w:val="00864D55"/>
    <w:rsid w:val="00865199"/>
    <w:rsid w:val="00865F44"/>
    <w:rsid w:val="0086605D"/>
    <w:rsid w:val="00866572"/>
    <w:rsid w:val="008668D4"/>
    <w:rsid w:val="008679DC"/>
    <w:rsid w:val="00867C3D"/>
    <w:rsid w:val="008706AE"/>
    <w:rsid w:val="00870CB6"/>
    <w:rsid w:val="00871421"/>
    <w:rsid w:val="00871499"/>
    <w:rsid w:val="00872276"/>
    <w:rsid w:val="00872882"/>
    <w:rsid w:val="00873D3D"/>
    <w:rsid w:val="00873FEA"/>
    <w:rsid w:val="0087419B"/>
    <w:rsid w:val="008743DF"/>
    <w:rsid w:val="00874592"/>
    <w:rsid w:val="0087475F"/>
    <w:rsid w:val="0087483C"/>
    <w:rsid w:val="00875679"/>
    <w:rsid w:val="00875E1F"/>
    <w:rsid w:val="0087725B"/>
    <w:rsid w:val="00877527"/>
    <w:rsid w:val="008777A6"/>
    <w:rsid w:val="0088028E"/>
    <w:rsid w:val="008807EE"/>
    <w:rsid w:val="00880A96"/>
    <w:rsid w:val="008818F6"/>
    <w:rsid w:val="00881FFE"/>
    <w:rsid w:val="00882989"/>
    <w:rsid w:val="00882EC4"/>
    <w:rsid w:val="00882F6D"/>
    <w:rsid w:val="00883059"/>
    <w:rsid w:val="0088398E"/>
    <w:rsid w:val="008844D7"/>
    <w:rsid w:val="008846F6"/>
    <w:rsid w:val="00884B9F"/>
    <w:rsid w:val="00885377"/>
    <w:rsid w:val="00885561"/>
    <w:rsid w:val="00885BEA"/>
    <w:rsid w:val="00885CE9"/>
    <w:rsid w:val="008864AD"/>
    <w:rsid w:val="00886AC5"/>
    <w:rsid w:val="00886B4C"/>
    <w:rsid w:val="00887705"/>
    <w:rsid w:val="00887AA0"/>
    <w:rsid w:val="00887E02"/>
    <w:rsid w:val="00890535"/>
    <w:rsid w:val="0089092B"/>
    <w:rsid w:val="008909F3"/>
    <w:rsid w:val="0089194E"/>
    <w:rsid w:val="00891C19"/>
    <w:rsid w:val="00892580"/>
    <w:rsid w:val="00892ADF"/>
    <w:rsid w:val="00892D43"/>
    <w:rsid w:val="008933A7"/>
    <w:rsid w:val="00893479"/>
    <w:rsid w:val="0089373B"/>
    <w:rsid w:val="008937A1"/>
    <w:rsid w:val="00894A90"/>
    <w:rsid w:val="00894EAA"/>
    <w:rsid w:val="00894FC1"/>
    <w:rsid w:val="0089597F"/>
    <w:rsid w:val="008959A9"/>
    <w:rsid w:val="00896845"/>
    <w:rsid w:val="008977CD"/>
    <w:rsid w:val="00897E03"/>
    <w:rsid w:val="00897F77"/>
    <w:rsid w:val="008A017B"/>
    <w:rsid w:val="008A05E0"/>
    <w:rsid w:val="008A0B5A"/>
    <w:rsid w:val="008A1B8F"/>
    <w:rsid w:val="008A1C47"/>
    <w:rsid w:val="008A30D2"/>
    <w:rsid w:val="008A34BF"/>
    <w:rsid w:val="008A35E7"/>
    <w:rsid w:val="008A413C"/>
    <w:rsid w:val="008A44B6"/>
    <w:rsid w:val="008A4CBF"/>
    <w:rsid w:val="008A5290"/>
    <w:rsid w:val="008A5549"/>
    <w:rsid w:val="008A5673"/>
    <w:rsid w:val="008A568C"/>
    <w:rsid w:val="008A593A"/>
    <w:rsid w:val="008A5A27"/>
    <w:rsid w:val="008A5CEE"/>
    <w:rsid w:val="008A6C5A"/>
    <w:rsid w:val="008B0061"/>
    <w:rsid w:val="008B08FB"/>
    <w:rsid w:val="008B0A8A"/>
    <w:rsid w:val="008B0EAD"/>
    <w:rsid w:val="008B1718"/>
    <w:rsid w:val="008B190C"/>
    <w:rsid w:val="008B1EF5"/>
    <w:rsid w:val="008B219A"/>
    <w:rsid w:val="008B2455"/>
    <w:rsid w:val="008B2537"/>
    <w:rsid w:val="008B29F6"/>
    <w:rsid w:val="008B2BA0"/>
    <w:rsid w:val="008B2DF3"/>
    <w:rsid w:val="008B2E4C"/>
    <w:rsid w:val="008B349C"/>
    <w:rsid w:val="008B376A"/>
    <w:rsid w:val="008B3AE4"/>
    <w:rsid w:val="008B3F57"/>
    <w:rsid w:val="008B4969"/>
    <w:rsid w:val="008B4E80"/>
    <w:rsid w:val="008B51CA"/>
    <w:rsid w:val="008B5660"/>
    <w:rsid w:val="008B7088"/>
    <w:rsid w:val="008B7220"/>
    <w:rsid w:val="008B7225"/>
    <w:rsid w:val="008B78D8"/>
    <w:rsid w:val="008B79F9"/>
    <w:rsid w:val="008C00CA"/>
    <w:rsid w:val="008C0237"/>
    <w:rsid w:val="008C031A"/>
    <w:rsid w:val="008C08A5"/>
    <w:rsid w:val="008C1349"/>
    <w:rsid w:val="008C1FC7"/>
    <w:rsid w:val="008C2354"/>
    <w:rsid w:val="008C31A3"/>
    <w:rsid w:val="008C347E"/>
    <w:rsid w:val="008C384A"/>
    <w:rsid w:val="008C44D9"/>
    <w:rsid w:val="008C479C"/>
    <w:rsid w:val="008C4A22"/>
    <w:rsid w:val="008C4E14"/>
    <w:rsid w:val="008C4EDA"/>
    <w:rsid w:val="008C4F75"/>
    <w:rsid w:val="008C5110"/>
    <w:rsid w:val="008C55A4"/>
    <w:rsid w:val="008C5C97"/>
    <w:rsid w:val="008C64E3"/>
    <w:rsid w:val="008C650F"/>
    <w:rsid w:val="008C725D"/>
    <w:rsid w:val="008C753F"/>
    <w:rsid w:val="008C7741"/>
    <w:rsid w:val="008C7883"/>
    <w:rsid w:val="008C7B5C"/>
    <w:rsid w:val="008D044B"/>
    <w:rsid w:val="008D0D1E"/>
    <w:rsid w:val="008D110C"/>
    <w:rsid w:val="008D1E79"/>
    <w:rsid w:val="008D28AB"/>
    <w:rsid w:val="008D29A6"/>
    <w:rsid w:val="008D2CE5"/>
    <w:rsid w:val="008D345F"/>
    <w:rsid w:val="008D3735"/>
    <w:rsid w:val="008D42ED"/>
    <w:rsid w:val="008D49A4"/>
    <w:rsid w:val="008D4B1B"/>
    <w:rsid w:val="008D5605"/>
    <w:rsid w:val="008D5693"/>
    <w:rsid w:val="008D592A"/>
    <w:rsid w:val="008D7097"/>
    <w:rsid w:val="008D776F"/>
    <w:rsid w:val="008D7A19"/>
    <w:rsid w:val="008D7E13"/>
    <w:rsid w:val="008E074A"/>
    <w:rsid w:val="008E1068"/>
    <w:rsid w:val="008E18A0"/>
    <w:rsid w:val="008E1E54"/>
    <w:rsid w:val="008E22DB"/>
    <w:rsid w:val="008E2AA2"/>
    <w:rsid w:val="008E2B53"/>
    <w:rsid w:val="008E3921"/>
    <w:rsid w:val="008E3B7C"/>
    <w:rsid w:val="008E3C41"/>
    <w:rsid w:val="008E3C88"/>
    <w:rsid w:val="008E4880"/>
    <w:rsid w:val="008E5643"/>
    <w:rsid w:val="008E78F2"/>
    <w:rsid w:val="008E792D"/>
    <w:rsid w:val="008E7A5C"/>
    <w:rsid w:val="008F0055"/>
    <w:rsid w:val="008F022C"/>
    <w:rsid w:val="008F089A"/>
    <w:rsid w:val="008F0B21"/>
    <w:rsid w:val="008F0E05"/>
    <w:rsid w:val="008F0E9C"/>
    <w:rsid w:val="008F12AE"/>
    <w:rsid w:val="008F12B1"/>
    <w:rsid w:val="008F141E"/>
    <w:rsid w:val="008F1F09"/>
    <w:rsid w:val="008F2838"/>
    <w:rsid w:val="008F55DF"/>
    <w:rsid w:val="008F5988"/>
    <w:rsid w:val="008F59FD"/>
    <w:rsid w:val="008F645D"/>
    <w:rsid w:val="008F6667"/>
    <w:rsid w:val="008F6794"/>
    <w:rsid w:val="008F777E"/>
    <w:rsid w:val="008F7853"/>
    <w:rsid w:val="008F7AA3"/>
    <w:rsid w:val="009003DE"/>
    <w:rsid w:val="009003EA"/>
    <w:rsid w:val="00900C7B"/>
    <w:rsid w:val="00900F6E"/>
    <w:rsid w:val="00901569"/>
    <w:rsid w:val="00902495"/>
    <w:rsid w:val="00902929"/>
    <w:rsid w:val="00902D84"/>
    <w:rsid w:val="00903488"/>
    <w:rsid w:val="009045C3"/>
    <w:rsid w:val="00904795"/>
    <w:rsid w:val="009049FD"/>
    <w:rsid w:val="00904AA8"/>
    <w:rsid w:val="00904FB5"/>
    <w:rsid w:val="00905021"/>
    <w:rsid w:val="00905D12"/>
    <w:rsid w:val="00906619"/>
    <w:rsid w:val="0090683D"/>
    <w:rsid w:val="00906E21"/>
    <w:rsid w:val="00906F35"/>
    <w:rsid w:val="0090727F"/>
    <w:rsid w:val="00907955"/>
    <w:rsid w:val="0090799A"/>
    <w:rsid w:val="00907B8B"/>
    <w:rsid w:val="00910A8A"/>
    <w:rsid w:val="0091270C"/>
    <w:rsid w:val="00912BDA"/>
    <w:rsid w:val="00912DE0"/>
    <w:rsid w:val="0091327E"/>
    <w:rsid w:val="00913421"/>
    <w:rsid w:val="009149A4"/>
    <w:rsid w:val="0091543A"/>
    <w:rsid w:val="009156D1"/>
    <w:rsid w:val="00915B34"/>
    <w:rsid w:val="00916374"/>
    <w:rsid w:val="00916A15"/>
    <w:rsid w:val="00916E58"/>
    <w:rsid w:val="00916FE3"/>
    <w:rsid w:val="00917380"/>
    <w:rsid w:val="0091759B"/>
    <w:rsid w:val="00917887"/>
    <w:rsid w:val="00920702"/>
    <w:rsid w:val="009207DB"/>
    <w:rsid w:val="00921DE3"/>
    <w:rsid w:val="00922024"/>
    <w:rsid w:val="009224D6"/>
    <w:rsid w:val="0092281A"/>
    <w:rsid w:val="00922AF6"/>
    <w:rsid w:val="00922FE4"/>
    <w:rsid w:val="009243ED"/>
    <w:rsid w:val="009244A4"/>
    <w:rsid w:val="009246F6"/>
    <w:rsid w:val="00924BF3"/>
    <w:rsid w:val="00924E99"/>
    <w:rsid w:val="009254AC"/>
    <w:rsid w:val="00925501"/>
    <w:rsid w:val="0092551B"/>
    <w:rsid w:val="009256E0"/>
    <w:rsid w:val="009257F5"/>
    <w:rsid w:val="00925965"/>
    <w:rsid w:val="00925C4F"/>
    <w:rsid w:val="00925E32"/>
    <w:rsid w:val="00926301"/>
    <w:rsid w:val="00926982"/>
    <w:rsid w:val="00926BC8"/>
    <w:rsid w:val="00926BF2"/>
    <w:rsid w:val="009270C4"/>
    <w:rsid w:val="00927381"/>
    <w:rsid w:val="00931828"/>
    <w:rsid w:val="00931B25"/>
    <w:rsid w:val="00931C34"/>
    <w:rsid w:val="00932196"/>
    <w:rsid w:val="0093226D"/>
    <w:rsid w:val="00932459"/>
    <w:rsid w:val="00932B16"/>
    <w:rsid w:val="00932FE6"/>
    <w:rsid w:val="00933275"/>
    <w:rsid w:val="0093412A"/>
    <w:rsid w:val="00934309"/>
    <w:rsid w:val="00934DF4"/>
    <w:rsid w:val="00934FA8"/>
    <w:rsid w:val="00936535"/>
    <w:rsid w:val="009366C1"/>
    <w:rsid w:val="00936DE8"/>
    <w:rsid w:val="0093740F"/>
    <w:rsid w:val="0093746D"/>
    <w:rsid w:val="00937B4A"/>
    <w:rsid w:val="00937C1D"/>
    <w:rsid w:val="00937FCE"/>
    <w:rsid w:val="009405AC"/>
    <w:rsid w:val="009405DB"/>
    <w:rsid w:val="00940F58"/>
    <w:rsid w:val="00940FC3"/>
    <w:rsid w:val="0094131D"/>
    <w:rsid w:val="0094175A"/>
    <w:rsid w:val="00941C49"/>
    <w:rsid w:val="00942120"/>
    <w:rsid w:val="009422F8"/>
    <w:rsid w:val="00942316"/>
    <w:rsid w:val="009425F7"/>
    <w:rsid w:val="00942A91"/>
    <w:rsid w:val="00942F09"/>
    <w:rsid w:val="00942FE3"/>
    <w:rsid w:val="00943034"/>
    <w:rsid w:val="009437F6"/>
    <w:rsid w:val="00943821"/>
    <w:rsid w:val="00943DD5"/>
    <w:rsid w:val="00944079"/>
    <w:rsid w:val="00944637"/>
    <w:rsid w:val="00944BC7"/>
    <w:rsid w:val="00944BF0"/>
    <w:rsid w:val="00945072"/>
    <w:rsid w:val="009450E6"/>
    <w:rsid w:val="00946136"/>
    <w:rsid w:val="00946208"/>
    <w:rsid w:val="009470E2"/>
    <w:rsid w:val="0094768B"/>
    <w:rsid w:val="00947B25"/>
    <w:rsid w:val="00947BA4"/>
    <w:rsid w:val="00950B62"/>
    <w:rsid w:val="00951121"/>
    <w:rsid w:val="009512F4"/>
    <w:rsid w:val="0095151E"/>
    <w:rsid w:val="00951756"/>
    <w:rsid w:val="00951A3E"/>
    <w:rsid w:val="00951FA8"/>
    <w:rsid w:val="0095348B"/>
    <w:rsid w:val="00953BB4"/>
    <w:rsid w:val="00953F9C"/>
    <w:rsid w:val="00954282"/>
    <w:rsid w:val="00954427"/>
    <w:rsid w:val="0095467D"/>
    <w:rsid w:val="00954E74"/>
    <w:rsid w:val="00955150"/>
    <w:rsid w:val="009555AB"/>
    <w:rsid w:val="009562BF"/>
    <w:rsid w:val="00956BBB"/>
    <w:rsid w:val="0095708A"/>
    <w:rsid w:val="00957A1B"/>
    <w:rsid w:val="00957A21"/>
    <w:rsid w:val="009607DA"/>
    <w:rsid w:val="00961505"/>
    <w:rsid w:val="00961694"/>
    <w:rsid w:val="009618F2"/>
    <w:rsid w:val="00961B3E"/>
    <w:rsid w:val="00961B41"/>
    <w:rsid w:val="0096323E"/>
    <w:rsid w:val="00963B1B"/>
    <w:rsid w:val="00963C3F"/>
    <w:rsid w:val="00964450"/>
    <w:rsid w:val="0096475C"/>
    <w:rsid w:val="00964924"/>
    <w:rsid w:val="009650AB"/>
    <w:rsid w:val="00965161"/>
    <w:rsid w:val="00965401"/>
    <w:rsid w:val="00965E37"/>
    <w:rsid w:val="00965F51"/>
    <w:rsid w:val="00966D92"/>
    <w:rsid w:val="009675F9"/>
    <w:rsid w:val="0096797D"/>
    <w:rsid w:val="00967C2F"/>
    <w:rsid w:val="009710C3"/>
    <w:rsid w:val="009713DD"/>
    <w:rsid w:val="00971C53"/>
    <w:rsid w:val="009725F2"/>
    <w:rsid w:val="00972DC6"/>
    <w:rsid w:val="00972F2E"/>
    <w:rsid w:val="0097311D"/>
    <w:rsid w:val="00973179"/>
    <w:rsid w:val="00973225"/>
    <w:rsid w:val="00974795"/>
    <w:rsid w:val="00974E98"/>
    <w:rsid w:val="00975105"/>
    <w:rsid w:val="00975C75"/>
    <w:rsid w:val="009761BB"/>
    <w:rsid w:val="00976390"/>
    <w:rsid w:val="00976582"/>
    <w:rsid w:val="0097766C"/>
    <w:rsid w:val="00977C31"/>
    <w:rsid w:val="0098177A"/>
    <w:rsid w:val="00983300"/>
    <w:rsid w:val="009833A5"/>
    <w:rsid w:val="00983EFD"/>
    <w:rsid w:val="00984868"/>
    <w:rsid w:val="00984A8A"/>
    <w:rsid w:val="0098508F"/>
    <w:rsid w:val="0098518F"/>
    <w:rsid w:val="0098600A"/>
    <w:rsid w:val="009860C0"/>
    <w:rsid w:val="00986257"/>
    <w:rsid w:val="0098643B"/>
    <w:rsid w:val="00986861"/>
    <w:rsid w:val="009868C9"/>
    <w:rsid w:val="00986EA3"/>
    <w:rsid w:val="00987362"/>
    <w:rsid w:val="0098780E"/>
    <w:rsid w:val="00987BF5"/>
    <w:rsid w:val="00987CBC"/>
    <w:rsid w:val="00987FE7"/>
    <w:rsid w:val="009900C1"/>
    <w:rsid w:val="00990519"/>
    <w:rsid w:val="00990904"/>
    <w:rsid w:val="009917E6"/>
    <w:rsid w:val="00992022"/>
    <w:rsid w:val="009924B9"/>
    <w:rsid w:val="009924BC"/>
    <w:rsid w:val="009925AC"/>
    <w:rsid w:val="00992935"/>
    <w:rsid w:val="00992E3D"/>
    <w:rsid w:val="00992E90"/>
    <w:rsid w:val="0099301E"/>
    <w:rsid w:val="009933F1"/>
    <w:rsid w:val="009936DB"/>
    <w:rsid w:val="00993F29"/>
    <w:rsid w:val="00993FFC"/>
    <w:rsid w:val="009943CA"/>
    <w:rsid w:val="00994EA1"/>
    <w:rsid w:val="00995141"/>
    <w:rsid w:val="0099589D"/>
    <w:rsid w:val="009961D6"/>
    <w:rsid w:val="00996326"/>
    <w:rsid w:val="00996349"/>
    <w:rsid w:val="00996415"/>
    <w:rsid w:val="00996546"/>
    <w:rsid w:val="009966A8"/>
    <w:rsid w:val="00996D9C"/>
    <w:rsid w:val="0099723F"/>
    <w:rsid w:val="009978A9"/>
    <w:rsid w:val="00997943"/>
    <w:rsid w:val="009A144D"/>
    <w:rsid w:val="009A1B8E"/>
    <w:rsid w:val="009A1CD8"/>
    <w:rsid w:val="009A1D1A"/>
    <w:rsid w:val="009A23C2"/>
    <w:rsid w:val="009A2838"/>
    <w:rsid w:val="009A2EFF"/>
    <w:rsid w:val="009A2FDF"/>
    <w:rsid w:val="009A327E"/>
    <w:rsid w:val="009A3567"/>
    <w:rsid w:val="009A3CF8"/>
    <w:rsid w:val="009A44E8"/>
    <w:rsid w:val="009A4654"/>
    <w:rsid w:val="009A4A0D"/>
    <w:rsid w:val="009A4F69"/>
    <w:rsid w:val="009A5302"/>
    <w:rsid w:val="009A545D"/>
    <w:rsid w:val="009A550E"/>
    <w:rsid w:val="009A5F6E"/>
    <w:rsid w:val="009A602D"/>
    <w:rsid w:val="009A61FF"/>
    <w:rsid w:val="009A74CB"/>
    <w:rsid w:val="009A775A"/>
    <w:rsid w:val="009A7A01"/>
    <w:rsid w:val="009A7C99"/>
    <w:rsid w:val="009B1086"/>
    <w:rsid w:val="009B1DA5"/>
    <w:rsid w:val="009B2213"/>
    <w:rsid w:val="009B2453"/>
    <w:rsid w:val="009B2644"/>
    <w:rsid w:val="009B28FD"/>
    <w:rsid w:val="009B2AD6"/>
    <w:rsid w:val="009B2B64"/>
    <w:rsid w:val="009B34B9"/>
    <w:rsid w:val="009B35D6"/>
    <w:rsid w:val="009B4BDC"/>
    <w:rsid w:val="009B52A6"/>
    <w:rsid w:val="009B5594"/>
    <w:rsid w:val="009B57DF"/>
    <w:rsid w:val="009B5990"/>
    <w:rsid w:val="009B5A37"/>
    <w:rsid w:val="009B6792"/>
    <w:rsid w:val="009B7144"/>
    <w:rsid w:val="009B729E"/>
    <w:rsid w:val="009B7498"/>
    <w:rsid w:val="009B74A2"/>
    <w:rsid w:val="009B74BB"/>
    <w:rsid w:val="009B7803"/>
    <w:rsid w:val="009B7964"/>
    <w:rsid w:val="009B7ED4"/>
    <w:rsid w:val="009C067A"/>
    <w:rsid w:val="009C0CB4"/>
    <w:rsid w:val="009C104A"/>
    <w:rsid w:val="009C178B"/>
    <w:rsid w:val="009C17E8"/>
    <w:rsid w:val="009C1C9A"/>
    <w:rsid w:val="009C221F"/>
    <w:rsid w:val="009C27F8"/>
    <w:rsid w:val="009C28CD"/>
    <w:rsid w:val="009C2A0D"/>
    <w:rsid w:val="009C34CB"/>
    <w:rsid w:val="009C3BFC"/>
    <w:rsid w:val="009C3D84"/>
    <w:rsid w:val="009C411A"/>
    <w:rsid w:val="009C4228"/>
    <w:rsid w:val="009C42B4"/>
    <w:rsid w:val="009C443A"/>
    <w:rsid w:val="009C469D"/>
    <w:rsid w:val="009C50B7"/>
    <w:rsid w:val="009C5181"/>
    <w:rsid w:val="009C51B3"/>
    <w:rsid w:val="009C5923"/>
    <w:rsid w:val="009C5F5C"/>
    <w:rsid w:val="009C6697"/>
    <w:rsid w:val="009C6981"/>
    <w:rsid w:val="009C71B8"/>
    <w:rsid w:val="009C7773"/>
    <w:rsid w:val="009C7A50"/>
    <w:rsid w:val="009C7B1D"/>
    <w:rsid w:val="009D03F1"/>
    <w:rsid w:val="009D1CF4"/>
    <w:rsid w:val="009D2E2B"/>
    <w:rsid w:val="009D3528"/>
    <w:rsid w:val="009D380F"/>
    <w:rsid w:val="009D402B"/>
    <w:rsid w:val="009D49AF"/>
    <w:rsid w:val="009D5001"/>
    <w:rsid w:val="009D5382"/>
    <w:rsid w:val="009D57A7"/>
    <w:rsid w:val="009D5A1E"/>
    <w:rsid w:val="009D5F12"/>
    <w:rsid w:val="009D67A4"/>
    <w:rsid w:val="009E0410"/>
    <w:rsid w:val="009E0BFF"/>
    <w:rsid w:val="009E1607"/>
    <w:rsid w:val="009E21EA"/>
    <w:rsid w:val="009E276E"/>
    <w:rsid w:val="009E2E06"/>
    <w:rsid w:val="009E318C"/>
    <w:rsid w:val="009E33D1"/>
    <w:rsid w:val="009E4D8B"/>
    <w:rsid w:val="009E52D3"/>
    <w:rsid w:val="009E6A55"/>
    <w:rsid w:val="009E6DD0"/>
    <w:rsid w:val="009E6F39"/>
    <w:rsid w:val="009E6F5C"/>
    <w:rsid w:val="009E7562"/>
    <w:rsid w:val="009E7E04"/>
    <w:rsid w:val="009F0861"/>
    <w:rsid w:val="009F0BD5"/>
    <w:rsid w:val="009F0BD9"/>
    <w:rsid w:val="009F1A0A"/>
    <w:rsid w:val="009F2803"/>
    <w:rsid w:val="009F293D"/>
    <w:rsid w:val="009F2BA2"/>
    <w:rsid w:val="009F3124"/>
    <w:rsid w:val="009F31A9"/>
    <w:rsid w:val="009F3332"/>
    <w:rsid w:val="009F33FA"/>
    <w:rsid w:val="009F344F"/>
    <w:rsid w:val="009F3645"/>
    <w:rsid w:val="009F4283"/>
    <w:rsid w:val="009F42F3"/>
    <w:rsid w:val="009F4C2B"/>
    <w:rsid w:val="009F5105"/>
    <w:rsid w:val="009F5259"/>
    <w:rsid w:val="009F5542"/>
    <w:rsid w:val="009F61DE"/>
    <w:rsid w:val="009F6223"/>
    <w:rsid w:val="009F6378"/>
    <w:rsid w:val="009F6769"/>
    <w:rsid w:val="009F6903"/>
    <w:rsid w:val="009F6B78"/>
    <w:rsid w:val="009F6CA4"/>
    <w:rsid w:val="009F7107"/>
    <w:rsid w:val="009F7CA8"/>
    <w:rsid w:val="00A002F3"/>
    <w:rsid w:val="00A00657"/>
    <w:rsid w:val="00A006BD"/>
    <w:rsid w:val="00A006E1"/>
    <w:rsid w:val="00A00824"/>
    <w:rsid w:val="00A009AC"/>
    <w:rsid w:val="00A00D50"/>
    <w:rsid w:val="00A00DAC"/>
    <w:rsid w:val="00A00DC0"/>
    <w:rsid w:val="00A01149"/>
    <w:rsid w:val="00A01359"/>
    <w:rsid w:val="00A01C1F"/>
    <w:rsid w:val="00A01C86"/>
    <w:rsid w:val="00A01C98"/>
    <w:rsid w:val="00A01D1F"/>
    <w:rsid w:val="00A0267B"/>
    <w:rsid w:val="00A02A9F"/>
    <w:rsid w:val="00A02CE8"/>
    <w:rsid w:val="00A02EE0"/>
    <w:rsid w:val="00A035F2"/>
    <w:rsid w:val="00A03C90"/>
    <w:rsid w:val="00A042C9"/>
    <w:rsid w:val="00A04C41"/>
    <w:rsid w:val="00A051FC"/>
    <w:rsid w:val="00A05A92"/>
    <w:rsid w:val="00A05ACF"/>
    <w:rsid w:val="00A05D66"/>
    <w:rsid w:val="00A060F0"/>
    <w:rsid w:val="00A0624F"/>
    <w:rsid w:val="00A06A54"/>
    <w:rsid w:val="00A06E22"/>
    <w:rsid w:val="00A06EFA"/>
    <w:rsid w:val="00A073F8"/>
    <w:rsid w:val="00A07483"/>
    <w:rsid w:val="00A10423"/>
    <w:rsid w:val="00A10D02"/>
    <w:rsid w:val="00A10D96"/>
    <w:rsid w:val="00A113C7"/>
    <w:rsid w:val="00A1238B"/>
    <w:rsid w:val="00A1260D"/>
    <w:rsid w:val="00A12DEF"/>
    <w:rsid w:val="00A137EE"/>
    <w:rsid w:val="00A13C1F"/>
    <w:rsid w:val="00A14AA2"/>
    <w:rsid w:val="00A1548E"/>
    <w:rsid w:val="00A15A52"/>
    <w:rsid w:val="00A15E3B"/>
    <w:rsid w:val="00A1614F"/>
    <w:rsid w:val="00A169F7"/>
    <w:rsid w:val="00A16AE9"/>
    <w:rsid w:val="00A171E1"/>
    <w:rsid w:val="00A172FD"/>
    <w:rsid w:val="00A177C1"/>
    <w:rsid w:val="00A17C24"/>
    <w:rsid w:val="00A17CFF"/>
    <w:rsid w:val="00A20A26"/>
    <w:rsid w:val="00A218FE"/>
    <w:rsid w:val="00A2193D"/>
    <w:rsid w:val="00A21F85"/>
    <w:rsid w:val="00A22536"/>
    <w:rsid w:val="00A22B5E"/>
    <w:rsid w:val="00A22C5D"/>
    <w:rsid w:val="00A22F1E"/>
    <w:rsid w:val="00A2323D"/>
    <w:rsid w:val="00A240AC"/>
    <w:rsid w:val="00A240FF"/>
    <w:rsid w:val="00A24137"/>
    <w:rsid w:val="00A24201"/>
    <w:rsid w:val="00A246C9"/>
    <w:rsid w:val="00A266C7"/>
    <w:rsid w:val="00A26C96"/>
    <w:rsid w:val="00A2732C"/>
    <w:rsid w:val="00A277C7"/>
    <w:rsid w:val="00A2788A"/>
    <w:rsid w:val="00A27A71"/>
    <w:rsid w:val="00A30F05"/>
    <w:rsid w:val="00A311A8"/>
    <w:rsid w:val="00A31CC5"/>
    <w:rsid w:val="00A31DF9"/>
    <w:rsid w:val="00A32078"/>
    <w:rsid w:val="00A32211"/>
    <w:rsid w:val="00A32462"/>
    <w:rsid w:val="00A32D14"/>
    <w:rsid w:val="00A33876"/>
    <w:rsid w:val="00A33D3A"/>
    <w:rsid w:val="00A34114"/>
    <w:rsid w:val="00A34B29"/>
    <w:rsid w:val="00A34BEA"/>
    <w:rsid w:val="00A34C81"/>
    <w:rsid w:val="00A34E19"/>
    <w:rsid w:val="00A3539B"/>
    <w:rsid w:val="00A353D8"/>
    <w:rsid w:val="00A35B31"/>
    <w:rsid w:val="00A3664B"/>
    <w:rsid w:val="00A36784"/>
    <w:rsid w:val="00A36B1F"/>
    <w:rsid w:val="00A36B46"/>
    <w:rsid w:val="00A36BD5"/>
    <w:rsid w:val="00A374B1"/>
    <w:rsid w:val="00A376E8"/>
    <w:rsid w:val="00A401BF"/>
    <w:rsid w:val="00A40906"/>
    <w:rsid w:val="00A40C22"/>
    <w:rsid w:val="00A40D0C"/>
    <w:rsid w:val="00A41302"/>
    <w:rsid w:val="00A415E2"/>
    <w:rsid w:val="00A418A0"/>
    <w:rsid w:val="00A41C59"/>
    <w:rsid w:val="00A41C63"/>
    <w:rsid w:val="00A420F4"/>
    <w:rsid w:val="00A42130"/>
    <w:rsid w:val="00A421C0"/>
    <w:rsid w:val="00A4271D"/>
    <w:rsid w:val="00A42B94"/>
    <w:rsid w:val="00A43021"/>
    <w:rsid w:val="00A43278"/>
    <w:rsid w:val="00A434CC"/>
    <w:rsid w:val="00A436A6"/>
    <w:rsid w:val="00A43B57"/>
    <w:rsid w:val="00A43CF2"/>
    <w:rsid w:val="00A44AC0"/>
    <w:rsid w:val="00A44B87"/>
    <w:rsid w:val="00A463EB"/>
    <w:rsid w:val="00A466BC"/>
    <w:rsid w:val="00A467BB"/>
    <w:rsid w:val="00A469C6"/>
    <w:rsid w:val="00A47029"/>
    <w:rsid w:val="00A47341"/>
    <w:rsid w:val="00A47611"/>
    <w:rsid w:val="00A50115"/>
    <w:rsid w:val="00A50299"/>
    <w:rsid w:val="00A503CF"/>
    <w:rsid w:val="00A50F4B"/>
    <w:rsid w:val="00A510C2"/>
    <w:rsid w:val="00A51B72"/>
    <w:rsid w:val="00A51D1A"/>
    <w:rsid w:val="00A51D94"/>
    <w:rsid w:val="00A52100"/>
    <w:rsid w:val="00A52885"/>
    <w:rsid w:val="00A53048"/>
    <w:rsid w:val="00A536D5"/>
    <w:rsid w:val="00A53FCE"/>
    <w:rsid w:val="00A54196"/>
    <w:rsid w:val="00A5425D"/>
    <w:rsid w:val="00A543C4"/>
    <w:rsid w:val="00A5510E"/>
    <w:rsid w:val="00A5582D"/>
    <w:rsid w:val="00A559F4"/>
    <w:rsid w:val="00A56547"/>
    <w:rsid w:val="00A56BBE"/>
    <w:rsid w:val="00A56D12"/>
    <w:rsid w:val="00A570E0"/>
    <w:rsid w:val="00A57343"/>
    <w:rsid w:val="00A57566"/>
    <w:rsid w:val="00A57889"/>
    <w:rsid w:val="00A606A0"/>
    <w:rsid w:val="00A60AEA"/>
    <w:rsid w:val="00A60E0C"/>
    <w:rsid w:val="00A61263"/>
    <w:rsid w:val="00A61265"/>
    <w:rsid w:val="00A614AD"/>
    <w:rsid w:val="00A61886"/>
    <w:rsid w:val="00A61A5D"/>
    <w:rsid w:val="00A61C42"/>
    <w:rsid w:val="00A622D3"/>
    <w:rsid w:val="00A623F2"/>
    <w:rsid w:val="00A62F88"/>
    <w:rsid w:val="00A63706"/>
    <w:rsid w:val="00A63D89"/>
    <w:rsid w:val="00A63DB5"/>
    <w:rsid w:val="00A650DB"/>
    <w:rsid w:val="00A65406"/>
    <w:rsid w:val="00A65865"/>
    <w:rsid w:val="00A65E52"/>
    <w:rsid w:val="00A666B3"/>
    <w:rsid w:val="00A66B2E"/>
    <w:rsid w:val="00A66E04"/>
    <w:rsid w:val="00A671B3"/>
    <w:rsid w:val="00A67706"/>
    <w:rsid w:val="00A6775B"/>
    <w:rsid w:val="00A67E84"/>
    <w:rsid w:val="00A67F13"/>
    <w:rsid w:val="00A71181"/>
    <w:rsid w:val="00A7290C"/>
    <w:rsid w:val="00A72ADA"/>
    <w:rsid w:val="00A733CD"/>
    <w:rsid w:val="00A73642"/>
    <w:rsid w:val="00A73647"/>
    <w:rsid w:val="00A73915"/>
    <w:rsid w:val="00A740A9"/>
    <w:rsid w:val="00A740DC"/>
    <w:rsid w:val="00A74C0B"/>
    <w:rsid w:val="00A75085"/>
    <w:rsid w:val="00A753C1"/>
    <w:rsid w:val="00A7588B"/>
    <w:rsid w:val="00A76063"/>
    <w:rsid w:val="00A7661A"/>
    <w:rsid w:val="00A767A1"/>
    <w:rsid w:val="00A771BF"/>
    <w:rsid w:val="00A77A3F"/>
    <w:rsid w:val="00A801BC"/>
    <w:rsid w:val="00A80337"/>
    <w:rsid w:val="00A80822"/>
    <w:rsid w:val="00A80B84"/>
    <w:rsid w:val="00A80D67"/>
    <w:rsid w:val="00A81373"/>
    <w:rsid w:val="00A81953"/>
    <w:rsid w:val="00A823AB"/>
    <w:rsid w:val="00A8281D"/>
    <w:rsid w:val="00A82C6D"/>
    <w:rsid w:val="00A835EF"/>
    <w:rsid w:val="00A8375D"/>
    <w:rsid w:val="00A84155"/>
    <w:rsid w:val="00A84AE2"/>
    <w:rsid w:val="00A84AEB"/>
    <w:rsid w:val="00A850E3"/>
    <w:rsid w:val="00A861F3"/>
    <w:rsid w:val="00A86C21"/>
    <w:rsid w:val="00A86F1A"/>
    <w:rsid w:val="00A87A3E"/>
    <w:rsid w:val="00A87B18"/>
    <w:rsid w:val="00A90567"/>
    <w:rsid w:val="00A90B1F"/>
    <w:rsid w:val="00A90B37"/>
    <w:rsid w:val="00A90B68"/>
    <w:rsid w:val="00A90DB1"/>
    <w:rsid w:val="00A90DCE"/>
    <w:rsid w:val="00A910CC"/>
    <w:rsid w:val="00A9147B"/>
    <w:rsid w:val="00A91803"/>
    <w:rsid w:val="00A91BA8"/>
    <w:rsid w:val="00A91DB9"/>
    <w:rsid w:val="00A91EF1"/>
    <w:rsid w:val="00A91EF2"/>
    <w:rsid w:val="00A91EF4"/>
    <w:rsid w:val="00A92331"/>
    <w:rsid w:val="00A92E10"/>
    <w:rsid w:val="00A9325C"/>
    <w:rsid w:val="00A9390E"/>
    <w:rsid w:val="00A93B3D"/>
    <w:rsid w:val="00A93C4A"/>
    <w:rsid w:val="00A94171"/>
    <w:rsid w:val="00A94FD5"/>
    <w:rsid w:val="00A95055"/>
    <w:rsid w:val="00A95559"/>
    <w:rsid w:val="00A95F9F"/>
    <w:rsid w:val="00A95FC9"/>
    <w:rsid w:val="00A9663B"/>
    <w:rsid w:val="00A969BE"/>
    <w:rsid w:val="00A96CAB"/>
    <w:rsid w:val="00A96FC6"/>
    <w:rsid w:val="00A97B61"/>
    <w:rsid w:val="00AA01DA"/>
    <w:rsid w:val="00AA046E"/>
    <w:rsid w:val="00AA0F42"/>
    <w:rsid w:val="00AA115C"/>
    <w:rsid w:val="00AA1211"/>
    <w:rsid w:val="00AA1579"/>
    <w:rsid w:val="00AA16FD"/>
    <w:rsid w:val="00AA2101"/>
    <w:rsid w:val="00AA2E76"/>
    <w:rsid w:val="00AA37D3"/>
    <w:rsid w:val="00AA41E9"/>
    <w:rsid w:val="00AA4482"/>
    <w:rsid w:val="00AA450C"/>
    <w:rsid w:val="00AA4AE0"/>
    <w:rsid w:val="00AA4D73"/>
    <w:rsid w:val="00AA5139"/>
    <w:rsid w:val="00AA5265"/>
    <w:rsid w:val="00AA6094"/>
    <w:rsid w:val="00AA652E"/>
    <w:rsid w:val="00AA6884"/>
    <w:rsid w:val="00AA6E71"/>
    <w:rsid w:val="00AA70F2"/>
    <w:rsid w:val="00AA7247"/>
    <w:rsid w:val="00AA7437"/>
    <w:rsid w:val="00AA7838"/>
    <w:rsid w:val="00AA7A5E"/>
    <w:rsid w:val="00AB0229"/>
    <w:rsid w:val="00AB0879"/>
    <w:rsid w:val="00AB0A3E"/>
    <w:rsid w:val="00AB0AA6"/>
    <w:rsid w:val="00AB0E99"/>
    <w:rsid w:val="00AB0EE5"/>
    <w:rsid w:val="00AB0F03"/>
    <w:rsid w:val="00AB1287"/>
    <w:rsid w:val="00AB1CD5"/>
    <w:rsid w:val="00AB1CE8"/>
    <w:rsid w:val="00AB1FC9"/>
    <w:rsid w:val="00AB26DE"/>
    <w:rsid w:val="00AB2F20"/>
    <w:rsid w:val="00AB3063"/>
    <w:rsid w:val="00AB3420"/>
    <w:rsid w:val="00AB3F7B"/>
    <w:rsid w:val="00AB4419"/>
    <w:rsid w:val="00AB4AD8"/>
    <w:rsid w:val="00AB4DEA"/>
    <w:rsid w:val="00AB4E35"/>
    <w:rsid w:val="00AB5597"/>
    <w:rsid w:val="00AB596B"/>
    <w:rsid w:val="00AB6DFC"/>
    <w:rsid w:val="00AB7A79"/>
    <w:rsid w:val="00AC09CD"/>
    <w:rsid w:val="00AC1666"/>
    <w:rsid w:val="00AC1ABC"/>
    <w:rsid w:val="00AC1C60"/>
    <w:rsid w:val="00AC2832"/>
    <w:rsid w:val="00AC3DB7"/>
    <w:rsid w:val="00AC400E"/>
    <w:rsid w:val="00AC4293"/>
    <w:rsid w:val="00AC4960"/>
    <w:rsid w:val="00AC4E38"/>
    <w:rsid w:val="00AC561A"/>
    <w:rsid w:val="00AC570E"/>
    <w:rsid w:val="00AC57D2"/>
    <w:rsid w:val="00AC5BDE"/>
    <w:rsid w:val="00AC658F"/>
    <w:rsid w:val="00AC6A23"/>
    <w:rsid w:val="00AC7806"/>
    <w:rsid w:val="00AC7899"/>
    <w:rsid w:val="00AC7F42"/>
    <w:rsid w:val="00AD0289"/>
    <w:rsid w:val="00AD0B96"/>
    <w:rsid w:val="00AD0FEF"/>
    <w:rsid w:val="00AD1A5F"/>
    <w:rsid w:val="00AD21EB"/>
    <w:rsid w:val="00AD2762"/>
    <w:rsid w:val="00AD27FC"/>
    <w:rsid w:val="00AD2ACE"/>
    <w:rsid w:val="00AD2EFE"/>
    <w:rsid w:val="00AD3FA7"/>
    <w:rsid w:val="00AD48BB"/>
    <w:rsid w:val="00AD49D0"/>
    <w:rsid w:val="00AD4B09"/>
    <w:rsid w:val="00AD4EF7"/>
    <w:rsid w:val="00AD4FA3"/>
    <w:rsid w:val="00AD50AD"/>
    <w:rsid w:val="00AD514D"/>
    <w:rsid w:val="00AD516C"/>
    <w:rsid w:val="00AD5D7E"/>
    <w:rsid w:val="00AD5DEF"/>
    <w:rsid w:val="00AD5FD1"/>
    <w:rsid w:val="00AD6407"/>
    <w:rsid w:val="00AD752F"/>
    <w:rsid w:val="00AE00CA"/>
    <w:rsid w:val="00AE1AE1"/>
    <w:rsid w:val="00AE254F"/>
    <w:rsid w:val="00AE260E"/>
    <w:rsid w:val="00AE2C77"/>
    <w:rsid w:val="00AE2D01"/>
    <w:rsid w:val="00AE33C4"/>
    <w:rsid w:val="00AE415F"/>
    <w:rsid w:val="00AE4E21"/>
    <w:rsid w:val="00AE5121"/>
    <w:rsid w:val="00AE55BC"/>
    <w:rsid w:val="00AE56C7"/>
    <w:rsid w:val="00AE57D2"/>
    <w:rsid w:val="00AE638D"/>
    <w:rsid w:val="00AE6611"/>
    <w:rsid w:val="00AE686D"/>
    <w:rsid w:val="00AE6B27"/>
    <w:rsid w:val="00AE6D6A"/>
    <w:rsid w:val="00AE6F0F"/>
    <w:rsid w:val="00AF00D2"/>
    <w:rsid w:val="00AF0B16"/>
    <w:rsid w:val="00AF0F96"/>
    <w:rsid w:val="00AF21D7"/>
    <w:rsid w:val="00AF222F"/>
    <w:rsid w:val="00AF2893"/>
    <w:rsid w:val="00AF28EB"/>
    <w:rsid w:val="00AF2ED6"/>
    <w:rsid w:val="00AF3178"/>
    <w:rsid w:val="00AF36B6"/>
    <w:rsid w:val="00AF3C6C"/>
    <w:rsid w:val="00AF3E29"/>
    <w:rsid w:val="00AF49AE"/>
    <w:rsid w:val="00AF4E1B"/>
    <w:rsid w:val="00AF508B"/>
    <w:rsid w:val="00AF5407"/>
    <w:rsid w:val="00AF584E"/>
    <w:rsid w:val="00AF5AC5"/>
    <w:rsid w:val="00AF5D56"/>
    <w:rsid w:val="00AF6595"/>
    <w:rsid w:val="00AF6CE0"/>
    <w:rsid w:val="00AF7444"/>
    <w:rsid w:val="00B00D08"/>
    <w:rsid w:val="00B00ED5"/>
    <w:rsid w:val="00B00F15"/>
    <w:rsid w:val="00B017EA"/>
    <w:rsid w:val="00B019E1"/>
    <w:rsid w:val="00B022CF"/>
    <w:rsid w:val="00B02808"/>
    <w:rsid w:val="00B028BC"/>
    <w:rsid w:val="00B02936"/>
    <w:rsid w:val="00B02BF0"/>
    <w:rsid w:val="00B02EEE"/>
    <w:rsid w:val="00B037DC"/>
    <w:rsid w:val="00B039C2"/>
    <w:rsid w:val="00B03AB4"/>
    <w:rsid w:val="00B04307"/>
    <w:rsid w:val="00B04492"/>
    <w:rsid w:val="00B04580"/>
    <w:rsid w:val="00B0459A"/>
    <w:rsid w:val="00B0464A"/>
    <w:rsid w:val="00B047DE"/>
    <w:rsid w:val="00B04972"/>
    <w:rsid w:val="00B04BED"/>
    <w:rsid w:val="00B05B34"/>
    <w:rsid w:val="00B05B91"/>
    <w:rsid w:val="00B05FE5"/>
    <w:rsid w:val="00B0613A"/>
    <w:rsid w:val="00B062A6"/>
    <w:rsid w:val="00B06613"/>
    <w:rsid w:val="00B0689A"/>
    <w:rsid w:val="00B069BA"/>
    <w:rsid w:val="00B06DD5"/>
    <w:rsid w:val="00B07297"/>
    <w:rsid w:val="00B077CC"/>
    <w:rsid w:val="00B07CD8"/>
    <w:rsid w:val="00B10346"/>
    <w:rsid w:val="00B10762"/>
    <w:rsid w:val="00B10B90"/>
    <w:rsid w:val="00B10CD7"/>
    <w:rsid w:val="00B11197"/>
    <w:rsid w:val="00B119A6"/>
    <w:rsid w:val="00B11D78"/>
    <w:rsid w:val="00B11F38"/>
    <w:rsid w:val="00B12C3D"/>
    <w:rsid w:val="00B12FD0"/>
    <w:rsid w:val="00B13306"/>
    <w:rsid w:val="00B13F7C"/>
    <w:rsid w:val="00B14599"/>
    <w:rsid w:val="00B1482F"/>
    <w:rsid w:val="00B14E03"/>
    <w:rsid w:val="00B1524E"/>
    <w:rsid w:val="00B152C6"/>
    <w:rsid w:val="00B1597B"/>
    <w:rsid w:val="00B15BB2"/>
    <w:rsid w:val="00B161C3"/>
    <w:rsid w:val="00B16611"/>
    <w:rsid w:val="00B16DB5"/>
    <w:rsid w:val="00B17016"/>
    <w:rsid w:val="00B17D4F"/>
    <w:rsid w:val="00B20AF2"/>
    <w:rsid w:val="00B214DD"/>
    <w:rsid w:val="00B216F9"/>
    <w:rsid w:val="00B22056"/>
    <w:rsid w:val="00B228A4"/>
    <w:rsid w:val="00B229BE"/>
    <w:rsid w:val="00B22A4A"/>
    <w:rsid w:val="00B22D02"/>
    <w:rsid w:val="00B23157"/>
    <w:rsid w:val="00B23BED"/>
    <w:rsid w:val="00B23C29"/>
    <w:rsid w:val="00B241E3"/>
    <w:rsid w:val="00B25C72"/>
    <w:rsid w:val="00B25E6F"/>
    <w:rsid w:val="00B261C3"/>
    <w:rsid w:val="00B26F0F"/>
    <w:rsid w:val="00B27220"/>
    <w:rsid w:val="00B27A6D"/>
    <w:rsid w:val="00B27F62"/>
    <w:rsid w:val="00B3064F"/>
    <w:rsid w:val="00B3080A"/>
    <w:rsid w:val="00B3098F"/>
    <w:rsid w:val="00B30A2A"/>
    <w:rsid w:val="00B30B07"/>
    <w:rsid w:val="00B314D0"/>
    <w:rsid w:val="00B31F6E"/>
    <w:rsid w:val="00B321FA"/>
    <w:rsid w:val="00B32414"/>
    <w:rsid w:val="00B324B7"/>
    <w:rsid w:val="00B32F00"/>
    <w:rsid w:val="00B32F2D"/>
    <w:rsid w:val="00B32FAF"/>
    <w:rsid w:val="00B3370B"/>
    <w:rsid w:val="00B33E84"/>
    <w:rsid w:val="00B341E8"/>
    <w:rsid w:val="00B344C2"/>
    <w:rsid w:val="00B34C4E"/>
    <w:rsid w:val="00B35035"/>
    <w:rsid w:val="00B35221"/>
    <w:rsid w:val="00B356B5"/>
    <w:rsid w:val="00B35833"/>
    <w:rsid w:val="00B3598F"/>
    <w:rsid w:val="00B36583"/>
    <w:rsid w:val="00B3690C"/>
    <w:rsid w:val="00B370C8"/>
    <w:rsid w:val="00B37224"/>
    <w:rsid w:val="00B40330"/>
    <w:rsid w:val="00B406E5"/>
    <w:rsid w:val="00B4299A"/>
    <w:rsid w:val="00B42A94"/>
    <w:rsid w:val="00B42C20"/>
    <w:rsid w:val="00B42D9A"/>
    <w:rsid w:val="00B42F20"/>
    <w:rsid w:val="00B43CED"/>
    <w:rsid w:val="00B44509"/>
    <w:rsid w:val="00B44954"/>
    <w:rsid w:val="00B44D96"/>
    <w:rsid w:val="00B4521F"/>
    <w:rsid w:val="00B45928"/>
    <w:rsid w:val="00B45E16"/>
    <w:rsid w:val="00B45E8C"/>
    <w:rsid w:val="00B46B3C"/>
    <w:rsid w:val="00B470FE"/>
    <w:rsid w:val="00B47148"/>
    <w:rsid w:val="00B47252"/>
    <w:rsid w:val="00B472B7"/>
    <w:rsid w:val="00B4758C"/>
    <w:rsid w:val="00B47FE8"/>
    <w:rsid w:val="00B50036"/>
    <w:rsid w:val="00B50B5A"/>
    <w:rsid w:val="00B50F51"/>
    <w:rsid w:val="00B51403"/>
    <w:rsid w:val="00B515BC"/>
    <w:rsid w:val="00B51A2F"/>
    <w:rsid w:val="00B51B5B"/>
    <w:rsid w:val="00B51BF3"/>
    <w:rsid w:val="00B52111"/>
    <w:rsid w:val="00B528D0"/>
    <w:rsid w:val="00B52E2B"/>
    <w:rsid w:val="00B52FAF"/>
    <w:rsid w:val="00B5323F"/>
    <w:rsid w:val="00B53836"/>
    <w:rsid w:val="00B539EB"/>
    <w:rsid w:val="00B54550"/>
    <w:rsid w:val="00B5495B"/>
    <w:rsid w:val="00B54A5A"/>
    <w:rsid w:val="00B54FEB"/>
    <w:rsid w:val="00B55695"/>
    <w:rsid w:val="00B562E6"/>
    <w:rsid w:val="00B5639B"/>
    <w:rsid w:val="00B5660B"/>
    <w:rsid w:val="00B56F41"/>
    <w:rsid w:val="00B576E1"/>
    <w:rsid w:val="00B6004E"/>
    <w:rsid w:val="00B60477"/>
    <w:rsid w:val="00B6072A"/>
    <w:rsid w:val="00B608F1"/>
    <w:rsid w:val="00B60F4A"/>
    <w:rsid w:val="00B60F79"/>
    <w:rsid w:val="00B61337"/>
    <w:rsid w:val="00B61474"/>
    <w:rsid w:val="00B61B49"/>
    <w:rsid w:val="00B63591"/>
    <w:rsid w:val="00B635C6"/>
    <w:rsid w:val="00B63704"/>
    <w:rsid w:val="00B63742"/>
    <w:rsid w:val="00B6379E"/>
    <w:rsid w:val="00B637D9"/>
    <w:rsid w:val="00B63B4A"/>
    <w:rsid w:val="00B64201"/>
    <w:rsid w:val="00B64496"/>
    <w:rsid w:val="00B64498"/>
    <w:rsid w:val="00B648E9"/>
    <w:rsid w:val="00B6604C"/>
    <w:rsid w:val="00B6645A"/>
    <w:rsid w:val="00B6684A"/>
    <w:rsid w:val="00B67120"/>
    <w:rsid w:val="00B673CA"/>
    <w:rsid w:val="00B6753E"/>
    <w:rsid w:val="00B67550"/>
    <w:rsid w:val="00B679F5"/>
    <w:rsid w:val="00B7117A"/>
    <w:rsid w:val="00B72053"/>
    <w:rsid w:val="00B7234F"/>
    <w:rsid w:val="00B72501"/>
    <w:rsid w:val="00B73B57"/>
    <w:rsid w:val="00B74BDA"/>
    <w:rsid w:val="00B75037"/>
    <w:rsid w:val="00B75159"/>
    <w:rsid w:val="00B759D6"/>
    <w:rsid w:val="00B75AAD"/>
    <w:rsid w:val="00B75D3F"/>
    <w:rsid w:val="00B76633"/>
    <w:rsid w:val="00B7745A"/>
    <w:rsid w:val="00B77723"/>
    <w:rsid w:val="00B77ABB"/>
    <w:rsid w:val="00B77E12"/>
    <w:rsid w:val="00B802CA"/>
    <w:rsid w:val="00B80B08"/>
    <w:rsid w:val="00B815D3"/>
    <w:rsid w:val="00B82DE1"/>
    <w:rsid w:val="00B831A1"/>
    <w:rsid w:val="00B83476"/>
    <w:rsid w:val="00B835D2"/>
    <w:rsid w:val="00B83B6A"/>
    <w:rsid w:val="00B83C67"/>
    <w:rsid w:val="00B843A1"/>
    <w:rsid w:val="00B848BE"/>
    <w:rsid w:val="00B84907"/>
    <w:rsid w:val="00B85638"/>
    <w:rsid w:val="00B8573A"/>
    <w:rsid w:val="00B85861"/>
    <w:rsid w:val="00B861A7"/>
    <w:rsid w:val="00B86903"/>
    <w:rsid w:val="00B8748B"/>
    <w:rsid w:val="00B87BC1"/>
    <w:rsid w:val="00B91818"/>
    <w:rsid w:val="00B919AB"/>
    <w:rsid w:val="00B919D4"/>
    <w:rsid w:val="00B91F80"/>
    <w:rsid w:val="00B92699"/>
    <w:rsid w:val="00B927B0"/>
    <w:rsid w:val="00B92C6F"/>
    <w:rsid w:val="00B92F7A"/>
    <w:rsid w:val="00B93060"/>
    <w:rsid w:val="00B93597"/>
    <w:rsid w:val="00B944AC"/>
    <w:rsid w:val="00B94798"/>
    <w:rsid w:val="00B947FD"/>
    <w:rsid w:val="00B94BE5"/>
    <w:rsid w:val="00B96011"/>
    <w:rsid w:val="00B965AF"/>
    <w:rsid w:val="00B96D5A"/>
    <w:rsid w:val="00B96E9F"/>
    <w:rsid w:val="00B97182"/>
    <w:rsid w:val="00B977A2"/>
    <w:rsid w:val="00B97DBD"/>
    <w:rsid w:val="00BA0255"/>
    <w:rsid w:val="00BA06D4"/>
    <w:rsid w:val="00BA075F"/>
    <w:rsid w:val="00BA0A76"/>
    <w:rsid w:val="00BA0D2A"/>
    <w:rsid w:val="00BA0FA7"/>
    <w:rsid w:val="00BA0FA8"/>
    <w:rsid w:val="00BA102F"/>
    <w:rsid w:val="00BA11C6"/>
    <w:rsid w:val="00BA1218"/>
    <w:rsid w:val="00BA148A"/>
    <w:rsid w:val="00BA1D32"/>
    <w:rsid w:val="00BA1DBF"/>
    <w:rsid w:val="00BA256B"/>
    <w:rsid w:val="00BA3DFA"/>
    <w:rsid w:val="00BA49CD"/>
    <w:rsid w:val="00BA4DC7"/>
    <w:rsid w:val="00BA52C1"/>
    <w:rsid w:val="00BA55A6"/>
    <w:rsid w:val="00BA58C0"/>
    <w:rsid w:val="00BA5AF4"/>
    <w:rsid w:val="00BA5CE0"/>
    <w:rsid w:val="00BA6166"/>
    <w:rsid w:val="00BA64DC"/>
    <w:rsid w:val="00BA683A"/>
    <w:rsid w:val="00BA76B1"/>
    <w:rsid w:val="00BB0423"/>
    <w:rsid w:val="00BB0752"/>
    <w:rsid w:val="00BB16B3"/>
    <w:rsid w:val="00BB2327"/>
    <w:rsid w:val="00BB2B1F"/>
    <w:rsid w:val="00BB2B80"/>
    <w:rsid w:val="00BB2F0B"/>
    <w:rsid w:val="00BB362B"/>
    <w:rsid w:val="00BB3907"/>
    <w:rsid w:val="00BB4C56"/>
    <w:rsid w:val="00BB5F6C"/>
    <w:rsid w:val="00BB60C3"/>
    <w:rsid w:val="00BB6796"/>
    <w:rsid w:val="00BB690D"/>
    <w:rsid w:val="00BB69B6"/>
    <w:rsid w:val="00BB6B1D"/>
    <w:rsid w:val="00BB6C88"/>
    <w:rsid w:val="00BB6ECF"/>
    <w:rsid w:val="00BB74B3"/>
    <w:rsid w:val="00BB76A1"/>
    <w:rsid w:val="00BB777A"/>
    <w:rsid w:val="00BB79C2"/>
    <w:rsid w:val="00BB7C25"/>
    <w:rsid w:val="00BC0B9D"/>
    <w:rsid w:val="00BC1424"/>
    <w:rsid w:val="00BC1765"/>
    <w:rsid w:val="00BC1CC3"/>
    <w:rsid w:val="00BC1DFC"/>
    <w:rsid w:val="00BC2243"/>
    <w:rsid w:val="00BC235F"/>
    <w:rsid w:val="00BC239E"/>
    <w:rsid w:val="00BC2507"/>
    <w:rsid w:val="00BC27EF"/>
    <w:rsid w:val="00BC2CA6"/>
    <w:rsid w:val="00BC4499"/>
    <w:rsid w:val="00BC47D8"/>
    <w:rsid w:val="00BC4B11"/>
    <w:rsid w:val="00BC5454"/>
    <w:rsid w:val="00BC56EB"/>
    <w:rsid w:val="00BC58B0"/>
    <w:rsid w:val="00BC5961"/>
    <w:rsid w:val="00BC5C69"/>
    <w:rsid w:val="00BC5E10"/>
    <w:rsid w:val="00BC6187"/>
    <w:rsid w:val="00BC693E"/>
    <w:rsid w:val="00BD0152"/>
    <w:rsid w:val="00BD028F"/>
    <w:rsid w:val="00BD03C9"/>
    <w:rsid w:val="00BD07F4"/>
    <w:rsid w:val="00BD087D"/>
    <w:rsid w:val="00BD0916"/>
    <w:rsid w:val="00BD137C"/>
    <w:rsid w:val="00BD16D1"/>
    <w:rsid w:val="00BD219A"/>
    <w:rsid w:val="00BD2539"/>
    <w:rsid w:val="00BD26D8"/>
    <w:rsid w:val="00BD2C2C"/>
    <w:rsid w:val="00BD2C42"/>
    <w:rsid w:val="00BD307A"/>
    <w:rsid w:val="00BD3327"/>
    <w:rsid w:val="00BD3698"/>
    <w:rsid w:val="00BD44A4"/>
    <w:rsid w:val="00BD55C0"/>
    <w:rsid w:val="00BD58F5"/>
    <w:rsid w:val="00BD6469"/>
    <w:rsid w:val="00BD65E1"/>
    <w:rsid w:val="00BD6A70"/>
    <w:rsid w:val="00BD6BF2"/>
    <w:rsid w:val="00BD6EF9"/>
    <w:rsid w:val="00BD754C"/>
    <w:rsid w:val="00BD772A"/>
    <w:rsid w:val="00BD7916"/>
    <w:rsid w:val="00BD7970"/>
    <w:rsid w:val="00BE002F"/>
    <w:rsid w:val="00BE02E5"/>
    <w:rsid w:val="00BE0C59"/>
    <w:rsid w:val="00BE116E"/>
    <w:rsid w:val="00BE14AD"/>
    <w:rsid w:val="00BE194D"/>
    <w:rsid w:val="00BE1EB6"/>
    <w:rsid w:val="00BE2053"/>
    <w:rsid w:val="00BE235C"/>
    <w:rsid w:val="00BE26E8"/>
    <w:rsid w:val="00BE29DD"/>
    <w:rsid w:val="00BE2AB1"/>
    <w:rsid w:val="00BE350B"/>
    <w:rsid w:val="00BE35C9"/>
    <w:rsid w:val="00BE3A79"/>
    <w:rsid w:val="00BE3B06"/>
    <w:rsid w:val="00BE4556"/>
    <w:rsid w:val="00BE4C3A"/>
    <w:rsid w:val="00BE502C"/>
    <w:rsid w:val="00BE5253"/>
    <w:rsid w:val="00BE576A"/>
    <w:rsid w:val="00BE5835"/>
    <w:rsid w:val="00BE6073"/>
    <w:rsid w:val="00BE6B86"/>
    <w:rsid w:val="00BE72FD"/>
    <w:rsid w:val="00BE74D1"/>
    <w:rsid w:val="00BE786F"/>
    <w:rsid w:val="00BE7B02"/>
    <w:rsid w:val="00BF0C38"/>
    <w:rsid w:val="00BF0F2C"/>
    <w:rsid w:val="00BF139F"/>
    <w:rsid w:val="00BF1728"/>
    <w:rsid w:val="00BF1BED"/>
    <w:rsid w:val="00BF1EF8"/>
    <w:rsid w:val="00BF2674"/>
    <w:rsid w:val="00BF2DE5"/>
    <w:rsid w:val="00BF316D"/>
    <w:rsid w:val="00BF31F1"/>
    <w:rsid w:val="00BF388B"/>
    <w:rsid w:val="00BF3C29"/>
    <w:rsid w:val="00BF3DAB"/>
    <w:rsid w:val="00BF4139"/>
    <w:rsid w:val="00BF47F3"/>
    <w:rsid w:val="00BF4827"/>
    <w:rsid w:val="00BF4AD7"/>
    <w:rsid w:val="00BF4C49"/>
    <w:rsid w:val="00BF4C68"/>
    <w:rsid w:val="00BF53DC"/>
    <w:rsid w:val="00BF5DA2"/>
    <w:rsid w:val="00BF5F69"/>
    <w:rsid w:val="00BF5F85"/>
    <w:rsid w:val="00BF6338"/>
    <w:rsid w:val="00BF6536"/>
    <w:rsid w:val="00BF6679"/>
    <w:rsid w:val="00BF6D56"/>
    <w:rsid w:val="00BF7DFA"/>
    <w:rsid w:val="00C003F5"/>
    <w:rsid w:val="00C0079D"/>
    <w:rsid w:val="00C009B4"/>
    <w:rsid w:val="00C00D03"/>
    <w:rsid w:val="00C00F34"/>
    <w:rsid w:val="00C01151"/>
    <w:rsid w:val="00C017B2"/>
    <w:rsid w:val="00C01DD3"/>
    <w:rsid w:val="00C01DFC"/>
    <w:rsid w:val="00C02205"/>
    <w:rsid w:val="00C0282B"/>
    <w:rsid w:val="00C02CA7"/>
    <w:rsid w:val="00C02E62"/>
    <w:rsid w:val="00C03D01"/>
    <w:rsid w:val="00C03D1E"/>
    <w:rsid w:val="00C04292"/>
    <w:rsid w:val="00C04382"/>
    <w:rsid w:val="00C0517A"/>
    <w:rsid w:val="00C05343"/>
    <w:rsid w:val="00C05381"/>
    <w:rsid w:val="00C0572E"/>
    <w:rsid w:val="00C067E0"/>
    <w:rsid w:val="00C074B8"/>
    <w:rsid w:val="00C075D0"/>
    <w:rsid w:val="00C1025D"/>
    <w:rsid w:val="00C103AB"/>
    <w:rsid w:val="00C117B9"/>
    <w:rsid w:val="00C11821"/>
    <w:rsid w:val="00C118D8"/>
    <w:rsid w:val="00C12D93"/>
    <w:rsid w:val="00C12EE2"/>
    <w:rsid w:val="00C13419"/>
    <w:rsid w:val="00C139DE"/>
    <w:rsid w:val="00C13A51"/>
    <w:rsid w:val="00C13B55"/>
    <w:rsid w:val="00C13C3F"/>
    <w:rsid w:val="00C13CBD"/>
    <w:rsid w:val="00C13DB6"/>
    <w:rsid w:val="00C142BD"/>
    <w:rsid w:val="00C14B57"/>
    <w:rsid w:val="00C15671"/>
    <w:rsid w:val="00C15D34"/>
    <w:rsid w:val="00C16489"/>
    <w:rsid w:val="00C16848"/>
    <w:rsid w:val="00C168C0"/>
    <w:rsid w:val="00C16B43"/>
    <w:rsid w:val="00C16BF9"/>
    <w:rsid w:val="00C1711E"/>
    <w:rsid w:val="00C17140"/>
    <w:rsid w:val="00C174C6"/>
    <w:rsid w:val="00C17E6E"/>
    <w:rsid w:val="00C17F0A"/>
    <w:rsid w:val="00C2001A"/>
    <w:rsid w:val="00C20446"/>
    <w:rsid w:val="00C20915"/>
    <w:rsid w:val="00C211D4"/>
    <w:rsid w:val="00C2185E"/>
    <w:rsid w:val="00C21A06"/>
    <w:rsid w:val="00C221D0"/>
    <w:rsid w:val="00C22CD7"/>
    <w:rsid w:val="00C23520"/>
    <w:rsid w:val="00C2366E"/>
    <w:rsid w:val="00C23A6B"/>
    <w:rsid w:val="00C24097"/>
    <w:rsid w:val="00C246D7"/>
    <w:rsid w:val="00C247E5"/>
    <w:rsid w:val="00C24DA9"/>
    <w:rsid w:val="00C24F12"/>
    <w:rsid w:val="00C24F98"/>
    <w:rsid w:val="00C25082"/>
    <w:rsid w:val="00C25277"/>
    <w:rsid w:val="00C255B0"/>
    <w:rsid w:val="00C25E6A"/>
    <w:rsid w:val="00C25E7D"/>
    <w:rsid w:val="00C265D4"/>
    <w:rsid w:val="00C273AE"/>
    <w:rsid w:val="00C275FC"/>
    <w:rsid w:val="00C27B1C"/>
    <w:rsid w:val="00C27D57"/>
    <w:rsid w:val="00C27E01"/>
    <w:rsid w:val="00C27F2F"/>
    <w:rsid w:val="00C303C0"/>
    <w:rsid w:val="00C30D84"/>
    <w:rsid w:val="00C3145E"/>
    <w:rsid w:val="00C315AE"/>
    <w:rsid w:val="00C3160C"/>
    <w:rsid w:val="00C317A7"/>
    <w:rsid w:val="00C31EE1"/>
    <w:rsid w:val="00C32310"/>
    <w:rsid w:val="00C33431"/>
    <w:rsid w:val="00C337A9"/>
    <w:rsid w:val="00C33AEC"/>
    <w:rsid w:val="00C34536"/>
    <w:rsid w:val="00C34CDD"/>
    <w:rsid w:val="00C34F9A"/>
    <w:rsid w:val="00C35600"/>
    <w:rsid w:val="00C357AE"/>
    <w:rsid w:val="00C3608B"/>
    <w:rsid w:val="00C36203"/>
    <w:rsid w:val="00C36B2D"/>
    <w:rsid w:val="00C37CDE"/>
    <w:rsid w:val="00C408AF"/>
    <w:rsid w:val="00C40C58"/>
    <w:rsid w:val="00C40F81"/>
    <w:rsid w:val="00C410D2"/>
    <w:rsid w:val="00C417CD"/>
    <w:rsid w:val="00C4189C"/>
    <w:rsid w:val="00C41AFB"/>
    <w:rsid w:val="00C41C08"/>
    <w:rsid w:val="00C41C3F"/>
    <w:rsid w:val="00C42A78"/>
    <w:rsid w:val="00C42FB2"/>
    <w:rsid w:val="00C437D6"/>
    <w:rsid w:val="00C43DE9"/>
    <w:rsid w:val="00C4426C"/>
    <w:rsid w:val="00C44629"/>
    <w:rsid w:val="00C4471A"/>
    <w:rsid w:val="00C44CC9"/>
    <w:rsid w:val="00C44D73"/>
    <w:rsid w:val="00C44FD9"/>
    <w:rsid w:val="00C45350"/>
    <w:rsid w:val="00C4548D"/>
    <w:rsid w:val="00C45DD1"/>
    <w:rsid w:val="00C4601D"/>
    <w:rsid w:val="00C4698B"/>
    <w:rsid w:val="00C46FE3"/>
    <w:rsid w:val="00C4707D"/>
    <w:rsid w:val="00C473E7"/>
    <w:rsid w:val="00C47478"/>
    <w:rsid w:val="00C47BD2"/>
    <w:rsid w:val="00C50DFC"/>
    <w:rsid w:val="00C51206"/>
    <w:rsid w:val="00C51FA8"/>
    <w:rsid w:val="00C51FF0"/>
    <w:rsid w:val="00C52D4E"/>
    <w:rsid w:val="00C5300F"/>
    <w:rsid w:val="00C53027"/>
    <w:rsid w:val="00C53271"/>
    <w:rsid w:val="00C53343"/>
    <w:rsid w:val="00C53EE2"/>
    <w:rsid w:val="00C54473"/>
    <w:rsid w:val="00C55D94"/>
    <w:rsid w:val="00C56258"/>
    <w:rsid w:val="00C57567"/>
    <w:rsid w:val="00C57582"/>
    <w:rsid w:val="00C6017A"/>
    <w:rsid w:val="00C6087E"/>
    <w:rsid w:val="00C608EF"/>
    <w:rsid w:val="00C60FC1"/>
    <w:rsid w:val="00C60FF0"/>
    <w:rsid w:val="00C612BB"/>
    <w:rsid w:val="00C612BF"/>
    <w:rsid w:val="00C618F6"/>
    <w:rsid w:val="00C619EE"/>
    <w:rsid w:val="00C6207E"/>
    <w:rsid w:val="00C62E67"/>
    <w:rsid w:val="00C631A8"/>
    <w:rsid w:val="00C6339B"/>
    <w:rsid w:val="00C63770"/>
    <w:rsid w:val="00C64784"/>
    <w:rsid w:val="00C64AD8"/>
    <w:rsid w:val="00C64FAE"/>
    <w:rsid w:val="00C65320"/>
    <w:rsid w:val="00C65CEF"/>
    <w:rsid w:val="00C66344"/>
    <w:rsid w:val="00C66679"/>
    <w:rsid w:val="00C66B58"/>
    <w:rsid w:val="00C66D4A"/>
    <w:rsid w:val="00C66E0E"/>
    <w:rsid w:val="00C674F7"/>
    <w:rsid w:val="00C67955"/>
    <w:rsid w:val="00C67C00"/>
    <w:rsid w:val="00C70074"/>
    <w:rsid w:val="00C701EC"/>
    <w:rsid w:val="00C70244"/>
    <w:rsid w:val="00C70341"/>
    <w:rsid w:val="00C70438"/>
    <w:rsid w:val="00C70918"/>
    <w:rsid w:val="00C70C17"/>
    <w:rsid w:val="00C716CF"/>
    <w:rsid w:val="00C717CD"/>
    <w:rsid w:val="00C71EAD"/>
    <w:rsid w:val="00C7264D"/>
    <w:rsid w:val="00C729CD"/>
    <w:rsid w:val="00C72AE3"/>
    <w:rsid w:val="00C73402"/>
    <w:rsid w:val="00C73FAD"/>
    <w:rsid w:val="00C745D7"/>
    <w:rsid w:val="00C74865"/>
    <w:rsid w:val="00C74916"/>
    <w:rsid w:val="00C755C8"/>
    <w:rsid w:val="00C758E0"/>
    <w:rsid w:val="00C75A25"/>
    <w:rsid w:val="00C76C64"/>
    <w:rsid w:val="00C76DBB"/>
    <w:rsid w:val="00C7702A"/>
    <w:rsid w:val="00C771B4"/>
    <w:rsid w:val="00C773C8"/>
    <w:rsid w:val="00C807B9"/>
    <w:rsid w:val="00C80A25"/>
    <w:rsid w:val="00C81B0E"/>
    <w:rsid w:val="00C81DB4"/>
    <w:rsid w:val="00C81DF7"/>
    <w:rsid w:val="00C8242E"/>
    <w:rsid w:val="00C8287D"/>
    <w:rsid w:val="00C82930"/>
    <w:rsid w:val="00C8301A"/>
    <w:rsid w:val="00C83A04"/>
    <w:rsid w:val="00C83E34"/>
    <w:rsid w:val="00C846DF"/>
    <w:rsid w:val="00C84704"/>
    <w:rsid w:val="00C84CB8"/>
    <w:rsid w:val="00C84F73"/>
    <w:rsid w:val="00C8531E"/>
    <w:rsid w:val="00C853A9"/>
    <w:rsid w:val="00C8572E"/>
    <w:rsid w:val="00C85B6C"/>
    <w:rsid w:val="00C85E1F"/>
    <w:rsid w:val="00C85ED3"/>
    <w:rsid w:val="00C86202"/>
    <w:rsid w:val="00C86A34"/>
    <w:rsid w:val="00C86B92"/>
    <w:rsid w:val="00C86BFE"/>
    <w:rsid w:val="00C86D8A"/>
    <w:rsid w:val="00C871DD"/>
    <w:rsid w:val="00C873ED"/>
    <w:rsid w:val="00C87F73"/>
    <w:rsid w:val="00C900B0"/>
    <w:rsid w:val="00C90231"/>
    <w:rsid w:val="00C9080B"/>
    <w:rsid w:val="00C90D8A"/>
    <w:rsid w:val="00C90EF9"/>
    <w:rsid w:val="00C9108F"/>
    <w:rsid w:val="00C91CEC"/>
    <w:rsid w:val="00C924DF"/>
    <w:rsid w:val="00C92714"/>
    <w:rsid w:val="00C9286B"/>
    <w:rsid w:val="00C92949"/>
    <w:rsid w:val="00C9312F"/>
    <w:rsid w:val="00C933D8"/>
    <w:rsid w:val="00C93FE7"/>
    <w:rsid w:val="00C94810"/>
    <w:rsid w:val="00C9488A"/>
    <w:rsid w:val="00C94AD2"/>
    <w:rsid w:val="00C950CA"/>
    <w:rsid w:val="00C95819"/>
    <w:rsid w:val="00C958E9"/>
    <w:rsid w:val="00C95ED6"/>
    <w:rsid w:val="00CA0559"/>
    <w:rsid w:val="00CA1B03"/>
    <w:rsid w:val="00CA1DCF"/>
    <w:rsid w:val="00CA1E28"/>
    <w:rsid w:val="00CA1FB0"/>
    <w:rsid w:val="00CA24D1"/>
    <w:rsid w:val="00CA27A0"/>
    <w:rsid w:val="00CA2E1D"/>
    <w:rsid w:val="00CA394B"/>
    <w:rsid w:val="00CA39CC"/>
    <w:rsid w:val="00CA4743"/>
    <w:rsid w:val="00CA48B2"/>
    <w:rsid w:val="00CA4EE8"/>
    <w:rsid w:val="00CA5B35"/>
    <w:rsid w:val="00CA5D33"/>
    <w:rsid w:val="00CA5FEA"/>
    <w:rsid w:val="00CA6014"/>
    <w:rsid w:val="00CA6568"/>
    <w:rsid w:val="00CA65FC"/>
    <w:rsid w:val="00CA688E"/>
    <w:rsid w:val="00CA6B6A"/>
    <w:rsid w:val="00CA7247"/>
    <w:rsid w:val="00CA735E"/>
    <w:rsid w:val="00CA73DD"/>
    <w:rsid w:val="00CA7931"/>
    <w:rsid w:val="00CA7D8A"/>
    <w:rsid w:val="00CB0DDD"/>
    <w:rsid w:val="00CB10A6"/>
    <w:rsid w:val="00CB1162"/>
    <w:rsid w:val="00CB138F"/>
    <w:rsid w:val="00CB13E0"/>
    <w:rsid w:val="00CB1919"/>
    <w:rsid w:val="00CB1D50"/>
    <w:rsid w:val="00CB1E6C"/>
    <w:rsid w:val="00CB2197"/>
    <w:rsid w:val="00CB248C"/>
    <w:rsid w:val="00CB254E"/>
    <w:rsid w:val="00CB25B9"/>
    <w:rsid w:val="00CB2EDC"/>
    <w:rsid w:val="00CB348C"/>
    <w:rsid w:val="00CB3934"/>
    <w:rsid w:val="00CB4046"/>
    <w:rsid w:val="00CB43FA"/>
    <w:rsid w:val="00CB4A69"/>
    <w:rsid w:val="00CB4EF9"/>
    <w:rsid w:val="00CB5A89"/>
    <w:rsid w:val="00CB5B31"/>
    <w:rsid w:val="00CB5BE7"/>
    <w:rsid w:val="00CB6EE3"/>
    <w:rsid w:val="00CB712E"/>
    <w:rsid w:val="00CB7234"/>
    <w:rsid w:val="00CB76B8"/>
    <w:rsid w:val="00CB7703"/>
    <w:rsid w:val="00CB783B"/>
    <w:rsid w:val="00CB7FBA"/>
    <w:rsid w:val="00CC0D6B"/>
    <w:rsid w:val="00CC0E1E"/>
    <w:rsid w:val="00CC1189"/>
    <w:rsid w:val="00CC1516"/>
    <w:rsid w:val="00CC1F79"/>
    <w:rsid w:val="00CC23C6"/>
    <w:rsid w:val="00CC27E6"/>
    <w:rsid w:val="00CC2803"/>
    <w:rsid w:val="00CC3489"/>
    <w:rsid w:val="00CC3902"/>
    <w:rsid w:val="00CC3A68"/>
    <w:rsid w:val="00CC468B"/>
    <w:rsid w:val="00CC4B5B"/>
    <w:rsid w:val="00CC61F1"/>
    <w:rsid w:val="00CC6423"/>
    <w:rsid w:val="00CC657C"/>
    <w:rsid w:val="00CC68D6"/>
    <w:rsid w:val="00CC707F"/>
    <w:rsid w:val="00CC712C"/>
    <w:rsid w:val="00CC777D"/>
    <w:rsid w:val="00CC79CD"/>
    <w:rsid w:val="00CC7C5C"/>
    <w:rsid w:val="00CC7CC8"/>
    <w:rsid w:val="00CD0761"/>
    <w:rsid w:val="00CD0CEE"/>
    <w:rsid w:val="00CD13B4"/>
    <w:rsid w:val="00CD1841"/>
    <w:rsid w:val="00CD1BF1"/>
    <w:rsid w:val="00CD27C1"/>
    <w:rsid w:val="00CD2835"/>
    <w:rsid w:val="00CD2A3E"/>
    <w:rsid w:val="00CD31C1"/>
    <w:rsid w:val="00CD35F1"/>
    <w:rsid w:val="00CD4704"/>
    <w:rsid w:val="00CD4AE1"/>
    <w:rsid w:val="00CD4B3B"/>
    <w:rsid w:val="00CD4C9C"/>
    <w:rsid w:val="00CD5401"/>
    <w:rsid w:val="00CD5716"/>
    <w:rsid w:val="00CD5927"/>
    <w:rsid w:val="00CD6524"/>
    <w:rsid w:val="00CD68DD"/>
    <w:rsid w:val="00CD6AA3"/>
    <w:rsid w:val="00CD6C24"/>
    <w:rsid w:val="00CD6C94"/>
    <w:rsid w:val="00CD7649"/>
    <w:rsid w:val="00CD7760"/>
    <w:rsid w:val="00CD794A"/>
    <w:rsid w:val="00CD7B8B"/>
    <w:rsid w:val="00CE0361"/>
    <w:rsid w:val="00CE05C6"/>
    <w:rsid w:val="00CE073C"/>
    <w:rsid w:val="00CE1DF8"/>
    <w:rsid w:val="00CE2B04"/>
    <w:rsid w:val="00CE2C04"/>
    <w:rsid w:val="00CE3F20"/>
    <w:rsid w:val="00CE40EA"/>
    <w:rsid w:val="00CE484E"/>
    <w:rsid w:val="00CE4E0D"/>
    <w:rsid w:val="00CE4F18"/>
    <w:rsid w:val="00CE5298"/>
    <w:rsid w:val="00CE5416"/>
    <w:rsid w:val="00CE58EB"/>
    <w:rsid w:val="00CE596B"/>
    <w:rsid w:val="00CE5F0A"/>
    <w:rsid w:val="00CE643F"/>
    <w:rsid w:val="00CE6523"/>
    <w:rsid w:val="00CE681D"/>
    <w:rsid w:val="00CE6A32"/>
    <w:rsid w:val="00CE6EA0"/>
    <w:rsid w:val="00CF091E"/>
    <w:rsid w:val="00CF0A69"/>
    <w:rsid w:val="00CF10F6"/>
    <w:rsid w:val="00CF1AC7"/>
    <w:rsid w:val="00CF1DBF"/>
    <w:rsid w:val="00CF1E7E"/>
    <w:rsid w:val="00CF26A8"/>
    <w:rsid w:val="00CF35B2"/>
    <w:rsid w:val="00CF38D4"/>
    <w:rsid w:val="00CF472E"/>
    <w:rsid w:val="00CF50F7"/>
    <w:rsid w:val="00CF5593"/>
    <w:rsid w:val="00CF5672"/>
    <w:rsid w:val="00CF5C9C"/>
    <w:rsid w:val="00CF60B2"/>
    <w:rsid w:val="00CF6BB9"/>
    <w:rsid w:val="00CF6DD6"/>
    <w:rsid w:val="00CF7017"/>
    <w:rsid w:val="00CF766E"/>
    <w:rsid w:val="00D004D6"/>
    <w:rsid w:val="00D005AD"/>
    <w:rsid w:val="00D00FDE"/>
    <w:rsid w:val="00D022D6"/>
    <w:rsid w:val="00D026EE"/>
    <w:rsid w:val="00D02876"/>
    <w:rsid w:val="00D02BFF"/>
    <w:rsid w:val="00D0316E"/>
    <w:rsid w:val="00D03342"/>
    <w:rsid w:val="00D03563"/>
    <w:rsid w:val="00D03F31"/>
    <w:rsid w:val="00D043F5"/>
    <w:rsid w:val="00D045FD"/>
    <w:rsid w:val="00D05109"/>
    <w:rsid w:val="00D0566D"/>
    <w:rsid w:val="00D0774F"/>
    <w:rsid w:val="00D07D72"/>
    <w:rsid w:val="00D103E0"/>
    <w:rsid w:val="00D1060F"/>
    <w:rsid w:val="00D10D5F"/>
    <w:rsid w:val="00D1140B"/>
    <w:rsid w:val="00D11823"/>
    <w:rsid w:val="00D118F2"/>
    <w:rsid w:val="00D12563"/>
    <w:rsid w:val="00D12670"/>
    <w:rsid w:val="00D127DE"/>
    <w:rsid w:val="00D12820"/>
    <w:rsid w:val="00D12D32"/>
    <w:rsid w:val="00D12E0E"/>
    <w:rsid w:val="00D132C3"/>
    <w:rsid w:val="00D13444"/>
    <w:rsid w:val="00D137F1"/>
    <w:rsid w:val="00D13887"/>
    <w:rsid w:val="00D140E8"/>
    <w:rsid w:val="00D148D1"/>
    <w:rsid w:val="00D149AD"/>
    <w:rsid w:val="00D159F8"/>
    <w:rsid w:val="00D1637D"/>
    <w:rsid w:val="00D16CC4"/>
    <w:rsid w:val="00D171C8"/>
    <w:rsid w:val="00D17440"/>
    <w:rsid w:val="00D17AFC"/>
    <w:rsid w:val="00D17CFB"/>
    <w:rsid w:val="00D17D1E"/>
    <w:rsid w:val="00D2009D"/>
    <w:rsid w:val="00D20822"/>
    <w:rsid w:val="00D20982"/>
    <w:rsid w:val="00D21D1B"/>
    <w:rsid w:val="00D22287"/>
    <w:rsid w:val="00D22567"/>
    <w:rsid w:val="00D226B9"/>
    <w:rsid w:val="00D22F65"/>
    <w:rsid w:val="00D23437"/>
    <w:rsid w:val="00D2381C"/>
    <w:rsid w:val="00D23A94"/>
    <w:rsid w:val="00D23EEA"/>
    <w:rsid w:val="00D23F38"/>
    <w:rsid w:val="00D24346"/>
    <w:rsid w:val="00D2459A"/>
    <w:rsid w:val="00D2481A"/>
    <w:rsid w:val="00D248D9"/>
    <w:rsid w:val="00D24B50"/>
    <w:rsid w:val="00D24CD7"/>
    <w:rsid w:val="00D24D7B"/>
    <w:rsid w:val="00D2502F"/>
    <w:rsid w:val="00D25450"/>
    <w:rsid w:val="00D25F3E"/>
    <w:rsid w:val="00D26C87"/>
    <w:rsid w:val="00D27131"/>
    <w:rsid w:val="00D27825"/>
    <w:rsid w:val="00D3147E"/>
    <w:rsid w:val="00D31BBD"/>
    <w:rsid w:val="00D329A0"/>
    <w:rsid w:val="00D32CE1"/>
    <w:rsid w:val="00D32E58"/>
    <w:rsid w:val="00D33010"/>
    <w:rsid w:val="00D334CD"/>
    <w:rsid w:val="00D3395C"/>
    <w:rsid w:val="00D34412"/>
    <w:rsid w:val="00D34D6B"/>
    <w:rsid w:val="00D350C5"/>
    <w:rsid w:val="00D350D9"/>
    <w:rsid w:val="00D35628"/>
    <w:rsid w:val="00D35B1E"/>
    <w:rsid w:val="00D35BAA"/>
    <w:rsid w:val="00D36072"/>
    <w:rsid w:val="00D36122"/>
    <w:rsid w:val="00D362E0"/>
    <w:rsid w:val="00D367F0"/>
    <w:rsid w:val="00D36E7E"/>
    <w:rsid w:val="00D3756A"/>
    <w:rsid w:val="00D375DA"/>
    <w:rsid w:val="00D37669"/>
    <w:rsid w:val="00D377AE"/>
    <w:rsid w:val="00D400D8"/>
    <w:rsid w:val="00D403D0"/>
    <w:rsid w:val="00D404B1"/>
    <w:rsid w:val="00D4113F"/>
    <w:rsid w:val="00D4119C"/>
    <w:rsid w:val="00D412B3"/>
    <w:rsid w:val="00D41378"/>
    <w:rsid w:val="00D41616"/>
    <w:rsid w:val="00D42CD9"/>
    <w:rsid w:val="00D43988"/>
    <w:rsid w:val="00D43AC4"/>
    <w:rsid w:val="00D442ED"/>
    <w:rsid w:val="00D44448"/>
    <w:rsid w:val="00D44B46"/>
    <w:rsid w:val="00D44BDE"/>
    <w:rsid w:val="00D44E88"/>
    <w:rsid w:val="00D456A5"/>
    <w:rsid w:val="00D45B50"/>
    <w:rsid w:val="00D45CA8"/>
    <w:rsid w:val="00D46109"/>
    <w:rsid w:val="00D46C3C"/>
    <w:rsid w:val="00D46D0E"/>
    <w:rsid w:val="00D46E71"/>
    <w:rsid w:val="00D4707E"/>
    <w:rsid w:val="00D4721D"/>
    <w:rsid w:val="00D47867"/>
    <w:rsid w:val="00D47D6E"/>
    <w:rsid w:val="00D47E2C"/>
    <w:rsid w:val="00D47EAF"/>
    <w:rsid w:val="00D47F54"/>
    <w:rsid w:val="00D504F6"/>
    <w:rsid w:val="00D508D2"/>
    <w:rsid w:val="00D50C02"/>
    <w:rsid w:val="00D50E7A"/>
    <w:rsid w:val="00D5148C"/>
    <w:rsid w:val="00D51552"/>
    <w:rsid w:val="00D516F9"/>
    <w:rsid w:val="00D51B27"/>
    <w:rsid w:val="00D5227E"/>
    <w:rsid w:val="00D52583"/>
    <w:rsid w:val="00D52D7F"/>
    <w:rsid w:val="00D52F8D"/>
    <w:rsid w:val="00D53034"/>
    <w:rsid w:val="00D532F5"/>
    <w:rsid w:val="00D5331B"/>
    <w:rsid w:val="00D53460"/>
    <w:rsid w:val="00D54373"/>
    <w:rsid w:val="00D545E9"/>
    <w:rsid w:val="00D547BC"/>
    <w:rsid w:val="00D54E43"/>
    <w:rsid w:val="00D54F28"/>
    <w:rsid w:val="00D559DA"/>
    <w:rsid w:val="00D55A05"/>
    <w:rsid w:val="00D564EF"/>
    <w:rsid w:val="00D56DB7"/>
    <w:rsid w:val="00D57061"/>
    <w:rsid w:val="00D570FB"/>
    <w:rsid w:val="00D57447"/>
    <w:rsid w:val="00D57E09"/>
    <w:rsid w:val="00D60E3C"/>
    <w:rsid w:val="00D613B2"/>
    <w:rsid w:val="00D61A9F"/>
    <w:rsid w:val="00D61AF6"/>
    <w:rsid w:val="00D61D25"/>
    <w:rsid w:val="00D61E2C"/>
    <w:rsid w:val="00D61EDD"/>
    <w:rsid w:val="00D622E3"/>
    <w:rsid w:val="00D628AF"/>
    <w:rsid w:val="00D6294B"/>
    <w:rsid w:val="00D630BA"/>
    <w:rsid w:val="00D6353D"/>
    <w:rsid w:val="00D6367B"/>
    <w:rsid w:val="00D63895"/>
    <w:rsid w:val="00D6429C"/>
    <w:rsid w:val="00D642D7"/>
    <w:rsid w:val="00D64490"/>
    <w:rsid w:val="00D646F2"/>
    <w:rsid w:val="00D64A3D"/>
    <w:rsid w:val="00D66331"/>
    <w:rsid w:val="00D664CB"/>
    <w:rsid w:val="00D66697"/>
    <w:rsid w:val="00D66EDC"/>
    <w:rsid w:val="00D67684"/>
    <w:rsid w:val="00D67ACA"/>
    <w:rsid w:val="00D67F69"/>
    <w:rsid w:val="00D70737"/>
    <w:rsid w:val="00D71103"/>
    <w:rsid w:val="00D72420"/>
    <w:rsid w:val="00D72551"/>
    <w:rsid w:val="00D72CE2"/>
    <w:rsid w:val="00D72DF4"/>
    <w:rsid w:val="00D73302"/>
    <w:rsid w:val="00D73ADE"/>
    <w:rsid w:val="00D73AF1"/>
    <w:rsid w:val="00D74504"/>
    <w:rsid w:val="00D74639"/>
    <w:rsid w:val="00D74F04"/>
    <w:rsid w:val="00D75560"/>
    <w:rsid w:val="00D762C4"/>
    <w:rsid w:val="00D7743F"/>
    <w:rsid w:val="00D77A79"/>
    <w:rsid w:val="00D77EF0"/>
    <w:rsid w:val="00D77F35"/>
    <w:rsid w:val="00D8093F"/>
    <w:rsid w:val="00D809B7"/>
    <w:rsid w:val="00D810C4"/>
    <w:rsid w:val="00D813B0"/>
    <w:rsid w:val="00D813C5"/>
    <w:rsid w:val="00D81A57"/>
    <w:rsid w:val="00D81C43"/>
    <w:rsid w:val="00D81FFC"/>
    <w:rsid w:val="00D823FE"/>
    <w:rsid w:val="00D824D6"/>
    <w:rsid w:val="00D82A4C"/>
    <w:rsid w:val="00D82E01"/>
    <w:rsid w:val="00D83A8B"/>
    <w:rsid w:val="00D83DB5"/>
    <w:rsid w:val="00D83DBF"/>
    <w:rsid w:val="00D84061"/>
    <w:rsid w:val="00D844E7"/>
    <w:rsid w:val="00D8468D"/>
    <w:rsid w:val="00D8483A"/>
    <w:rsid w:val="00D85683"/>
    <w:rsid w:val="00D8671C"/>
    <w:rsid w:val="00D8682D"/>
    <w:rsid w:val="00D86B88"/>
    <w:rsid w:val="00D87125"/>
    <w:rsid w:val="00D87145"/>
    <w:rsid w:val="00D874FB"/>
    <w:rsid w:val="00D90AA7"/>
    <w:rsid w:val="00D90EC1"/>
    <w:rsid w:val="00D90F8A"/>
    <w:rsid w:val="00D91621"/>
    <w:rsid w:val="00D918C7"/>
    <w:rsid w:val="00D91B8F"/>
    <w:rsid w:val="00D9250C"/>
    <w:rsid w:val="00D92CF0"/>
    <w:rsid w:val="00D92D9C"/>
    <w:rsid w:val="00D930F2"/>
    <w:rsid w:val="00D93342"/>
    <w:rsid w:val="00D93415"/>
    <w:rsid w:val="00D93B40"/>
    <w:rsid w:val="00D93FFD"/>
    <w:rsid w:val="00D950AF"/>
    <w:rsid w:val="00D9545B"/>
    <w:rsid w:val="00D9553A"/>
    <w:rsid w:val="00D957EB"/>
    <w:rsid w:val="00D9599B"/>
    <w:rsid w:val="00D95BCF"/>
    <w:rsid w:val="00D95FC2"/>
    <w:rsid w:val="00D961EE"/>
    <w:rsid w:val="00D96484"/>
    <w:rsid w:val="00D97077"/>
    <w:rsid w:val="00D97191"/>
    <w:rsid w:val="00D971AA"/>
    <w:rsid w:val="00D97308"/>
    <w:rsid w:val="00D9740F"/>
    <w:rsid w:val="00D97A89"/>
    <w:rsid w:val="00D97B86"/>
    <w:rsid w:val="00D97BA1"/>
    <w:rsid w:val="00D97D8B"/>
    <w:rsid w:val="00DA09FC"/>
    <w:rsid w:val="00DA0B48"/>
    <w:rsid w:val="00DA0C9D"/>
    <w:rsid w:val="00DA0DBB"/>
    <w:rsid w:val="00DA1779"/>
    <w:rsid w:val="00DA1E0D"/>
    <w:rsid w:val="00DA1EE5"/>
    <w:rsid w:val="00DA263F"/>
    <w:rsid w:val="00DA2A54"/>
    <w:rsid w:val="00DA3525"/>
    <w:rsid w:val="00DA3D60"/>
    <w:rsid w:val="00DA44CF"/>
    <w:rsid w:val="00DA4F1D"/>
    <w:rsid w:val="00DA51F4"/>
    <w:rsid w:val="00DA59D2"/>
    <w:rsid w:val="00DA60CB"/>
    <w:rsid w:val="00DA669D"/>
    <w:rsid w:val="00DA776F"/>
    <w:rsid w:val="00DA7B84"/>
    <w:rsid w:val="00DB07BB"/>
    <w:rsid w:val="00DB125E"/>
    <w:rsid w:val="00DB1330"/>
    <w:rsid w:val="00DB1749"/>
    <w:rsid w:val="00DB1FEA"/>
    <w:rsid w:val="00DB2368"/>
    <w:rsid w:val="00DB24FB"/>
    <w:rsid w:val="00DB2B7E"/>
    <w:rsid w:val="00DB328A"/>
    <w:rsid w:val="00DB36D2"/>
    <w:rsid w:val="00DB3E2C"/>
    <w:rsid w:val="00DB42F9"/>
    <w:rsid w:val="00DB452C"/>
    <w:rsid w:val="00DB476D"/>
    <w:rsid w:val="00DB47C5"/>
    <w:rsid w:val="00DB53DE"/>
    <w:rsid w:val="00DB5719"/>
    <w:rsid w:val="00DB5B6F"/>
    <w:rsid w:val="00DB5BF1"/>
    <w:rsid w:val="00DB5D19"/>
    <w:rsid w:val="00DB5E4A"/>
    <w:rsid w:val="00DB6042"/>
    <w:rsid w:val="00DB624E"/>
    <w:rsid w:val="00DB6888"/>
    <w:rsid w:val="00DB6FF9"/>
    <w:rsid w:val="00DB7650"/>
    <w:rsid w:val="00DB7A4B"/>
    <w:rsid w:val="00DC02EA"/>
    <w:rsid w:val="00DC092E"/>
    <w:rsid w:val="00DC0A52"/>
    <w:rsid w:val="00DC0BDC"/>
    <w:rsid w:val="00DC0E65"/>
    <w:rsid w:val="00DC1103"/>
    <w:rsid w:val="00DC1117"/>
    <w:rsid w:val="00DC13E6"/>
    <w:rsid w:val="00DC1CA6"/>
    <w:rsid w:val="00DC20CF"/>
    <w:rsid w:val="00DC2259"/>
    <w:rsid w:val="00DC2623"/>
    <w:rsid w:val="00DC31CC"/>
    <w:rsid w:val="00DC3A8D"/>
    <w:rsid w:val="00DC4D65"/>
    <w:rsid w:val="00DC64A0"/>
    <w:rsid w:val="00DC6627"/>
    <w:rsid w:val="00DC6AE4"/>
    <w:rsid w:val="00DC76C3"/>
    <w:rsid w:val="00DC77BF"/>
    <w:rsid w:val="00DC7A5D"/>
    <w:rsid w:val="00DC7B9A"/>
    <w:rsid w:val="00DC7BDA"/>
    <w:rsid w:val="00DC7E69"/>
    <w:rsid w:val="00DD02C0"/>
    <w:rsid w:val="00DD1B83"/>
    <w:rsid w:val="00DD1CF0"/>
    <w:rsid w:val="00DD1EC6"/>
    <w:rsid w:val="00DD2821"/>
    <w:rsid w:val="00DD2BAF"/>
    <w:rsid w:val="00DD2E32"/>
    <w:rsid w:val="00DD31C4"/>
    <w:rsid w:val="00DD3308"/>
    <w:rsid w:val="00DD3316"/>
    <w:rsid w:val="00DD38FE"/>
    <w:rsid w:val="00DD3E52"/>
    <w:rsid w:val="00DD460E"/>
    <w:rsid w:val="00DD4F5E"/>
    <w:rsid w:val="00DD5517"/>
    <w:rsid w:val="00DD5ADD"/>
    <w:rsid w:val="00DD5CB6"/>
    <w:rsid w:val="00DD5E57"/>
    <w:rsid w:val="00DD6357"/>
    <w:rsid w:val="00DD6DFD"/>
    <w:rsid w:val="00DD6E32"/>
    <w:rsid w:val="00DD7695"/>
    <w:rsid w:val="00DE02BE"/>
    <w:rsid w:val="00DE146E"/>
    <w:rsid w:val="00DE1B0C"/>
    <w:rsid w:val="00DE2E6C"/>
    <w:rsid w:val="00DE2FFE"/>
    <w:rsid w:val="00DE3385"/>
    <w:rsid w:val="00DE3554"/>
    <w:rsid w:val="00DE38A1"/>
    <w:rsid w:val="00DE4300"/>
    <w:rsid w:val="00DE4638"/>
    <w:rsid w:val="00DE4651"/>
    <w:rsid w:val="00DE4FEF"/>
    <w:rsid w:val="00DE60D5"/>
    <w:rsid w:val="00DE6569"/>
    <w:rsid w:val="00DE66D7"/>
    <w:rsid w:val="00DE6A04"/>
    <w:rsid w:val="00DE6AAE"/>
    <w:rsid w:val="00DE7265"/>
    <w:rsid w:val="00DE7525"/>
    <w:rsid w:val="00DE7BDC"/>
    <w:rsid w:val="00DF0023"/>
    <w:rsid w:val="00DF048D"/>
    <w:rsid w:val="00DF1251"/>
    <w:rsid w:val="00DF1298"/>
    <w:rsid w:val="00DF1791"/>
    <w:rsid w:val="00DF19C2"/>
    <w:rsid w:val="00DF2065"/>
    <w:rsid w:val="00DF2353"/>
    <w:rsid w:val="00DF2504"/>
    <w:rsid w:val="00DF2C54"/>
    <w:rsid w:val="00DF3837"/>
    <w:rsid w:val="00DF3AB2"/>
    <w:rsid w:val="00DF5E69"/>
    <w:rsid w:val="00DF6677"/>
    <w:rsid w:val="00DF6D87"/>
    <w:rsid w:val="00DF6FBC"/>
    <w:rsid w:val="00DF78B2"/>
    <w:rsid w:val="00DF7D1A"/>
    <w:rsid w:val="00DF7DD5"/>
    <w:rsid w:val="00DF7ED4"/>
    <w:rsid w:val="00E004C5"/>
    <w:rsid w:val="00E0053E"/>
    <w:rsid w:val="00E0054D"/>
    <w:rsid w:val="00E00898"/>
    <w:rsid w:val="00E019BB"/>
    <w:rsid w:val="00E01CB2"/>
    <w:rsid w:val="00E01DD2"/>
    <w:rsid w:val="00E01F63"/>
    <w:rsid w:val="00E020A9"/>
    <w:rsid w:val="00E02546"/>
    <w:rsid w:val="00E02CFF"/>
    <w:rsid w:val="00E02E2F"/>
    <w:rsid w:val="00E03938"/>
    <w:rsid w:val="00E03CBD"/>
    <w:rsid w:val="00E04751"/>
    <w:rsid w:val="00E04877"/>
    <w:rsid w:val="00E04C45"/>
    <w:rsid w:val="00E04D1C"/>
    <w:rsid w:val="00E05501"/>
    <w:rsid w:val="00E0576B"/>
    <w:rsid w:val="00E058EB"/>
    <w:rsid w:val="00E05A89"/>
    <w:rsid w:val="00E05FA9"/>
    <w:rsid w:val="00E0628E"/>
    <w:rsid w:val="00E06460"/>
    <w:rsid w:val="00E06826"/>
    <w:rsid w:val="00E0689E"/>
    <w:rsid w:val="00E073CF"/>
    <w:rsid w:val="00E077AF"/>
    <w:rsid w:val="00E07BA5"/>
    <w:rsid w:val="00E07D93"/>
    <w:rsid w:val="00E10A1F"/>
    <w:rsid w:val="00E10C42"/>
    <w:rsid w:val="00E114D8"/>
    <w:rsid w:val="00E11C13"/>
    <w:rsid w:val="00E11F04"/>
    <w:rsid w:val="00E12535"/>
    <w:rsid w:val="00E12D89"/>
    <w:rsid w:val="00E13113"/>
    <w:rsid w:val="00E13167"/>
    <w:rsid w:val="00E1340B"/>
    <w:rsid w:val="00E13999"/>
    <w:rsid w:val="00E13B9C"/>
    <w:rsid w:val="00E13F81"/>
    <w:rsid w:val="00E14108"/>
    <w:rsid w:val="00E14511"/>
    <w:rsid w:val="00E14BA7"/>
    <w:rsid w:val="00E14C53"/>
    <w:rsid w:val="00E14EE9"/>
    <w:rsid w:val="00E15082"/>
    <w:rsid w:val="00E1516D"/>
    <w:rsid w:val="00E15217"/>
    <w:rsid w:val="00E15282"/>
    <w:rsid w:val="00E1557E"/>
    <w:rsid w:val="00E15B0D"/>
    <w:rsid w:val="00E161AD"/>
    <w:rsid w:val="00E16E3C"/>
    <w:rsid w:val="00E17050"/>
    <w:rsid w:val="00E17093"/>
    <w:rsid w:val="00E17F53"/>
    <w:rsid w:val="00E2016B"/>
    <w:rsid w:val="00E21479"/>
    <w:rsid w:val="00E21BA1"/>
    <w:rsid w:val="00E21DB7"/>
    <w:rsid w:val="00E2256E"/>
    <w:rsid w:val="00E24195"/>
    <w:rsid w:val="00E24432"/>
    <w:rsid w:val="00E24567"/>
    <w:rsid w:val="00E24F14"/>
    <w:rsid w:val="00E25124"/>
    <w:rsid w:val="00E25239"/>
    <w:rsid w:val="00E25276"/>
    <w:rsid w:val="00E25A4F"/>
    <w:rsid w:val="00E261F8"/>
    <w:rsid w:val="00E2664B"/>
    <w:rsid w:val="00E26973"/>
    <w:rsid w:val="00E26E57"/>
    <w:rsid w:val="00E27467"/>
    <w:rsid w:val="00E27BC6"/>
    <w:rsid w:val="00E303A9"/>
    <w:rsid w:val="00E3043D"/>
    <w:rsid w:val="00E30536"/>
    <w:rsid w:val="00E30628"/>
    <w:rsid w:val="00E31251"/>
    <w:rsid w:val="00E32231"/>
    <w:rsid w:val="00E324AD"/>
    <w:rsid w:val="00E32623"/>
    <w:rsid w:val="00E32F9A"/>
    <w:rsid w:val="00E33224"/>
    <w:rsid w:val="00E333FB"/>
    <w:rsid w:val="00E3342D"/>
    <w:rsid w:val="00E33683"/>
    <w:rsid w:val="00E33734"/>
    <w:rsid w:val="00E33C47"/>
    <w:rsid w:val="00E33C7F"/>
    <w:rsid w:val="00E33EE3"/>
    <w:rsid w:val="00E3439E"/>
    <w:rsid w:val="00E3440F"/>
    <w:rsid w:val="00E34628"/>
    <w:rsid w:val="00E347F0"/>
    <w:rsid w:val="00E35085"/>
    <w:rsid w:val="00E35094"/>
    <w:rsid w:val="00E35693"/>
    <w:rsid w:val="00E36CFA"/>
    <w:rsid w:val="00E36EB2"/>
    <w:rsid w:val="00E36F56"/>
    <w:rsid w:val="00E377A0"/>
    <w:rsid w:val="00E4049A"/>
    <w:rsid w:val="00E4060A"/>
    <w:rsid w:val="00E4083B"/>
    <w:rsid w:val="00E40AEB"/>
    <w:rsid w:val="00E40F9D"/>
    <w:rsid w:val="00E4122C"/>
    <w:rsid w:val="00E417D0"/>
    <w:rsid w:val="00E41A62"/>
    <w:rsid w:val="00E422C4"/>
    <w:rsid w:val="00E425B3"/>
    <w:rsid w:val="00E42EC2"/>
    <w:rsid w:val="00E43330"/>
    <w:rsid w:val="00E4341C"/>
    <w:rsid w:val="00E439F8"/>
    <w:rsid w:val="00E43ABB"/>
    <w:rsid w:val="00E43AD8"/>
    <w:rsid w:val="00E43DC4"/>
    <w:rsid w:val="00E43DF0"/>
    <w:rsid w:val="00E4431C"/>
    <w:rsid w:val="00E44CD4"/>
    <w:rsid w:val="00E455AB"/>
    <w:rsid w:val="00E45B91"/>
    <w:rsid w:val="00E45F20"/>
    <w:rsid w:val="00E460B5"/>
    <w:rsid w:val="00E46B50"/>
    <w:rsid w:val="00E46B92"/>
    <w:rsid w:val="00E46C57"/>
    <w:rsid w:val="00E46D9B"/>
    <w:rsid w:val="00E47200"/>
    <w:rsid w:val="00E47329"/>
    <w:rsid w:val="00E47385"/>
    <w:rsid w:val="00E50533"/>
    <w:rsid w:val="00E508F6"/>
    <w:rsid w:val="00E50D34"/>
    <w:rsid w:val="00E50ECC"/>
    <w:rsid w:val="00E50F7B"/>
    <w:rsid w:val="00E5176B"/>
    <w:rsid w:val="00E51B5D"/>
    <w:rsid w:val="00E5223D"/>
    <w:rsid w:val="00E528BA"/>
    <w:rsid w:val="00E53A72"/>
    <w:rsid w:val="00E53CAB"/>
    <w:rsid w:val="00E54401"/>
    <w:rsid w:val="00E544CA"/>
    <w:rsid w:val="00E54747"/>
    <w:rsid w:val="00E55339"/>
    <w:rsid w:val="00E55538"/>
    <w:rsid w:val="00E55ADF"/>
    <w:rsid w:val="00E565C2"/>
    <w:rsid w:val="00E56E95"/>
    <w:rsid w:val="00E56ECC"/>
    <w:rsid w:val="00E5731F"/>
    <w:rsid w:val="00E57911"/>
    <w:rsid w:val="00E57F9B"/>
    <w:rsid w:val="00E60269"/>
    <w:rsid w:val="00E60586"/>
    <w:rsid w:val="00E605EA"/>
    <w:rsid w:val="00E6073C"/>
    <w:rsid w:val="00E60763"/>
    <w:rsid w:val="00E60C32"/>
    <w:rsid w:val="00E616A2"/>
    <w:rsid w:val="00E627F6"/>
    <w:rsid w:val="00E62F5C"/>
    <w:rsid w:val="00E632C3"/>
    <w:rsid w:val="00E63E8A"/>
    <w:rsid w:val="00E63F1D"/>
    <w:rsid w:val="00E64089"/>
    <w:rsid w:val="00E646D5"/>
    <w:rsid w:val="00E64A75"/>
    <w:rsid w:val="00E64B1B"/>
    <w:rsid w:val="00E65779"/>
    <w:rsid w:val="00E65B3D"/>
    <w:rsid w:val="00E6602D"/>
    <w:rsid w:val="00E6603D"/>
    <w:rsid w:val="00E67336"/>
    <w:rsid w:val="00E67343"/>
    <w:rsid w:val="00E679CB"/>
    <w:rsid w:val="00E67E86"/>
    <w:rsid w:val="00E70752"/>
    <w:rsid w:val="00E709D8"/>
    <w:rsid w:val="00E7153E"/>
    <w:rsid w:val="00E71650"/>
    <w:rsid w:val="00E71752"/>
    <w:rsid w:val="00E71AFE"/>
    <w:rsid w:val="00E71C28"/>
    <w:rsid w:val="00E71F52"/>
    <w:rsid w:val="00E72A7F"/>
    <w:rsid w:val="00E72EC2"/>
    <w:rsid w:val="00E732AF"/>
    <w:rsid w:val="00E7372A"/>
    <w:rsid w:val="00E740F5"/>
    <w:rsid w:val="00E74455"/>
    <w:rsid w:val="00E744FC"/>
    <w:rsid w:val="00E74926"/>
    <w:rsid w:val="00E752A1"/>
    <w:rsid w:val="00E753AA"/>
    <w:rsid w:val="00E756EC"/>
    <w:rsid w:val="00E75875"/>
    <w:rsid w:val="00E75955"/>
    <w:rsid w:val="00E75A9D"/>
    <w:rsid w:val="00E75E7C"/>
    <w:rsid w:val="00E76466"/>
    <w:rsid w:val="00E76513"/>
    <w:rsid w:val="00E76670"/>
    <w:rsid w:val="00E76A32"/>
    <w:rsid w:val="00E76C5E"/>
    <w:rsid w:val="00E77925"/>
    <w:rsid w:val="00E803C3"/>
    <w:rsid w:val="00E80872"/>
    <w:rsid w:val="00E80EFB"/>
    <w:rsid w:val="00E81B8E"/>
    <w:rsid w:val="00E81EBF"/>
    <w:rsid w:val="00E81ED7"/>
    <w:rsid w:val="00E8219D"/>
    <w:rsid w:val="00E82EE4"/>
    <w:rsid w:val="00E83371"/>
    <w:rsid w:val="00E8377F"/>
    <w:rsid w:val="00E84955"/>
    <w:rsid w:val="00E8543E"/>
    <w:rsid w:val="00E855CE"/>
    <w:rsid w:val="00E8597F"/>
    <w:rsid w:val="00E8607A"/>
    <w:rsid w:val="00E87631"/>
    <w:rsid w:val="00E878BE"/>
    <w:rsid w:val="00E87B69"/>
    <w:rsid w:val="00E87D52"/>
    <w:rsid w:val="00E87F00"/>
    <w:rsid w:val="00E87F4D"/>
    <w:rsid w:val="00E90555"/>
    <w:rsid w:val="00E907BE"/>
    <w:rsid w:val="00E90F1F"/>
    <w:rsid w:val="00E90FC1"/>
    <w:rsid w:val="00E91504"/>
    <w:rsid w:val="00E91685"/>
    <w:rsid w:val="00E916A9"/>
    <w:rsid w:val="00E91942"/>
    <w:rsid w:val="00E9222C"/>
    <w:rsid w:val="00E9229E"/>
    <w:rsid w:val="00E92D36"/>
    <w:rsid w:val="00E933EB"/>
    <w:rsid w:val="00E93B01"/>
    <w:rsid w:val="00E9439E"/>
    <w:rsid w:val="00E9522B"/>
    <w:rsid w:val="00E9558B"/>
    <w:rsid w:val="00E95D1B"/>
    <w:rsid w:val="00E9623E"/>
    <w:rsid w:val="00E9649D"/>
    <w:rsid w:val="00E969F0"/>
    <w:rsid w:val="00E96A2C"/>
    <w:rsid w:val="00EA009F"/>
    <w:rsid w:val="00EA09FE"/>
    <w:rsid w:val="00EA17C0"/>
    <w:rsid w:val="00EA2523"/>
    <w:rsid w:val="00EA2EFA"/>
    <w:rsid w:val="00EA32BF"/>
    <w:rsid w:val="00EA50D6"/>
    <w:rsid w:val="00EA52B0"/>
    <w:rsid w:val="00EA5714"/>
    <w:rsid w:val="00EA5E1D"/>
    <w:rsid w:val="00EA7662"/>
    <w:rsid w:val="00EB016F"/>
    <w:rsid w:val="00EB0635"/>
    <w:rsid w:val="00EB06EB"/>
    <w:rsid w:val="00EB0798"/>
    <w:rsid w:val="00EB0B50"/>
    <w:rsid w:val="00EB222C"/>
    <w:rsid w:val="00EB2A74"/>
    <w:rsid w:val="00EB33F4"/>
    <w:rsid w:val="00EB3B9C"/>
    <w:rsid w:val="00EB3C8F"/>
    <w:rsid w:val="00EB4242"/>
    <w:rsid w:val="00EB44AE"/>
    <w:rsid w:val="00EB4C04"/>
    <w:rsid w:val="00EB4CA7"/>
    <w:rsid w:val="00EB526A"/>
    <w:rsid w:val="00EB574E"/>
    <w:rsid w:val="00EB5E24"/>
    <w:rsid w:val="00EB5E87"/>
    <w:rsid w:val="00EB649D"/>
    <w:rsid w:val="00EB6754"/>
    <w:rsid w:val="00EB7714"/>
    <w:rsid w:val="00EB7A49"/>
    <w:rsid w:val="00EB7A4F"/>
    <w:rsid w:val="00EB7C4B"/>
    <w:rsid w:val="00EB7FC4"/>
    <w:rsid w:val="00EC035A"/>
    <w:rsid w:val="00EC0BAD"/>
    <w:rsid w:val="00EC1320"/>
    <w:rsid w:val="00EC1406"/>
    <w:rsid w:val="00EC225B"/>
    <w:rsid w:val="00EC2677"/>
    <w:rsid w:val="00EC2DAB"/>
    <w:rsid w:val="00EC3504"/>
    <w:rsid w:val="00EC36F2"/>
    <w:rsid w:val="00EC40B3"/>
    <w:rsid w:val="00EC4189"/>
    <w:rsid w:val="00EC4338"/>
    <w:rsid w:val="00EC440F"/>
    <w:rsid w:val="00EC44CA"/>
    <w:rsid w:val="00EC476F"/>
    <w:rsid w:val="00EC48D7"/>
    <w:rsid w:val="00EC4B7C"/>
    <w:rsid w:val="00EC4BB6"/>
    <w:rsid w:val="00EC4F33"/>
    <w:rsid w:val="00EC68F4"/>
    <w:rsid w:val="00EC7129"/>
    <w:rsid w:val="00EC779C"/>
    <w:rsid w:val="00ED07A3"/>
    <w:rsid w:val="00ED11C5"/>
    <w:rsid w:val="00ED1924"/>
    <w:rsid w:val="00ED195D"/>
    <w:rsid w:val="00ED1E35"/>
    <w:rsid w:val="00ED2117"/>
    <w:rsid w:val="00ED2884"/>
    <w:rsid w:val="00ED2C8F"/>
    <w:rsid w:val="00ED2D4A"/>
    <w:rsid w:val="00ED2DB6"/>
    <w:rsid w:val="00ED304F"/>
    <w:rsid w:val="00ED47C8"/>
    <w:rsid w:val="00ED4BF7"/>
    <w:rsid w:val="00ED4FB2"/>
    <w:rsid w:val="00ED507D"/>
    <w:rsid w:val="00ED5A35"/>
    <w:rsid w:val="00ED6F17"/>
    <w:rsid w:val="00ED73C5"/>
    <w:rsid w:val="00ED76F1"/>
    <w:rsid w:val="00ED7BC1"/>
    <w:rsid w:val="00ED7CE7"/>
    <w:rsid w:val="00ED7D18"/>
    <w:rsid w:val="00ED7FFE"/>
    <w:rsid w:val="00EE0EE3"/>
    <w:rsid w:val="00EE24DB"/>
    <w:rsid w:val="00EE24FB"/>
    <w:rsid w:val="00EE2D3F"/>
    <w:rsid w:val="00EE3270"/>
    <w:rsid w:val="00EE3367"/>
    <w:rsid w:val="00EE3730"/>
    <w:rsid w:val="00EE3DA2"/>
    <w:rsid w:val="00EE43C0"/>
    <w:rsid w:val="00EE4452"/>
    <w:rsid w:val="00EE4C7E"/>
    <w:rsid w:val="00EE5006"/>
    <w:rsid w:val="00EE51DB"/>
    <w:rsid w:val="00EE556D"/>
    <w:rsid w:val="00EE5713"/>
    <w:rsid w:val="00EE5DBE"/>
    <w:rsid w:val="00EE6128"/>
    <w:rsid w:val="00EE6184"/>
    <w:rsid w:val="00EE658A"/>
    <w:rsid w:val="00EE7607"/>
    <w:rsid w:val="00EE7A2C"/>
    <w:rsid w:val="00EE7BEB"/>
    <w:rsid w:val="00EF0209"/>
    <w:rsid w:val="00EF0F3B"/>
    <w:rsid w:val="00EF1A43"/>
    <w:rsid w:val="00EF20F2"/>
    <w:rsid w:val="00EF2141"/>
    <w:rsid w:val="00EF2240"/>
    <w:rsid w:val="00EF2596"/>
    <w:rsid w:val="00EF3069"/>
    <w:rsid w:val="00EF30C3"/>
    <w:rsid w:val="00EF3482"/>
    <w:rsid w:val="00EF389A"/>
    <w:rsid w:val="00EF3A6B"/>
    <w:rsid w:val="00EF3DE5"/>
    <w:rsid w:val="00EF42C2"/>
    <w:rsid w:val="00EF4473"/>
    <w:rsid w:val="00EF4707"/>
    <w:rsid w:val="00EF470B"/>
    <w:rsid w:val="00EF4BC0"/>
    <w:rsid w:val="00EF4C4E"/>
    <w:rsid w:val="00EF51B0"/>
    <w:rsid w:val="00EF576E"/>
    <w:rsid w:val="00EF57A5"/>
    <w:rsid w:val="00EF5811"/>
    <w:rsid w:val="00EF5987"/>
    <w:rsid w:val="00EF5A8E"/>
    <w:rsid w:val="00EF6556"/>
    <w:rsid w:val="00EF6F14"/>
    <w:rsid w:val="00F012A8"/>
    <w:rsid w:val="00F01733"/>
    <w:rsid w:val="00F01CA0"/>
    <w:rsid w:val="00F020BB"/>
    <w:rsid w:val="00F0319D"/>
    <w:rsid w:val="00F0385E"/>
    <w:rsid w:val="00F04E2E"/>
    <w:rsid w:val="00F05AA6"/>
    <w:rsid w:val="00F05C43"/>
    <w:rsid w:val="00F066C8"/>
    <w:rsid w:val="00F06C0B"/>
    <w:rsid w:val="00F07089"/>
    <w:rsid w:val="00F07BE2"/>
    <w:rsid w:val="00F07F28"/>
    <w:rsid w:val="00F10548"/>
    <w:rsid w:val="00F105A7"/>
    <w:rsid w:val="00F106F3"/>
    <w:rsid w:val="00F11001"/>
    <w:rsid w:val="00F12005"/>
    <w:rsid w:val="00F121E5"/>
    <w:rsid w:val="00F1232F"/>
    <w:rsid w:val="00F12994"/>
    <w:rsid w:val="00F12D86"/>
    <w:rsid w:val="00F12DF2"/>
    <w:rsid w:val="00F13058"/>
    <w:rsid w:val="00F134E3"/>
    <w:rsid w:val="00F13B05"/>
    <w:rsid w:val="00F13F47"/>
    <w:rsid w:val="00F142D6"/>
    <w:rsid w:val="00F14A46"/>
    <w:rsid w:val="00F15347"/>
    <w:rsid w:val="00F15451"/>
    <w:rsid w:val="00F154D4"/>
    <w:rsid w:val="00F15553"/>
    <w:rsid w:val="00F15AF2"/>
    <w:rsid w:val="00F15D23"/>
    <w:rsid w:val="00F15F1E"/>
    <w:rsid w:val="00F1643F"/>
    <w:rsid w:val="00F16644"/>
    <w:rsid w:val="00F16E49"/>
    <w:rsid w:val="00F177C6"/>
    <w:rsid w:val="00F178AB"/>
    <w:rsid w:val="00F2034E"/>
    <w:rsid w:val="00F20EA1"/>
    <w:rsid w:val="00F20F16"/>
    <w:rsid w:val="00F21290"/>
    <w:rsid w:val="00F21A4C"/>
    <w:rsid w:val="00F2214E"/>
    <w:rsid w:val="00F2230A"/>
    <w:rsid w:val="00F231A1"/>
    <w:rsid w:val="00F235C1"/>
    <w:rsid w:val="00F23DBA"/>
    <w:rsid w:val="00F23E5B"/>
    <w:rsid w:val="00F23F33"/>
    <w:rsid w:val="00F245E6"/>
    <w:rsid w:val="00F24A7D"/>
    <w:rsid w:val="00F24EE9"/>
    <w:rsid w:val="00F25334"/>
    <w:rsid w:val="00F254AF"/>
    <w:rsid w:val="00F25EC4"/>
    <w:rsid w:val="00F26092"/>
    <w:rsid w:val="00F26538"/>
    <w:rsid w:val="00F26808"/>
    <w:rsid w:val="00F268A4"/>
    <w:rsid w:val="00F26EE2"/>
    <w:rsid w:val="00F27AB2"/>
    <w:rsid w:val="00F307CC"/>
    <w:rsid w:val="00F30BBA"/>
    <w:rsid w:val="00F30D4A"/>
    <w:rsid w:val="00F310BB"/>
    <w:rsid w:val="00F313CE"/>
    <w:rsid w:val="00F31584"/>
    <w:rsid w:val="00F31630"/>
    <w:rsid w:val="00F329CE"/>
    <w:rsid w:val="00F3322B"/>
    <w:rsid w:val="00F338B2"/>
    <w:rsid w:val="00F3467A"/>
    <w:rsid w:val="00F34A95"/>
    <w:rsid w:val="00F34C99"/>
    <w:rsid w:val="00F34F03"/>
    <w:rsid w:val="00F352FD"/>
    <w:rsid w:val="00F35CF9"/>
    <w:rsid w:val="00F36007"/>
    <w:rsid w:val="00F3623B"/>
    <w:rsid w:val="00F367AD"/>
    <w:rsid w:val="00F36FED"/>
    <w:rsid w:val="00F37072"/>
    <w:rsid w:val="00F4094B"/>
    <w:rsid w:val="00F40BB5"/>
    <w:rsid w:val="00F40CF9"/>
    <w:rsid w:val="00F40F5F"/>
    <w:rsid w:val="00F41AB6"/>
    <w:rsid w:val="00F41E9A"/>
    <w:rsid w:val="00F421DD"/>
    <w:rsid w:val="00F4221B"/>
    <w:rsid w:val="00F4233C"/>
    <w:rsid w:val="00F428FA"/>
    <w:rsid w:val="00F439BB"/>
    <w:rsid w:val="00F43FCA"/>
    <w:rsid w:val="00F444AF"/>
    <w:rsid w:val="00F44640"/>
    <w:rsid w:val="00F449D7"/>
    <w:rsid w:val="00F44F7B"/>
    <w:rsid w:val="00F45443"/>
    <w:rsid w:val="00F455B8"/>
    <w:rsid w:val="00F457B5"/>
    <w:rsid w:val="00F45F5E"/>
    <w:rsid w:val="00F461AE"/>
    <w:rsid w:val="00F46B1C"/>
    <w:rsid w:val="00F46CA0"/>
    <w:rsid w:val="00F46D8C"/>
    <w:rsid w:val="00F46F7C"/>
    <w:rsid w:val="00F4708A"/>
    <w:rsid w:val="00F47D6C"/>
    <w:rsid w:val="00F51106"/>
    <w:rsid w:val="00F51A00"/>
    <w:rsid w:val="00F51B37"/>
    <w:rsid w:val="00F51B88"/>
    <w:rsid w:val="00F52A4C"/>
    <w:rsid w:val="00F534D3"/>
    <w:rsid w:val="00F534ED"/>
    <w:rsid w:val="00F53968"/>
    <w:rsid w:val="00F53BAF"/>
    <w:rsid w:val="00F5421D"/>
    <w:rsid w:val="00F54895"/>
    <w:rsid w:val="00F54A93"/>
    <w:rsid w:val="00F54BBD"/>
    <w:rsid w:val="00F55A8B"/>
    <w:rsid w:val="00F562BE"/>
    <w:rsid w:val="00F567A9"/>
    <w:rsid w:val="00F570FA"/>
    <w:rsid w:val="00F60458"/>
    <w:rsid w:val="00F60DF3"/>
    <w:rsid w:val="00F61026"/>
    <w:rsid w:val="00F613D5"/>
    <w:rsid w:val="00F61567"/>
    <w:rsid w:val="00F61A2E"/>
    <w:rsid w:val="00F62057"/>
    <w:rsid w:val="00F62582"/>
    <w:rsid w:val="00F633BD"/>
    <w:rsid w:val="00F638BE"/>
    <w:rsid w:val="00F638C6"/>
    <w:rsid w:val="00F63998"/>
    <w:rsid w:val="00F63C51"/>
    <w:rsid w:val="00F646A6"/>
    <w:rsid w:val="00F64DC6"/>
    <w:rsid w:val="00F64F14"/>
    <w:rsid w:val="00F658CB"/>
    <w:rsid w:val="00F65BCB"/>
    <w:rsid w:val="00F66623"/>
    <w:rsid w:val="00F66D31"/>
    <w:rsid w:val="00F67567"/>
    <w:rsid w:val="00F676A7"/>
    <w:rsid w:val="00F67C01"/>
    <w:rsid w:val="00F67C2B"/>
    <w:rsid w:val="00F70B77"/>
    <w:rsid w:val="00F7114B"/>
    <w:rsid w:val="00F71E7A"/>
    <w:rsid w:val="00F721EF"/>
    <w:rsid w:val="00F72203"/>
    <w:rsid w:val="00F72301"/>
    <w:rsid w:val="00F72424"/>
    <w:rsid w:val="00F72599"/>
    <w:rsid w:val="00F72AC2"/>
    <w:rsid w:val="00F72BF8"/>
    <w:rsid w:val="00F73A93"/>
    <w:rsid w:val="00F74168"/>
    <w:rsid w:val="00F742F1"/>
    <w:rsid w:val="00F747FA"/>
    <w:rsid w:val="00F74871"/>
    <w:rsid w:val="00F756F9"/>
    <w:rsid w:val="00F76037"/>
    <w:rsid w:val="00F77724"/>
    <w:rsid w:val="00F7772A"/>
    <w:rsid w:val="00F77839"/>
    <w:rsid w:val="00F77995"/>
    <w:rsid w:val="00F77AB9"/>
    <w:rsid w:val="00F8097D"/>
    <w:rsid w:val="00F810FE"/>
    <w:rsid w:val="00F811B9"/>
    <w:rsid w:val="00F815CC"/>
    <w:rsid w:val="00F818AC"/>
    <w:rsid w:val="00F81A57"/>
    <w:rsid w:val="00F8246A"/>
    <w:rsid w:val="00F8285E"/>
    <w:rsid w:val="00F83ED9"/>
    <w:rsid w:val="00F84A25"/>
    <w:rsid w:val="00F856ED"/>
    <w:rsid w:val="00F8574D"/>
    <w:rsid w:val="00F85DEC"/>
    <w:rsid w:val="00F85EDA"/>
    <w:rsid w:val="00F86150"/>
    <w:rsid w:val="00F8615F"/>
    <w:rsid w:val="00F8629B"/>
    <w:rsid w:val="00F86D4E"/>
    <w:rsid w:val="00F86E6F"/>
    <w:rsid w:val="00F87BEF"/>
    <w:rsid w:val="00F90296"/>
    <w:rsid w:val="00F902F3"/>
    <w:rsid w:val="00F90C13"/>
    <w:rsid w:val="00F90DD7"/>
    <w:rsid w:val="00F91164"/>
    <w:rsid w:val="00F91524"/>
    <w:rsid w:val="00F921D4"/>
    <w:rsid w:val="00F9270B"/>
    <w:rsid w:val="00F92AB1"/>
    <w:rsid w:val="00F92B0F"/>
    <w:rsid w:val="00F92F53"/>
    <w:rsid w:val="00F93043"/>
    <w:rsid w:val="00F93D6C"/>
    <w:rsid w:val="00F93F86"/>
    <w:rsid w:val="00F93FCF"/>
    <w:rsid w:val="00F94068"/>
    <w:rsid w:val="00F9438E"/>
    <w:rsid w:val="00F9489A"/>
    <w:rsid w:val="00F95284"/>
    <w:rsid w:val="00F9536B"/>
    <w:rsid w:val="00F963DB"/>
    <w:rsid w:val="00F9684A"/>
    <w:rsid w:val="00F96A71"/>
    <w:rsid w:val="00F96ACA"/>
    <w:rsid w:val="00F96D24"/>
    <w:rsid w:val="00F97BFD"/>
    <w:rsid w:val="00FA02C5"/>
    <w:rsid w:val="00FA1AEC"/>
    <w:rsid w:val="00FA1E97"/>
    <w:rsid w:val="00FA26E3"/>
    <w:rsid w:val="00FA2C69"/>
    <w:rsid w:val="00FA3465"/>
    <w:rsid w:val="00FA44FB"/>
    <w:rsid w:val="00FA52E3"/>
    <w:rsid w:val="00FA5580"/>
    <w:rsid w:val="00FA5BFC"/>
    <w:rsid w:val="00FA5F42"/>
    <w:rsid w:val="00FA620B"/>
    <w:rsid w:val="00FA6361"/>
    <w:rsid w:val="00FA69C3"/>
    <w:rsid w:val="00FA69E4"/>
    <w:rsid w:val="00FA6AAC"/>
    <w:rsid w:val="00FA6CBC"/>
    <w:rsid w:val="00FA6D48"/>
    <w:rsid w:val="00FA7D6A"/>
    <w:rsid w:val="00FA7EC0"/>
    <w:rsid w:val="00FA7FAB"/>
    <w:rsid w:val="00FB0BB2"/>
    <w:rsid w:val="00FB1582"/>
    <w:rsid w:val="00FB16C0"/>
    <w:rsid w:val="00FB1938"/>
    <w:rsid w:val="00FB2648"/>
    <w:rsid w:val="00FB349A"/>
    <w:rsid w:val="00FB38BE"/>
    <w:rsid w:val="00FB3E1A"/>
    <w:rsid w:val="00FB4B50"/>
    <w:rsid w:val="00FB4E5B"/>
    <w:rsid w:val="00FB54ED"/>
    <w:rsid w:val="00FB5808"/>
    <w:rsid w:val="00FB5BD6"/>
    <w:rsid w:val="00FB6DFE"/>
    <w:rsid w:val="00FB7E3B"/>
    <w:rsid w:val="00FC010A"/>
    <w:rsid w:val="00FC072E"/>
    <w:rsid w:val="00FC0921"/>
    <w:rsid w:val="00FC11A9"/>
    <w:rsid w:val="00FC1C6F"/>
    <w:rsid w:val="00FC266E"/>
    <w:rsid w:val="00FC2DC6"/>
    <w:rsid w:val="00FC30E2"/>
    <w:rsid w:val="00FC31EF"/>
    <w:rsid w:val="00FC3A30"/>
    <w:rsid w:val="00FC3B2B"/>
    <w:rsid w:val="00FC3E24"/>
    <w:rsid w:val="00FC5249"/>
    <w:rsid w:val="00FC551E"/>
    <w:rsid w:val="00FC5790"/>
    <w:rsid w:val="00FC5D6A"/>
    <w:rsid w:val="00FC656F"/>
    <w:rsid w:val="00FC6969"/>
    <w:rsid w:val="00FC6A12"/>
    <w:rsid w:val="00FC6B94"/>
    <w:rsid w:val="00FC6D98"/>
    <w:rsid w:val="00FC6DD7"/>
    <w:rsid w:val="00FC759D"/>
    <w:rsid w:val="00FC7CE7"/>
    <w:rsid w:val="00FD039F"/>
    <w:rsid w:val="00FD05B4"/>
    <w:rsid w:val="00FD1153"/>
    <w:rsid w:val="00FD13D5"/>
    <w:rsid w:val="00FD1995"/>
    <w:rsid w:val="00FD25E1"/>
    <w:rsid w:val="00FD2716"/>
    <w:rsid w:val="00FD29EE"/>
    <w:rsid w:val="00FD32CB"/>
    <w:rsid w:val="00FD3C86"/>
    <w:rsid w:val="00FD3CAB"/>
    <w:rsid w:val="00FD40FF"/>
    <w:rsid w:val="00FD5475"/>
    <w:rsid w:val="00FD56F2"/>
    <w:rsid w:val="00FD5E1C"/>
    <w:rsid w:val="00FD62EB"/>
    <w:rsid w:val="00FD6327"/>
    <w:rsid w:val="00FD63DF"/>
    <w:rsid w:val="00FD6852"/>
    <w:rsid w:val="00FD7339"/>
    <w:rsid w:val="00FD7945"/>
    <w:rsid w:val="00FE02C1"/>
    <w:rsid w:val="00FE0B54"/>
    <w:rsid w:val="00FE0B5C"/>
    <w:rsid w:val="00FE0DF4"/>
    <w:rsid w:val="00FE1880"/>
    <w:rsid w:val="00FE1B0B"/>
    <w:rsid w:val="00FE1EB0"/>
    <w:rsid w:val="00FE2075"/>
    <w:rsid w:val="00FE225A"/>
    <w:rsid w:val="00FE2349"/>
    <w:rsid w:val="00FE23B0"/>
    <w:rsid w:val="00FE23C1"/>
    <w:rsid w:val="00FE3963"/>
    <w:rsid w:val="00FE3F8E"/>
    <w:rsid w:val="00FE47ED"/>
    <w:rsid w:val="00FE4AAD"/>
    <w:rsid w:val="00FE5330"/>
    <w:rsid w:val="00FE61DC"/>
    <w:rsid w:val="00FE67D0"/>
    <w:rsid w:val="00FE6D54"/>
    <w:rsid w:val="00FE6F1C"/>
    <w:rsid w:val="00FE7B01"/>
    <w:rsid w:val="00FE7D26"/>
    <w:rsid w:val="00FF00BF"/>
    <w:rsid w:val="00FF081E"/>
    <w:rsid w:val="00FF09FE"/>
    <w:rsid w:val="00FF1187"/>
    <w:rsid w:val="00FF145C"/>
    <w:rsid w:val="00FF1BBA"/>
    <w:rsid w:val="00FF2151"/>
    <w:rsid w:val="00FF2318"/>
    <w:rsid w:val="00FF26EE"/>
    <w:rsid w:val="00FF2E59"/>
    <w:rsid w:val="00FF2EC1"/>
    <w:rsid w:val="00FF3102"/>
    <w:rsid w:val="00FF3329"/>
    <w:rsid w:val="00FF342B"/>
    <w:rsid w:val="00FF3F22"/>
    <w:rsid w:val="00FF41D8"/>
    <w:rsid w:val="00FF47A3"/>
    <w:rsid w:val="00FF4D23"/>
    <w:rsid w:val="00FF602B"/>
    <w:rsid w:val="00FF6353"/>
    <w:rsid w:val="00FF704A"/>
    <w:rsid w:val="00FF7877"/>
    <w:rsid w:val="0FA55470"/>
    <w:rsid w:val="19E43018"/>
    <w:rsid w:val="2E422083"/>
    <w:rsid w:val="2E827FF5"/>
    <w:rsid w:val="40AE1122"/>
    <w:rsid w:val="40ED5BF3"/>
    <w:rsid w:val="4C73568E"/>
    <w:rsid w:val="5B301962"/>
    <w:rsid w:val="68AE7938"/>
    <w:rsid w:val="72957606"/>
    <w:rsid w:val="7EA474E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99"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nhideWhenUsed="0" w:uiPriority="0" w:semiHidden="0" w:name="macro"/>
    <w:lsdException w:qFormat="1" w:unhideWhenUsed="0" w:uiPriority="0" w:semiHidden="0" w:name="toa heading"/>
    <w:lsdException w:uiPriority="0" w:name="List"/>
    <w:lsdException w:qFormat="1"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qFormat="1"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hd w:val="clear" w:color="auto" w:fill="FFFFFF"/>
      <w:tabs>
        <w:tab w:val="left" w:pos="426"/>
      </w:tabs>
      <w:adjustRightInd w:val="0"/>
      <w:snapToGrid w:val="0"/>
      <w:spacing w:line="360" w:lineRule="auto"/>
      <w:jc w:val="both"/>
    </w:pPr>
    <w:rPr>
      <w:rFonts w:ascii="宋体" w:hAnsi="宋体" w:eastAsia="宋体" w:cs="宋体"/>
      <w:sz w:val="21"/>
      <w:szCs w:val="24"/>
      <w:lang w:val="en-US" w:eastAsia="zh-CN" w:bidi="ar-SA"/>
    </w:rPr>
  </w:style>
  <w:style w:type="paragraph" w:styleId="2">
    <w:name w:val="heading 1"/>
    <w:basedOn w:val="3"/>
    <w:next w:val="1"/>
    <w:link w:val="57"/>
    <w:qFormat/>
    <w:uiPriority w:val="0"/>
    <w:pPr>
      <w:keepNext w:val="0"/>
      <w:keepLines w:val="0"/>
      <w:tabs>
        <w:tab w:val="left" w:pos="426"/>
      </w:tabs>
      <w:spacing w:before="340" w:after="330" w:line="300" w:lineRule="auto"/>
      <w:jc w:val="center"/>
      <w:outlineLvl w:val="0"/>
    </w:pPr>
    <w:rPr>
      <w:rFonts w:eastAsia="黑体"/>
      <w:kern w:val="44"/>
      <w:sz w:val="28"/>
      <w:szCs w:val="28"/>
    </w:rPr>
  </w:style>
  <w:style w:type="paragraph" w:styleId="5">
    <w:name w:val="heading 2"/>
    <w:basedOn w:val="3"/>
    <w:next w:val="4"/>
    <w:link w:val="287"/>
    <w:qFormat/>
    <w:uiPriority w:val="0"/>
    <w:pPr>
      <w:tabs>
        <w:tab w:val="left" w:pos="426"/>
      </w:tabs>
      <w:textAlignment w:val="baseline"/>
      <w:outlineLvl w:val="1"/>
    </w:pPr>
    <w:rPr>
      <w:bCs w:val="0"/>
      <w:kern w:val="0"/>
      <w:szCs w:val="20"/>
    </w:rPr>
  </w:style>
  <w:style w:type="paragraph" w:styleId="3">
    <w:name w:val="heading 3"/>
    <w:basedOn w:val="4"/>
    <w:next w:val="1"/>
    <w:link w:val="56"/>
    <w:qFormat/>
    <w:uiPriority w:val="0"/>
    <w:pPr>
      <w:tabs>
        <w:tab w:val="left" w:pos="426"/>
      </w:tabs>
      <w:spacing w:before="260" w:after="260" w:line="240" w:lineRule="auto"/>
      <w:outlineLvl w:val="2"/>
    </w:pPr>
    <w:rPr>
      <w:rFonts w:ascii="宋体" w:hAnsi="宋体" w:eastAsia="宋体"/>
      <w:sz w:val="24"/>
      <w:szCs w:val="32"/>
    </w:rPr>
  </w:style>
  <w:style w:type="paragraph" w:styleId="4">
    <w:name w:val="heading 4"/>
    <w:basedOn w:val="1"/>
    <w:next w:val="1"/>
    <w:link w:val="54"/>
    <w:qFormat/>
    <w:uiPriority w:val="0"/>
    <w:pPr>
      <w:keepNext/>
      <w:keepLines/>
      <w:spacing w:before="280" w:after="290" w:line="376" w:lineRule="auto"/>
      <w:outlineLvl w:val="3"/>
    </w:pPr>
    <w:rPr>
      <w:rFonts w:ascii="Arial" w:hAnsi="Arial" w:eastAsia="黑体" w:cs="Times New Roman"/>
      <w:b/>
      <w:bCs/>
      <w:kern w:val="2"/>
      <w:sz w:val="28"/>
      <w:szCs w:val="28"/>
    </w:rPr>
  </w:style>
  <w:style w:type="paragraph" w:styleId="6">
    <w:name w:val="heading 5"/>
    <w:basedOn w:val="1"/>
    <w:next w:val="7"/>
    <w:link w:val="118"/>
    <w:qFormat/>
    <w:uiPriority w:val="0"/>
    <w:pPr>
      <w:keepNext/>
      <w:keepLines/>
      <w:spacing w:before="280" w:after="290" w:line="376" w:lineRule="auto"/>
      <w:jc w:val="center"/>
      <w:outlineLvl w:val="4"/>
    </w:pPr>
    <w:rPr>
      <w:rFonts w:ascii="Times New Roman" w:hAnsi="Times New Roman" w:cs="Times New Roman"/>
      <w:b/>
      <w:kern w:val="2"/>
      <w:sz w:val="24"/>
      <w:szCs w:val="20"/>
    </w:rPr>
  </w:style>
  <w:style w:type="paragraph" w:styleId="8">
    <w:name w:val="heading 6"/>
    <w:basedOn w:val="1"/>
    <w:next w:val="7"/>
    <w:link w:val="119"/>
    <w:qFormat/>
    <w:uiPriority w:val="0"/>
    <w:pPr>
      <w:keepNext/>
      <w:keepLines/>
      <w:spacing w:before="240" w:after="64" w:line="320" w:lineRule="auto"/>
      <w:outlineLvl w:val="5"/>
    </w:pPr>
    <w:rPr>
      <w:rFonts w:ascii="Arial" w:hAnsi="Arial" w:eastAsia="黑体" w:cs="Times New Roman"/>
      <w:b/>
      <w:kern w:val="2"/>
      <w:sz w:val="24"/>
      <w:szCs w:val="20"/>
    </w:rPr>
  </w:style>
  <w:style w:type="paragraph" w:styleId="9">
    <w:name w:val="heading 7"/>
    <w:basedOn w:val="1"/>
    <w:next w:val="7"/>
    <w:link w:val="120"/>
    <w:qFormat/>
    <w:uiPriority w:val="0"/>
    <w:pPr>
      <w:keepNext/>
      <w:keepLines/>
      <w:spacing w:before="240" w:after="64" w:line="320" w:lineRule="auto"/>
      <w:outlineLvl w:val="6"/>
    </w:pPr>
    <w:rPr>
      <w:rFonts w:ascii="Times New Roman" w:hAnsi="Times New Roman" w:cs="Times New Roman"/>
      <w:b/>
      <w:kern w:val="2"/>
      <w:sz w:val="24"/>
      <w:szCs w:val="20"/>
    </w:rPr>
  </w:style>
  <w:style w:type="paragraph" w:styleId="10">
    <w:name w:val="heading 8"/>
    <w:basedOn w:val="1"/>
    <w:next w:val="7"/>
    <w:link w:val="121"/>
    <w:qFormat/>
    <w:uiPriority w:val="0"/>
    <w:pPr>
      <w:keepNext/>
      <w:keepLines/>
      <w:spacing w:before="240" w:after="64" w:line="320" w:lineRule="auto"/>
      <w:outlineLvl w:val="7"/>
    </w:pPr>
    <w:rPr>
      <w:rFonts w:ascii="Arial" w:hAnsi="Arial" w:eastAsia="黑体" w:cs="Times New Roman"/>
      <w:kern w:val="2"/>
      <w:sz w:val="24"/>
      <w:szCs w:val="20"/>
    </w:rPr>
  </w:style>
  <w:style w:type="paragraph" w:styleId="11">
    <w:name w:val="heading 9"/>
    <w:basedOn w:val="1"/>
    <w:next w:val="7"/>
    <w:link w:val="122"/>
    <w:qFormat/>
    <w:uiPriority w:val="0"/>
    <w:pPr>
      <w:keepNext/>
      <w:keepLines/>
      <w:spacing w:before="240" w:after="64" w:line="320" w:lineRule="auto"/>
      <w:outlineLvl w:val="8"/>
    </w:pPr>
    <w:rPr>
      <w:rFonts w:ascii="Arial" w:hAnsi="Arial" w:eastAsia="黑体" w:cs="Times New Roman"/>
      <w:kern w:val="2"/>
      <w:szCs w:val="20"/>
    </w:rPr>
  </w:style>
  <w:style w:type="character" w:default="1" w:styleId="47">
    <w:name w:val="Default Paragraph Font"/>
    <w:semiHidden/>
    <w:unhideWhenUsed/>
    <w:qFormat/>
    <w:uiPriority w:val="1"/>
  </w:style>
  <w:style w:type="table" w:default="1" w:styleId="44">
    <w:name w:val="Normal Table"/>
    <w:semiHidden/>
    <w:unhideWhenUsed/>
    <w:qFormat/>
    <w:uiPriority w:val="99"/>
    <w:tblPr>
      <w:tblCellMar>
        <w:top w:w="0" w:type="dxa"/>
        <w:left w:w="108" w:type="dxa"/>
        <w:bottom w:w="0" w:type="dxa"/>
        <w:right w:w="108" w:type="dxa"/>
      </w:tblCellMar>
    </w:tblPr>
  </w:style>
  <w:style w:type="paragraph" w:styleId="7">
    <w:name w:val="Normal Indent"/>
    <w:basedOn w:val="1"/>
    <w:link w:val="58"/>
    <w:qFormat/>
    <w:uiPriority w:val="0"/>
    <w:pPr>
      <w:ind w:firstLine="420"/>
    </w:pPr>
    <w:rPr>
      <w:rFonts w:ascii="Times New Roman" w:hAnsi="Times New Roman" w:cs="Times New Roman"/>
      <w:kern w:val="2"/>
      <w:szCs w:val="20"/>
    </w:rPr>
  </w:style>
  <w:style w:type="paragraph" w:styleId="12">
    <w:name w:val="toc 7"/>
    <w:basedOn w:val="1"/>
    <w:next w:val="1"/>
    <w:qFormat/>
    <w:uiPriority w:val="0"/>
    <w:pPr>
      <w:ind w:left="1260"/>
      <w:jc w:val="left"/>
    </w:pPr>
    <w:rPr>
      <w:szCs w:val="21"/>
    </w:rPr>
  </w:style>
  <w:style w:type="paragraph" w:styleId="13">
    <w:name w:val="List Number 2"/>
    <w:basedOn w:val="1"/>
    <w:qFormat/>
    <w:uiPriority w:val="0"/>
    <w:pPr>
      <w:numPr>
        <w:ilvl w:val="0"/>
        <w:numId w:val="1"/>
      </w:numPr>
      <w:tabs>
        <w:tab w:val="left" w:pos="820"/>
      </w:tabs>
      <w:spacing w:afterLines="50"/>
    </w:pPr>
    <w:rPr>
      <w:sz w:val="24"/>
      <w:szCs w:val="20"/>
    </w:rPr>
  </w:style>
  <w:style w:type="paragraph" w:styleId="14">
    <w:name w:val="caption"/>
    <w:basedOn w:val="1"/>
    <w:next w:val="1"/>
    <w:qFormat/>
    <w:uiPriority w:val="0"/>
    <w:rPr>
      <w:rFonts w:ascii="Arial" w:hAnsi="Arial" w:eastAsia="黑体" w:cs="Arial"/>
      <w:sz w:val="20"/>
      <w:szCs w:val="20"/>
    </w:rPr>
  </w:style>
  <w:style w:type="paragraph" w:styleId="15">
    <w:name w:val="List Bullet"/>
    <w:basedOn w:val="1"/>
    <w:qFormat/>
    <w:uiPriority w:val="0"/>
    <w:pPr>
      <w:tabs>
        <w:tab w:val="left" w:pos="360"/>
      </w:tabs>
      <w:ind w:left="360" w:hanging="360" w:hangingChars="200"/>
    </w:pPr>
    <w:rPr>
      <w:szCs w:val="20"/>
    </w:rPr>
  </w:style>
  <w:style w:type="paragraph" w:styleId="16">
    <w:name w:val="Document Map"/>
    <w:basedOn w:val="1"/>
    <w:link w:val="111"/>
    <w:semiHidden/>
    <w:uiPriority w:val="0"/>
    <w:pPr>
      <w:shd w:val="clear" w:color="auto" w:fill="000080"/>
    </w:pPr>
    <w:rPr>
      <w:rFonts w:ascii="Times New Roman" w:hAnsi="Times New Roman" w:cs="Times New Roman"/>
      <w:kern w:val="2"/>
    </w:rPr>
  </w:style>
  <w:style w:type="paragraph" w:styleId="17">
    <w:name w:val="toa heading"/>
    <w:basedOn w:val="1"/>
    <w:next w:val="1"/>
    <w:qFormat/>
    <w:uiPriority w:val="0"/>
    <w:pPr>
      <w:spacing w:before="120"/>
    </w:pPr>
    <w:rPr>
      <w:rFonts w:ascii="Arial" w:hAnsi="Arial"/>
      <w:sz w:val="24"/>
      <w:szCs w:val="20"/>
    </w:rPr>
  </w:style>
  <w:style w:type="paragraph" w:styleId="18">
    <w:name w:val="annotation text"/>
    <w:basedOn w:val="1"/>
    <w:link w:val="72"/>
    <w:qFormat/>
    <w:uiPriority w:val="0"/>
    <w:pPr>
      <w:autoSpaceDE w:val="0"/>
      <w:autoSpaceDN w:val="0"/>
      <w:jc w:val="left"/>
      <w:textAlignment w:val="baseline"/>
    </w:pPr>
    <w:rPr>
      <w:rFonts w:hAnsi="Times New Roman" w:cs="Times New Roman"/>
      <w:sz w:val="34"/>
      <w:szCs w:val="20"/>
    </w:rPr>
  </w:style>
  <w:style w:type="paragraph" w:styleId="19">
    <w:name w:val="Body Text 3"/>
    <w:basedOn w:val="1"/>
    <w:link w:val="274"/>
    <w:qFormat/>
    <w:uiPriority w:val="0"/>
    <w:pPr>
      <w:spacing w:after="120"/>
    </w:pPr>
    <w:rPr>
      <w:rFonts w:ascii="Times New Roman" w:hAnsi="Times New Roman" w:cs="Times New Roman"/>
      <w:kern w:val="2"/>
      <w:sz w:val="16"/>
      <w:szCs w:val="16"/>
    </w:rPr>
  </w:style>
  <w:style w:type="paragraph" w:styleId="20">
    <w:name w:val="Body Text"/>
    <w:basedOn w:val="1"/>
    <w:qFormat/>
    <w:uiPriority w:val="0"/>
    <w:rPr>
      <w:b/>
      <w:bCs/>
      <w:sz w:val="24"/>
    </w:rPr>
  </w:style>
  <w:style w:type="paragraph" w:styleId="21">
    <w:name w:val="Body Text Indent"/>
    <w:basedOn w:val="1"/>
    <w:link w:val="214"/>
    <w:qFormat/>
    <w:uiPriority w:val="0"/>
    <w:pPr>
      <w:ind w:firstLine="420" w:firstLineChars="200"/>
    </w:pPr>
    <w:rPr>
      <w:rFonts w:ascii="Times New Roman" w:hAnsi="Times New Roman" w:cs="Times New Roman"/>
      <w:kern w:val="2"/>
    </w:rPr>
  </w:style>
  <w:style w:type="paragraph" w:styleId="22">
    <w:name w:val="toc 5"/>
    <w:basedOn w:val="1"/>
    <w:next w:val="1"/>
    <w:qFormat/>
    <w:uiPriority w:val="0"/>
    <w:pPr>
      <w:ind w:left="840"/>
      <w:jc w:val="left"/>
    </w:pPr>
    <w:rPr>
      <w:szCs w:val="21"/>
    </w:rPr>
  </w:style>
  <w:style w:type="paragraph" w:styleId="23">
    <w:name w:val="toc 3"/>
    <w:basedOn w:val="1"/>
    <w:next w:val="1"/>
    <w:qFormat/>
    <w:uiPriority w:val="39"/>
    <w:pPr>
      <w:ind w:left="420"/>
      <w:jc w:val="left"/>
    </w:pPr>
    <w:rPr>
      <w:i/>
      <w:iCs/>
    </w:rPr>
  </w:style>
  <w:style w:type="paragraph" w:styleId="24">
    <w:name w:val="Plain Text"/>
    <w:basedOn w:val="1"/>
    <w:link w:val="73"/>
    <w:qFormat/>
    <w:uiPriority w:val="0"/>
    <w:rPr>
      <w:rFonts w:hAnsi="Courier New" w:cs="Times New Roman"/>
      <w:kern w:val="2"/>
      <w:szCs w:val="20"/>
    </w:rPr>
  </w:style>
  <w:style w:type="paragraph" w:styleId="25">
    <w:name w:val="toc 8"/>
    <w:basedOn w:val="1"/>
    <w:next w:val="1"/>
    <w:qFormat/>
    <w:uiPriority w:val="0"/>
    <w:pPr>
      <w:ind w:left="1470"/>
      <w:jc w:val="left"/>
    </w:pPr>
    <w:rPr>
      <w:szCs w:val="21"/>
    </w:rPr>
  </w:style>
  <w:style w:type="paragraph" w:styleId="26">
    <w:name w:val="Date"/>
    <w:basedOn w:val="1"/>
    <w:next w:val="1"/>
    <w:link w:val="84"/>
    <w:qFormat/>
    <w:uiPriority w:val="0"/>
    <w:rPr>
      <w:rFonts w:hAnsi="Courier New" w:cs="Times New Roman"/>
      <w:kern w:val="2"/>
      <w:sz w:val="32"/>
      <w:szCs w:val="20"/>
    </w:rPr>
  </w:style>
  <w:style w:type="paragraph" w:styleId="27">
    <w:name w:val="Body Text Indent 2"/>
    <w:basedOn w:val="1"/>
    <w:link w:val="213"/>
    <w:qFormat/>
    <w:uiPriority w:val="0"/>
    <w:pPr>
      <w:spacing w:beforeLines="50" w:afterLines="50" w:line="120" w:lineRule="auto"/>
      <w:ind w:firstLine="840" w:firstLineChars="400"/>
      <w:jc w:val="left"/>
    </w:pPr>
    <w:rPr>
      <w:rFonts w:cs="Times New Roman"/>
      <w:kern w:val="2"/>
    </w:rPr>
  </w:style>
  <w:style w:type="paragraph" w:styleId="28">
    <w:name w:val="Balloon Text"/>
    <w:basedOn w:val="1"/>
    <w:link w:val="110"/>
    <w:semiHidden/>
    <w:qFormat/>
    <w:uiPriority w:val="0"/>
    <w:rPr>
      <w:rFonts w:ascii="Times New Roman" w:hAnsi="Times New Roman" w:cs="Times New Roman"/>
      <w:kern w:val="2"/>
      <w:sz w:val="18"/>
      <w:szCs w:val="18"/>
    </w:rPr>
  </w:style>
  <w:style w:type="paragraph" w:styleId="29">
    <w:name w:val="footer"/>
    <w:basedOn w:val="1"/>
    <w:link w:val="109"/>
    <w:qFormat/>
    <w:uiPriority w:val="99"/>
    <w:pPr>
      <w:tabs>
        <w:tab w:val="center" w:pos="4153"/>
        <w:tab w:val="right" w:pos="8306"/>
      </w:tabs>
      <w:jc w:val="left"/>
    </w:pPr>
    <w:rPr>
      <w:rFonts w:ascii="Times New Roman" w:hAnsi="Times New Roman" w:cs="Times New Roman"/>
      <w:kern w:val="2"/>
      <w:sz w:val="18"/>
      <w:szCs w:val="18"/>
    </w:rPr>
  </w:style>
  <w:style w:type="paragraph" w:styleId="30">
    <w:name w:val="header"/>
    <w:basedOn w:val="1"/>
    <w:link w:val="79"/>
    <w:qFormat/>
    <w:uiPriority w:val="99"/>
    <w:pPr>
      <w:pBdr>
        <w:bottom w:val="single" w:color="auto" w:sz="6" w:space="1"/>
      </w:pBdr>
      <w:tabs>
        <w:tab w:val="center" w:pos="4153"/>
        <w:tab w:val="right" w:pos="8306"/>
      </w:tabs>
      <w:jc w:val="center"/>
    </w:pPr>
    <w:rPr>
      <w:rFonts w:ascii="Times New Roman" w:hAnsi="Times New Roman" w:cs="Times New Roman"/>
      <w:kern w:val="2"/>
      <w:sz w:val="18"/>
      <w:szCs w:val="18"/>
    </w:rPr>
  </w:style>
  <w:style w:type="paragraph" w:styleId="31">
    <w:name w:val="toc 1"/>
    <w:basedOn w:val="1"/>
    <w:next w:val="1"/>
    <w:qFormat/>
    <w:uiPriority w:val="39"/>
    <w:pPr>
      <w:tabs>
        <w:tab w:val="right" w:leader="dot" w:pos="8789"/>
      </w:tabs>
      <w:adjustRightInd/>
      <w:snapToGrid/>
      <w:spacing w:before="120" w:after="120"/>
      <w:jc w:val="left"/>
    </w:pPr>
    <w:rPr>
      <w:b/>
      <w:bCs/>
      <w:caps/>
      <w:sz w:val="28"/>
    </w:rPr>
  </w:style>
  <w:style w:type="paragraph" w:styleId="32">
    <w:name w:val="toc 4"/>
    <w:basedOn w:val="1"/>
    <w:next w:val="1"/>
    <w:qFormat/>
    <w:uiPriority w:val="0"/>
    <w:pPr>
      <w:ind w:left="630"/>
      <w:jc w:val="left"/>
    </w:pPr>
    <w:rPr>
      <w:szCs w:val="21"/>
    </w:rPr>
  </w:style>
  <w:style w:type="paragraph" w:styleId="33">
    <w:name w:val="Subtitle"/>
    <w:basedOn w:val="1"/>
    <w:next w:val="1"/>
    <w:link w:val="76"/>
    <w:qFormat/>
    <w:uiPriority w:val="0"/>
    <w:pPr>
      <w:spacing w:before="240" w:after="60" w:line="312" w:lineRule="auto"/>
      <w:jc w:val="center"/>
      <w:outlineLvl w:val="1"/>
    </w:pPr>
    <w:rPr>
      <w:rFonts w:ascii="Cambria" w:hAnsi="Cambria" w:cs="Times New Roman"/>
      <w:b/>
      <w:bCs/>
      <w:kern w:val="28"/>
      <w:sz w:val="28"/>
      <w:szCs w:val="32"/>
    </w:rPr>
  </w:style>
  <w:style w:type="paragraph" w:styleId="34">
    <w:name w:val="toc 6"/>
    <w:basedOn w:val="1"/>
    <w:next w:val="1"/>
    <w:qFormat/>
    <w:uiPriority w:val="0"/>
    <w:pPr>
      <w:ind w:left="1050"/>
      <w:jc w:val="left"/>
    </w:pPr>
    <w:rPr>
      <w:szCs w:val="21"/>
    </w:rPr>
  </w:style>
  <w:style w:type="paragraph" w:styleId="35">
    <w:name w:val="Body Text Indent 3"/>
    <w:basedOn w:val="1"/>
    <w:link w:val="269"/>
    <w:qFormat/>
    <w:uiPriority w:val="0"/>
    <w:pPr>
      <w:ind w:firstLine="482" w:firstLineChars="200"/>
    </w:pPr>
    <w:rPr>
      <w:rFonts w:hAnsi="Times New Roman" w:cs="Times New Roman"/>
      <w:b/>
      <w:bCs/>
      <w:kern w:val="2"/>
      <w:sz w:val="24"/>
    </w:rPr>
  </w:style>
  <w:style w:type="paragraph" w:styleId="36">
    <w:name w:val="toc 2"/>
    <w:basedOn w:val="1"/>
    <w:next w:val="1"/>
    <w:qFormat/>
    <w:uiPriority w:val="39"/>
    <w:pPr>
      <w:tabs>
        <w:tab w:val="right" w:leader="dot" w:pos="8789"/>
        <w:tab w:val="clear" w:pos="426"/>
      </w:tabs>
      <w:adjustRightInd/>
      <w:snapToGrid/>
      <w:spacing w:line="300" w:lineRule="auto"/>
      <w:ind w:left="50" w:leftChars="50"/>
    </w:pPr>
    <w:rPr>
      <w:smallCaps/>
      <w:sz w:val="28"/>
    </w:rPr>
  </w:style>
  <w:style w:type="paragraph" w:styleId="37">
    <w:name w:val="toc 9"/>
    <w:basedOn w:val="1"/>
    <w:next w:val="1"/>
    <w:qFormat/>
    <w:uiPriority w:val="0"/>
    <w:pPr>
      <w:ind w:left="1680"/>
      <w:jc w:val="left"/>
    </w:pPr>
    <w:rPr>
      <w:szCs w:val="21"/>
    </w:rPr>
  </w:style>
  <w:style w:type="paragraph" w:styleId="38">
    <w:name w:val="Body Text 2"/>
    <w:basedOn w:val="1"/>
    <w:link w:val="273"/>
    <w:qFormat/>
    <w:uiPriority w:val="0"/>
    <w:rPr>
      <w:rFonts w:ascii="Times New Roman" w:hAnsi="Times New Roman" w:cs="Times New Roman"/>
      <w:kern w:val="2"/>
      <w:sz w:val="24"/>
    </w:rPr>
  </w:style>
  <w:style w:type="paragraph" w:styleId="39">
    <w:name w:val="HTML Preformatted"/>
    <w:basedOn w:val="1"/>
    <w:link w:val="272"/>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Arial Unicode MS" w:cs="Times New Roman"/>
      <w:color w:val="000000"/>
      <w:sz w:val="20"/>
      <w:szCs w:val="20"/>
    </w:rPr>
  </w:style>
  <w:style w:type="paragraph" w:styleId="40">
    <w:name w:val="Normal (Web)"/>
    <w:basedOn w:val="1"/>
    <w:qFormat/>
    <w:uiPriority w:val="0"/>
    <w:rPr>
      <w:sz w:val="24"/>
    </w:rPr>
  </w:style>
  <w:style w:type="paragraph" w:styleId="41">
    <w:name w:val="index 1"/>
    <w:basedOn w:val="1"/>
    <w:next w:val="1"/>
    <w:qFormat/>
    <w:uiPriority w:val="99"/>
    <w:rPr>
      <w:b/>
      <w:color w:val="0000FF"/>
      <w:sz w:val="24"/>
    </w:rPr>
  </w:style>
  <w:style w:type="paragraph" w:styleId="42">
    <w:name w:val="Title"/>
    <w:basedOn w:val="1"/>
    <w:link w:val="136"/>
    <w:qFormat/>
    <w:uiPriority w:val="0"/>
    <w:pPr>
      <w:spacing w:before="240" w:after="60"/>
      <w:jc w:val="center"/>
      <w:outlineLvl w:val="0"/>
    </w:pPr>
    <w:rPr>
      <w:rFonts w:ascii="Arial" w:hAnsi="Arial" w:cs="Times New Roman"/>
      <w:b/>
      <w:bCs/>
      <w:kern w:val="2"/>
      <w:sz w:val="36"/>
      <w:szCs w:val="32"/>
    </w:rPr>
  </w:style>
  <w:style w:type="paragraph" w:styleId="43">
    <w:name w:val="annotation subject"/>
    <w:basedOn w:val="18"/>
    <w:next w:val="18"/>
    <w:link w:val="251"/>
    <w:qFormat/>
    <w:uiPriority w:val="0"/>
    <w:pPr>
      <w:autoSpaceDE/>
      <w:autoSpaceDN/>
      <w:adjustRightInd/>
      <w:textAlignment w:val="auto"/>
    </w:pPr>
    <w:rPr>
      <w:rFonts w:ascii="Times New Roman"/>
      <w:b/>
      <w:bCs/>
      <w:kern w:val="2"/>
      <w:sz w:val="21"/>
      <w:szCs w:val="24"/>
    </w:rPr>
  </w:style>
  <w:style w:type="table" w:styleId="45">
    <w:name w:val="Table Grid"/>
    <w:basedOn w:val="4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46">
    <w:name w:val="Table Theme"/>
    <w:basedOn w:val="4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8">
    <w:name w:val="Strong"/>
    <w:qFormat/>
    <w:uiPriority w:val="0"/>
    <w:rPr>
      <w:b/>
      <w:bCs/>
    </w:rPr>
  </w:style>
  <w:style w:type="character" w:styleId="49">
    <w:name w:val="page number"/>
    <w:basedOn w:val="47"/>
    <w:qFormat/>
    <w:uiPriority w:val="0"/>
  </w:style>
  <w:style w:type="character" w:styleId="50">
    <w:name w:val="FollowedHyperlink"/>
    <w:qFormat/>
    <w:uiPriority w:val="0"/>
    <w:rPr>
      <w:color w:val="800080"/>
      <w:u w:val="single"/>
    </w:rPr>
  </w:style>
  <w:style w:type="character" w:styleId="51">
    <w:name w:val="Emphasis"/>
    <w:qFormat/>
    <w:uiPriority w:val="0"/>
    <w:rPr>
      <w:i/>
      <w:iCs/>
    </w:rPr>
  </w:style>
  <w:style w:type="character" w:styleId="52">
    <w:name w:val="Hyperlink"/>
    <w:qFormat/>
    <w:uiPriority w:val="0"/>
    <w:rPr>
      <w:color w:val="0000FF"/>
      <w:u w:val="single"/>
    </w:rPr>
  </w:style>
  <w:style w:type="character" w:styleId="53">
    <w:name w:val="annotation reference"/>
    <w:unhideWhenUsed/>
    <w:qFormat/>
    <w:uiPriority w:val="0"/>
    <w:rPr>
      <w:sz w:val="21"/>
      <w:szCs w:val="21"/>
    </w:rPr>
  </w:style>
  <w:style w:type="character" w:customStyle="1" w:styleId="54">
    <w:name w:val="标题 4 Char"/>
    <w:link w:val="4"/>
    <w:qFormat/>
    <w:uiPriority w:val="0"/>
    <w:rPr>
      <w:rFonts w:ascii="Arial" w:hAnsi="Arial" w:eastAsia="黑体"/>
      <w:b/>
      <w:bCs/>
      <w:kern w:val="2"/>
      <w:sz w:val="28"/>
      <w:szCs w:val="28"/>
      <w:lang w:val="en-US" w:eastAsia="zh-CN" w:bidi="ar-SA"/>
    </w:rPr>
  </w:style>
  <w:style w:type="paragraph" w:customStyle="1" w:styleId="55">
    <w:name w:val="Char"/>
    <w:basedOn w:val="1"/>
    <w:qFormat/>
    <w:uiPriority w:val="0"/>
    <w:pPr>
      <w:spacing w:after="160" w:line="240" w:lineRule="exact"/>
      <w:jc w:val="left"/>
    </w:pPr>
    <w:rPr>
      <w:rFonts w:ascii="Verdana" w:hAnsi="Verdana" w:eastAsia="仿宋_GB2312"/>
      <w:sz w:val="24"/>
      <w:szCs w:val="20"/>
      <w:lang w:eastAsia="en-US"/>
    </w:rPr>
  </w:style>
  <w:style w:type="character" w:customStyle="1" w:styleId="56">
    <w:name w:val="标题 3 Char1"/>
    <w:link w:val="3"/>
    <w:qFormat/>
    <w:uiPriority w:val="0"/>
    <w:rPr>
      <w:rFonts w:ascii="宋体" w:hAnsi="宋体"/>
      <w:b/>
      <w:bCs/>
      <w:kern w:val="2"/>
      <w:sz w:val="24"/>
      <w:szCs w:val="32"/>
      <w:shd w:val="clear" w:color="auto" w:fill="FFFFFF"/>
    </w:rPr>
  </w:style>
  <w:style w:type="character" w:customStyle="1" w:styleId="57">
    <w:name w:val="标题 1 Char"/>
    <w:link w:val="2"/>
    <w:qFormat/>
    <w:uiPriority w:val="0"/>
    <w:rPr>
      <w:rFonts w:ascii="宋体" w:hAnsi="宋体" w:eastAsia="黑体"/>
      <w:b/>
      <w:bCs/>
      <w:kern w:val="44"/>
      <w:sz w:val="28"/>
      <w:szCs w:val="28"/>
      <w:lang w:val="en-US" w:eastAsia="zh-CN" w:bidi="ar-SA"/>
    </w:rPr>
  </w:style>
  <w:style w:type="character" w:customStyle="1" w:styleId="58">
    <w:name w:val="正文缩进 Char1"/>
    <w:link w:val="7"/>
    <w:qFormat/>
    <w:uiPriority w:val="0"/>
    <w:rPr>
      <w:rFonts w:eastAsia="宋体"/>
      <w:kern w:val="2"/>
      <w:sz w:val="21"/>
      <w:lang w:val="en-US" w:eastAsia="zh-CN" w:bidi="ar-SA"/>
    </w:rPr>
  </w:style>
  <w:style w:type="character" w:customStyle="1" w:styleId="59">
    <w:name w:val="标题 3 Char"/>
    <w:qFormat/>
    <w:uiPriority w:val="0"/>
    <w:rPr>
      <w:rFonts w:ascii="黑体" w:eastAsia="黑体"/>
      <w:bCs/>
      <w:sz w:val="30"/>
    </w:rPr>
  </w:style>
  <w:style w:type="paragraph" w:customStyle="1" w:styleId="60">
    <w:name w:val="样式41"/>
    <w:basedOn w:val="1"/>
    <w:qFormat/>
    <w:uiPriority w:val="0"/>
    <w:pPr>
      <w:tabs>
        <w:tab w:val="left" w:pos="945"/>
        <w:tab w:val="left" w:pos="2040"/>
      </w:tabs>
      <w:ind w:left="2040" w:leftChars="800" w:hanging="360" w:hangingChars="200"/>
    </w:pPr>
    <w:rPr>
      <w:b/>
      <w:color w:val="000000"/>
      <w:sz w:val="24"/>
      <w:szCs w:val="20"/>
    </w:rPr>
  </w:style>
  <w:style w:type="paragraph" w:customStyle="1" w:styleId="61">
    <w:name w:val="图"/>
    <w:basedOn w:val="1"/>
    <w:qFormat/>
    <w:uiPriority w:val="0"/>
    <w:pPr>
      <w:keepNext/>
      <w:spacing w:before="60" w:after="60" w:line="300" w:lineRule="auto"/>
      <w:jc w:val="center"/>
    </w:pPr>
    <w:rPr>
      <w:spacing w:val="20"/>
      <w:sz w:val="24"/>
      <w:szCs w:val="20"/>
    </w:rPr>
  </w:style>
  <w:style w:type="paragraph" w:customStyle="1" w:styleId="62">
    <w:name w:val="文档正文"/>
    <w:basedOn w:val="1"/>
    <w:qFormat/>
    <w:uiPriority w:val="0"/>
    <w:pPr>
      <w:spacing w:line="480" w:lineRule="atLeast"/>
      <w:ind w:firstLine="567" w:firstLineChars="200"/>
      <w:textAlignment w:val="baseline"/>
    </w:pPr>
    <w:rPr>
      <w:rFonts w:ascii="长城仿宋"/>
      <w:szCs w:val="20"/>
    </w:rPr>
  </w:style>
  <w:style w:type="paragraph" w:customStyle="1" w:styleId="63">
    <w:name w:val="Char Char Char Char"/>
    <w:basedOn w:val="1"/>
    <w:qFormat/>
    <w:uiPriority w:val="0"/>
    <w:pPr>
      <w:spacing w:after="160" w:line="240" w:lineRule="exact"/>
      <w:jc w:val="left"/>
    </w:pPr>
    <w:rPr>
      <w:rFonts w:ascii="Verdana" w:hAnsi="Verdana" w:eastAsia="仿宋_GB2312"/>
      <w:sz w:val="24"/>
      <w:szCs w:val="20"/>
      <w:lang w:eastAsia="en-US"/>
    </w:rPr>
  </w:style>
  <w:style w:type="paragraph" w:customStyle="1" w:styleId="64">
    <w:name w:val="Char1"/>
    <w:basedOn w:val="1"/>
    <w:qFormat/>
    <w:uiPriority w:val="0"/>
    <w:pPr>
      <w:spacing w:after="160" w:line="240" w:lineRule="exact"/>
      <w:jc w:val="left"/>
    </w:pPr>
    <w:rPr>
      <w:rFonts w:ascii="Verdana" w:hAnsi="Verdana" w:eastAsia="仿宋_GB2312"/>
      <w:sz w:val="24"/>
      <w:szCs w:val="20"/>
      <w:lang w:eastAsia="en-US"/>
    </w:rPr>
  </w:style>
  <w:style w:type="paragraph" w:customStyle="1" w:styleId="65">
    <w:name w:val="Char Char Char Char1"/>
    <w:basedOn w:val="1"/>
    <w:qFormat/>
    <w:uiPriority w:val="0"/>
    <w:pPr>
      <w:spacing w:after="160" w:line="240" w:lineRule="exact"/>
      <w:jc w:val="left"/>
    </w:pPr>
    <w:rPr>
      <w:rFonts w:ascii="Verdana" w:hAnsi="Verdana" w:eastAsia="仿宋_GB2312"/>
      <w:sz w:val="24"/>
      <w:szCs w:val="20"/>
      <w:lang w:eastAsia="en-US"/>
    </w:rPr>
  </w:style>
  <w:style w:type="paragraph" w:customStyle="1" w:styleId="66">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67">
    <w:name w:val="自定义正文"/>
    <w:basedOn w:val="1"/>
    <w:qFormat/>
    <w:uiPriority w:val="0"/>
    <w:pPr>
      <w:spacing w:afterLines="50"/>
      <w:ind w:left="600" w:leftChars="600"/>
    </w:pPr>
  </w:style>
  <w:style w:type="paragraph" w:customStyle="1" w:styleId="68">
    <w:name w:val="Char Char Char Char Char"/>
    <w:basedOn w:val="1"/>
    <w:qFormat/>
    <w:uiPriority w:val="0"/>
    <w:rPr>
      <w:rFonts w:ascii="Tahoma" w:hAnsi="Tahoma"/>
      <w:sz w:val="24"/>
      <w:szCs w:val="20"/>
    </w:rPr>
  </w:style>
  <w:style w:type="paragraph" w:customStyle="1" w:styleId="69">
    <w:name w:val="小标题 1"/>
    <w:basedOn w:val="1"/>
    <w:qFormat/>
    <w:uiPriority w:val="0"/>
    <w:pPr>
      <w:autoSpaceDE w:val="0"/>
      <w:autoSpaceDN w:val="0"/>
      <w:spacing w:line="360" w:lineRule="atLeast"/>
    </w:pPr>
    <w:rPr>
      <w:rFonts w:ascii="文鼎粗黑" w:eastAsia="文鼎粗黑"/>
      <w:sz w:val="22"/>
      <w:szCs w:val="20"/>
    </w:rPr>
  </w:style>
  <w:style w:type="paragraph" w:customStyle="1" w:styleId="70">
    <w:name w:val="Char Char"/>
    <w:basedOn w:val="1"/>
    <w:qFormat/>
    <w:uiPriority w:val="0"/>
    <w:rPr>
      <w:rFonts w:ascii="Tahoma" w:hAnsi="Tahoma"/>
      <w:sz w:val="24"/>
      <w:szCs w:val="20"/>
    </w:rPr>
  </w:style>
  <w:style w:type="paragraph" w:customStyle="1" w:styleId="71">
    <w:name w:val="È±Ê¡ÎÄ±¾"/>
    <w:basedOn w:val="1"/>
    <w:qFormat/>
    <w:uiPriority w:val="0"/>
    <w:pPr>
      <w:overflowPunct w:val="0"/>
      <w:autoSpaceDE w:val="0"/>
      <w:autoSpaceDN w:val="0"/>
      <w:jc w:val="left"/>
      <w:textAlignment w:val="baseline"/>
    </w:pPr>
    <w:rPr>
      <w:sz w:val="24"/>
      <w:szCs w:val="20"/>
    </w:rPr>
  </w:style>
  <w:style w:type="character" w:customStyle="1" w:styleId="72">
    <w:name w:val="批注文字 Char"/>
    <w:link w:val="18"/>
    <w:qFormat/>
    <w:uiPriority w:val="0"/>
    <w:rPr>
      <w:rFonts w:ascii="宋体" w:eastAsia="宋体"/>
      <w:sz w:val="34"/>
      <w:lang w:val="en-US" w:eastAsia="zh-CN" w:bidi="ar-SA"/>
    </w:rPr>
  </w:style>
  <w:style w:type="character" w:customStyle="1" w:styleId="73">
    <w:name w:val="纯文本 Char"/>
    <w:link w:val="24"/>
    <w:qFormat/>
    <w:uiPriority w:val="0"/>
    <w:rPr>
      <w:rFonts w:ascii="宋体" w:hAnsi="Courier New"/>
      <w:kern w:val="2"/>
      <w:sz w:val="21"/>
    </w:rPr>
  </w:style>
  <w:style w:type="character" w:customStyle="1" w:styleId="74">
    <w:name w:val="apple-converted-space"/>
    <w:basedOn w:val="47"/>
    <w:qFormat/>
    <w:uiPriority w:val="0"/>
  </w:style>
  <w:style w:type="paragraph" w:customStyle="1" w:styleId="75">
    <w:name w:val="TOC Heading"/>
    <w:basedOn w:val="2"/>
    <w:next w:val="1"/>
    <w:qFormat/>
    <w:uiPriority w:val="39"/>
    <w:pPr>
      <w:spacing w:before="480" w:after="0" w:line="276" w:lineRule="auto"/>
      <w:jc w:val="left"/>
      <w:outlineLvl w:val="9"/>
    </w:pPr>
    <w:rPr>
      <w:rFonts w:ascii="Cambria" w:hAnsi="Cambria" w:eastAsia="宋体"/>
      <w:color w:val="365F91"/>
      <w:kern w:val="0"/>
    </w:rPr>
  </w:style>
  <w:style w:type="character" w:customStyle="1" w:styleId="76">
    <w:name w:val="副标题 Char1"/>
    <w:link w:val="33"/>
    <w:qFormat/>
    <w:uiPriority w:val="0"/>
    <w:rPr>
      <w:rFonts w:ascii="Cambria" w:hAnsi="Cambria" w:cs="Times New Roman"/>
      <w:b/>
      <w:bCs/>
      <w:kern w:val="28"/>
      <w:sz w:val="28"/>
      <w:szCs w:val="32"/>
    </w:rPr>
  </w:style>
  <w:style w:type="paragraph" w:customStyle="1" w:styleId="77">
    <w:name w:val="Char Char Char"/>
    <w:basedOn w:val="1"/>
    <w:qFormat/>
    <w:uiPriority w:val="0"/>
    <w:rPr>
      <w:rFonts w:ascii="Tahoma" w:hAnsi="Tahoma"/>
      <w:sz w:val="24"/>
      <w:szCs w:val="20"/>
    </w:rPr>
  </w:style>
  <w:style w:type="paragraph" w:customStyle="1" w:styleId="78">
    <w:name w:val="列出段落1"/>
    <w:basedOn w:val="1"/>
    <w:link w:val="89"/>
    <w:qFormat/>
    <w:uiPriority w:val="0"/>
    <w:pPr>
      <w:ind w:firstLine="420" w:firstLineChars="200"/>
    </w:pPr>
    <w:rPr>
      <w:rFonts w:ascii="Times New Roman" w:hAnsi="Times New Roman" w:cs="Times New Roman"/>
      <w:kern w:val="2"/>
    </w:rPr>
  </w:style>
  <w:style w:type="character" w:customStyle="1" w:styleId="79">
    <w:name w:val="页眉 Char"/>
    <w:link w:val="30"/>
    <w:qFormat/>
    <w:uiPriority w:val="99"/>
    <w:rPr>
      <w:kern w:val="2"/>
      <w:sz w:val="18"/>
      <w:szCs w:val="18"/>
    </w:rPr>
  </w:style>
  <w:style w:type="paragraph" w:customStyle="1" w:styleId="80">
    <w:name w:val="Default"/>
    <w:link w:val="217"/>
    <w:qFormat/>
    <w:uiPriority w:val="0"/>
    <w:pPr>
      <w:widowControl w:val="0"/>
      <w:autoSpaceDE w:val="0"/>
      <w:autoSpaceDN w:val="0"/>
      <w:adjustRightInd w:val="0"/>
      <w:spacing w:line="360" w:lineRule="auto"/>
      <w:jc w:val="both"/>
    </w:pPr>
    <w:rPr>
      <w:rFonts w:ascii="宋体" w:hAnsi="Calibri" w:eastAsia="宋体" w:cs="Times New Roman"/>
      <w:color w:val="000000"/>
      <w:sz w:val="24"/>
      <w:szCs w:val="24"/>
      <w:lang w:val="en-US" w:eastAsia="zh-CN" w:bidi="ar-SA"/>
    </w:rPr>
  </w:style>
  <w:style w:type="paragraph" w:customStyle="1" w:styleId="81">
    <w:name w:val="主题"/>
    <w:basedOn w:val="1"/>
    <w:qFormat/>
    <w:uiPriority w:val="0"/>
  </w:style>
  <w:style w:type="paragraph" w:customStyle="1" w:styleId="82">
    <w:name w:val="默认段落字体 Para Char Char Char Char Char Char Char Char Char3 Char Char Char Char"/>
    <w:basedOn w:val="16"/>
    <w:qFormat/>
    <w:uiPriority w:val="0"/>
    <w:pPr>
      <w:spacing w:line="436" w:lineRule="exact"/>
      <w:ind w:left="357"/>
      <w:jc w:val="left"/>
      <w:outlineLvl w:val="3"/>
    </w:pPr>
    <w:rPr>
      <w:rFonts w:ascii="Tahoma" w:hAnsi="Tahoma"/>
      <w:b/>
      <w:sz w:val="24"/>
    </w:rPr>
  </w:style>
  <w:style w:type="paragraph" w:customStyle="1" w:styleId="83">
    <w:name w:val="目次、标准名称标题"/>
    <w:basedOn w:val="1"/>
    <w:next w:val="1"/>
    <w:qFormat/>
    <w:uiPriority w:val="0"/>
    <w:pPr>
      <w:shd w:val="clear" w:color="FFFFFF" w:fill="FFFFFF"/>
      <w:spacing w:before="640" w:after="560" w:line="460" w:lineRule="exact"/>
      <w:jc w:val="center"/>
      <w:outlineLvl w:val="0"/>
    </w:pPr>
    <w:rPr>
      <w:rFonts w:ascii="黑体" w:eastAsia="黑体"/>
      <w:sz w:val="32"/>
      <w:szCs w:val="20"/>
    </w:rPr>
  </w:style>
  <w:style w:type="character" w:customStyle="1" w:styleId="84">
    <w:name w:val="日期 Char"/>
    <w:link w:val="26"/>
    <w:qFormat/>
    <w:uiPriority w:val="0"/>
    <w:rPr>
      <w:rFonts w:ascii="宋体" w:hAnsi="Courier New"/>
      <w:kern w:val="2"/>
      <w:sz w:val="32"/>
    </w:rPr>
  </w:style>
  <w:style w:type="paragraph" w:customStyle="1" w:styleId="85">
    <w:name w:val="表1黑体居中"/>
    <w:basedOn w:val="1"/>
    <w:qFormat/>
    <w:uiPriority w:val="0"/>
    <w:pPr>
      <w:ind w:firstLine="435"/>
      <w:jc w:val="center"/>
      <w:textAlignment w:val="baseline"/>
    </w:pPr>
    <w:rPr>
      <w:rFonts w:ascii="黑体" w:eastAsia="黑体"/>
      <w:szCs w:val="21"/>
    </w:rPr>
  </w:style>
  <w:style w:type="paragraph" w:customStyle="1" w:styleId="86">
    <w:name w:val="MaoC2"/>
    <w:basedOn w:val="1"/>
    <w:qFormat/>
    <w:uiPriority w:val="0"/>
    <w:pPr>
      <w:numPr>
        <w:ilvl w:val="1"/>
        <w:numId w:val="2"/>
      </w:numPr>
      <w:spacing w:line="480" w:lineRule="auto"/>
      <w:outlineLvl w:val="1"/>
    </w:pPr>
    <w:rPr>
      <w:rFonts w:ascii="黑体" w:eastAsia="黑体"/>
      <w:szCs w:val="20"/>
    </w:rPr>
  </w:style>
  <w:style w:type="paragraph" w:customStyle="1" w:styleId="87">
    <w:name w:val="图目录4"/>
    <w:basedOn w:val="1"/>
    <w:next w:val="1"/>
    <w:qFormat/>
    <w:uiPriority w:val="0"/>
    <w:pPr>
      <w:numPr>
        <w:ilvl w:val="0"/>
        <w:numId w:val="3"/>
      </w:numPr>
      <w:ind w:hanging="448"/>
      <w:jc w:val="center"/>
      <w:textAlignment w:val="baseline"/>
    </w:pPr>
    <w:rPr>
      <w:szCs w:val="20"/>
    </w:rPr>
  </w:style>
  <w:style w:type="paragraph" w:customStyle="1" w:styleId="88">
    <w:name w:val="段"/>
    <w:qFormat/>
    <w:uiPriority w:val="0"/>
    <w:pPr>
      <w:autoSpaceDE w:val="0"/>
      <w:autoSpaceDN w:val="0"/>
      <w:spacing w:line="360" w:lineRule="auto"/>
      <w:ind w:firstLine="200" w:firstLineChars="200"/>
      <w:jc w:val="both"/>
    </w:pPr>
    <w:rPr>
      <w:rFonts w:ascii="宋体" w:hAnsi="Times New Roman" w:eastAsia="宋体" w:cs="Times New Roman"/>
      <w:sz w:val="21"/>
      <w:lang w:val="en-US" w:eastAsia="zh-CN" w:bidi="ar-SA"/>
    </w:rPr>
  </w:style>
  <w:style w:type="character" w:customStyle="1" w:styleId="89">
    <w:name w:val="列出段落 Char"/>
    <w:link w:val="78"/>
    <w:qFormat/>
    <w:uiPriority w:val="0"/>
    <w:rPr>
      <w:kern w:val="2"/>
      <w:sz w:val="21"/>
      <w:szCs w:val="24"/>
    </w:rPr>
  </w:style>
  <w:style w:type="table" w:customStyle="1" w:styleId="90">
    <w:name w:val="Table Normal"/>
    <w:qFormat/>
    <w:uiPriority w:val="0"/>
    <w:pPr>
      <w:pBdr>
        <w:top w:val="none" w:color="auto" w:sz="0" w:space="0"/>
        <w:left w:val="none" w:color="auto" w:sz="0" w:space="0"/>
        <w:bottom w:val="none" w:color="auto" w:sz="0" w:space="0"/>
        <w:right w:val="none" w:color="auto" w:sz="0" w:space="0"/>
        <w:between w:val="none" w:color="auto" w:sz="0" w:space="0"/>
      </w:pBdr>
      <w:spacing w:line="360" w:lineRule="auto"/>
      <w:jc w:val="both"/>
    </w:pPr>
    <w:tblPr>
      <w:tblCellMar>
        <w:top w:w="0" w:type="dxa"/>
        <w:left w:w="0" w:type="dxa"/>
        <w:bottom w:w="0" w:type="dxa"/>
        <w:right w:w="0" w:type="dxa"/>
      </w:tblCellMar>
    </w:tblPr>
  </w:style>
  <w:style w:type="paragraph" w:customStyle="1" w:styleId="91">
    <w:name w:val="样式1"/>
    <w:basedOn w:val="1"/>
    <w:qFormat/>
    <w:uiPriority w:val="0"/>
    <w:pPr>
      <w:keepNext/>
      <w:keepLines/>
      <w:numPr>
        <w:ilvl w:val="0"/>
        <w:numId w:val="4"/>
      </w:numPr>
      <w:spacing w:before="340" w:after="330"/>
      <w:outlineLvl w:val="0"/>
    </w:pPr>
    <w:rPr>
      <w:b/>
      <w:kern w:val="44"/>
      <w:sz w:val="44"/>
      <w:szCs w:val="20"/>
    </w:rPr>
  </w:style>
  <w:style w:type="paragraph" w:customStyle="1" w:styleId="92">
    <w:name w:val="参数内容"/>
    <w:basedOn w:val="78"/>
    <w:qFormat/>
    <w:uiPriority w:val="0"/>
    <w:pPr>
      <w:numPr>
        <w:ilvl w:val="0"/>
        <w:numId w:val="5"/>
      </w:numPr>
      <w:ind w:firstLine="0" w:firstLineChars="0"/>
    </w:pPr>
    <w:rPr>
      <w:szCs w:val="18"/>
    </w:rPr>
  </w:style>
  <w:style w:type="paragraph" w:customStyle="1" w:styleId="93">
    <w:name w:val="标准正文"/>
    <w:basedOn w:val="21"/>
    <w:link w:val="94"/>
    <w:qFormat/>
    <w:uiPriority w:val="0"/>
    <w:pPr>
      <w:spacing w:before="60" w:after="60"/>
      <w:ind w:firstLine="482" w:firstLineChars="0"/>
      <w:jc w:val="left"/>
    </w:pPr>
    <w:rPr>
      <w:rFonts w:ascii="宋体" w:hAnsi="宋体"/>
      <w:kern w:val="0"/>
      <w:sz w:val="24"/>
      <w:szCs w:val="20"/>
    </w:rPr>
  </w:style>
  <w:style w:type="character" w:customStyle="1" w:styleId="94">
    <w:name w:val="标准正文 Char"/>
    <w:link w:val="93"/>
    <w:qFormat/>
    <w:uiPriority w:val="0"/>
    <w:rPr>
      <w:rFonts w:ascii="宋体" w:hAnsi="宋体" w:cs="宋体"/>
      <w:sz w:val="24"/>
    </w:rPr>
  </w:style>
  <w:style w:type="paragraph" w:customStyle="1" w:styleId="95">
    <w:name w:val="下级参数内容"/>
    <w:basedOn w:val="78"/>
    <w:qFormat/>
    <w:uiPriority w:val="0"/>
    <w:pPr>
      <w:numPr>
        <w:ilvl w:val="0"/>
        <w:numId w:val="6"/>
      </w:numPr>
      <w:ind w:left="1134" w:firstLine="0" w:firstLineChars="0"/>
    </w:pPr>
    <w:rPr>
      <w:rFonts w:ascii="仿宋" w:hAnsi="仿宋"/>
    </w:rPr>
  </w:style>
  <w:style w:type="paragraph" w:customStyle="1" w:styleId="96">
    <w:name w:val="Char Char Char1"/>
    <w:basedOn w:val="1"/>
    <w:qFormat/>
    <w:uiPriority w:val="0"/>
    <w:rPr>
      <w:rFonts w:ascii="Tahoma" w:hAnsi="Tahoma"/>
      <w:sz w:val="24"/>
      <w:szCs w:val="20"/>
    </w:rPr>
  </w:style>
  <w:style w:type="paragraph" w:customStyle="1" w:styleId="97">
    <w:name w:val="Char Char10 Char Char"/>
    <w:basedOn w:val="16"/>
    <w:qFormat/>
    <w:uiPriority w:val="0"/>
    <w:rPr>
      <w:rFonts w:ascii="Tahoma" w:hAnsi="Tahoma"/>
      <w:sz w:val="24"/>
    </w:rPr>
  </w:style>
  <w:style w:type="paragraph" w:customStyle="1" w:styleId="98">
    <w:name w:val="_Style 95"/>
    <w:unhideWhenUsed/>
    <w:qFormat/>
    <w:uiPriority w:val="99"/>
    <w:pPr>
      <w:widowControl w:val="0"/>
      <w:spacing w:line="360" w:lineRule="auto"/>
      <w:jc w:val="both"/>
    </w:pPr>
    <w:rPr>
      <w:rFonts w:ascii="Times New Roman" w:hAnsi="Times New Roman" w:eastAsia="宋体" w:cs="Times New Roman"/>
      <w:kern w:val="2"/>
      <w:sz w:val="21"/>
      <w:szCs w:val="24"/>
      <w:lang w:val="en-US" w:eastAsia="zh-CN" w:bidi="ar-SA"/>
    </w:rPr>
  </w:style>
  <w:style w:type="paragraph" w:customStyle="1" w:styleId="99">
    <w:name w:val="font5"/>
    <w:basedOn w:val="1"/>
    <w:qFormat/>
    <w:uiPriority w:val="0"/>
    <w:pPr>
      <w:spacing w:before="100" w:beforeAutospacing="1" w:after="100" w:afterAutospacing="1"/>
      <w:jc w:val="left"/>
    </w:pPr>
    <w:rPr>
      <w:sz w:val="18"/>
      <w:szCs w:val="18"/>
    </w:rPr>
  </w:style>
  <w:style w:type="paragraph" w:customStyle="1" w:styleId="100">
    <w:name w:val="xl65"/>
    <w:basedOn w:val="1"/>
    <w:qFormat/>
    <w:uiPriority w:val="0"/>
    <w:pPr>
      <w:pBdr>
        <w:top w:val="single" w:color="auto" w:sz="8" w:space="0"/>
        <w:bottom w:val="single" w:color="auto" w:sz="8" w:space="0"/>
        <w:right w:val="single" w:color="auto" w:sz="8" w:space="0"/>
      </w:pBdr>
      <w:shd w:val="clear" w:color="000000" w:fill="FFFFFF"/>
      <w:spacing w:before="100" w:beforeAutospacing="1" w:after="100" w:afterAutospacing="1"/>
      <w:jc w:val="center"/>
      <w:textAlignment w:val="center"/>
    </w:pPr>
    <w:rPr>
      <w:b/>
      <w:bCs/>
      <w:sz w:val="24"/>
    </w:rPr>
  </w:style>
  <w:style w:type="paragraph" w:customStyle="1" w:styleId="101">
    <w:name w:val="xl66"/>
    <w:basedOn w:val="1"/>
    <w:qFormat/>
    <w:uiPriority w:val="0"/>
    <w:pPr>
      <w:pBdr>
        <w:bottom w:val="single" w:color="auto" w:sz="8" w:space="0"/>
        <w:right w:val="single" w:color="auto" w:sz="8" w:space="0"/>
      </w:pBdr>
      <w:shd w:val="clear" w:color="000000" w:fill="FFFFFF"/>
      <w:spacing w:before="100" w:beforeAutospacing="1" w:after="100" w:afterAutospacing="1"/>
      <w:jc w:val="center"/>
      <w:textAlignment w:val="center"/>
    </w:pPr>
    <w:rPr>
      <w:sz w:val="24"/>
    </w:rPr>
  </w:style>
  <w:style w:type="paragraph" w:customStyle="1" w:styleId="102">
    <w:name w:val="xl67"/>
    <w:basedOn w:val="1"/>
    <w:qFormat/>
    <w:uiPriority w:val="0"/>
    <w:pPr>
      <w:pBdr>
        <w:bottom w:val="single" w:color="auto" w:sz="8" w:space="0"/>
        <w:right w:val="single" w:color="auto" w:sz="8" w:space="0"/>
      </w:pBdr>
      <w:shd w:val="clear" w:color="000000" w:fill="FFFFFF"/>
      <w:spacing w:before="100" w:beforeAutospacing="1" w:after="100" w:afterAutospacing="1"/>
      <w:jc w:val="center"/>
      <w:textAlignment w:val="center"/>
    </w:pPr>
    <w:rPr>
      <w:color w:val="000000"/>
      <w:sz w:val="24"/>
    </w:rPr>
  </w:style>
  <w:style w:type="paragraph" w:customStyle="1" w:styleId="103">
    <w:name w:val="xl68"/>
    <w:basedOn w:val="1"/>
    <w:qFormat/>
    <w:uiPriority w:val="0"/>
    <w:pPr>
      <w:pBdr>
        <w:top w:val="single" w:color="auto" w:sz="8" w:space="0"/>
        <w:left w:val="single" w:color="auto" w:sz="8" w:space="0"/>
        <w:bottom w:val="single" w:color="auto" w:sz="8" w:space="0"/>
        <w:right w:val="single" w:color="auto" w:sz="8" w:space="0"/>
      </w:pBdr>
      <w:shd w:val="clear" w:color="000000" w:fill="FFFFFF"/>
      <w:spacing w:before="100" w:beforeAutospacing="1" w:after="100" w:afterAutospacing="1"/>
      <w:jc w:val="left"/>
      <w:textAlignment w:val="center"/>
    </w:pPr>
    <w:rPr>
      <w:b/>
      <w:bCs/>
      <w:sz w:val="24"/>
    </w:rPr>
  </w:style>
  <w:style w:type="paragraph" w:customStyle="1" w:styleId="104">
    <w:name w:val="xl69"/>
    <w:basedOn w:val="1"/>
    <w:qFormat/>
    <w:uiPriority w:val="0"/>
    <w:pPr>
      <w:pBdr>
        <w:left w:val="single" w:color="auto" w:sz="8" w:space="0"/>
        <w:bottom w:val="single" w:color="auto" w:sz="8" w:space="0"/>
        <w:right w:val="single" w:color="auto" w:sz="8" w:space="0"/>
      </w:pBdr>
      <w:shd w:val="clear" w:color="000000" w:fill="FFFFFF"/>
      <w:spacing w:before="100" w:beforeAutospacing="1" w:after="100" w:afterAutospacing="1"/>
      <w:jc w:val="center"/>
      <w:textAlignment w:val="center"/>
    </w:pPr>
    <w:rPr>
      <w:sz w:val="24"/>
    </w:rPr>
  </w:style>
  <w:style w:type="paragraph" w:customStyle="1" w:styleId="105">
    <w:name w:val="样式 标题 3style3H3h33rd levelLevel 3 Headlevel_3PIM 33l3C..."/>
    <w:basedOn w:val="3"/>
    <w:qFormat/>
    <w:uiPriority w:val="0"/>
    <w:pPr>
      <w:tabs>
        <w:tab w:val="left" w:pos="851"/>
      </w:tabs>
      <w:spacing w:beforeLines="50" w:afterLines="50" w:line="415" w:lineRule="auto"/>
      <w:ind w:left="-4" w:leftChars="-2" w:right="220" w:firstLine="571" w:firstLineChars="203"/>
      <w:jc w:val="left"/>
    </w:pPr>
    <w:rPr>
      <w:rFonts w:ascii="Times New Roman" w:hAnsi="Times New Roman" w:cs="宋体"/>
      <w:bCs w:val="0"/>
      <w:color w:val="000000"/>
      <w:szCs w:val="20"/>
    </w:rPr>
  </w:style>
  <w:style w:type="paragraph" w:customStyle="1" w:styleId="106">
    <w:name w:val="样式2"/>
    <w:basedOn w:val="2"/>
    <w:qFormat/>
    <w:uiPriority w:val="0"/>
    <w:pPr>
      <w:keepNext/>
      <w:keepLines/>
      <w:spacing w:before="0" w:after="0" w:line="578" w:lineRule="auto"/>
      <w:ind w:left="1200" w:hanging="420"/>
      <w:jc w:val="both"/>
    </w:pPr>
    <w:rPr>
      <w:rFonts w:eastAsia="宋体"/>
      <w:szCs w:val="44"/>
    </w:rPr>
  </w:style>
  <w:style w:type="paragraph" w:customStyle="1" w:styleId="107">
    <w:name w:val="样式3"/>
    <w:basedOn w:val="1"/>
    <w:qFormat/>
    <w:uiPriority w:val="0"/>
    <w:pPr>
      <w:ind w:left="1620" w:hanging="420"/>
      <w:outlineLvl w:val="2"/>
    </w:pPr>
    <w:rPr>
      <w:b/>
    </w:rPr>
  </w:style>
  <w:style w:type="paragraph" w:customStyle="1" w:styleId="108">
    <w:name w:val="样式4"/>
    <w:basedOn w:val="78"/>
    <w:qFormat/>
    <w:uiPriority w:val="0"/>
    <w:pPr>
      <w:ind w:left="2040" w:firstLine="0" w:firstLineChars="0"/>
      <w:jc w:val="left"/>
      <w:outlineLvl w:val="3"/>
    </w:pPr>
    <w:rPr>
      <w:rFonts w:ascii="宋体" w:hAnsi="宋体"/>
    </w:rPr>
  </w:style>
  <w:style w:type="character" w:customStyle="1" w:styleId="109">
    <w:name w:val="页脚 Char"/>
    <w:link w:val="29"/>
    <w:qFormat/>
    <w:uiPriority w:val="99"/>
    <w:rPr>
      <w:kern w:val="2"/>
      <w:sz w:val="18"/>
      <w:szCs w:val="18"/>
    </w:rPr>
  </w:style>
  <w:style w:type="character" w:customStyle="1" w:styleId="110">
    <w:name w:val="批注框文本 Char"/>
    <w:link w:val="28"/>
    <w:semiHidden/>
    <w:qFormat/>
    <w:uiPriority w:val="0"/>
    <w:rPr>
      <w:kern w:val="2"/>
      <w:sz w:val="18"/>
      <w:szCs w:val="18"/>
    </w:rPr>
  </w:style>
  <w:style w:type="character" w:customStyle="1" w:styleId="111">
    <w:name w:val="文档结构图 Char"/>
    <w:link w:val="16"/>
    <w:semiHidden/>
    <w:qFormat/>
    <w:uiPriority w:val="0"/>
    <w:rPr>
      <w:kern w:val="2"/>
      <w:sz w:val="21"/>
      <w:szCs w:val="24"/>
      <w:shd w:val="clear" w:color="auto" w:fill="000080"/>
    </w:rPr>
  </w:style>
  <w:style w:type="paragraph" w:customStyle="1" w:styleId="112">
    <w:name w:val="p0"/>
    <w:basedOn w:val="1"/>
    <w:qFormat/>
    <w:uiPriority w:val="0"/>
    <w:rPr>
      <w:rFonts w:ascii="Calibri" w:hAnsi="Calibri"/>
      <w:szCs w:val="21"/>
    </w:rPr>
  </w:style>
  <w:style w:type="paragraph" w:customStyle="1" w:styleId="113">
    <w:name w:val="图标题"/>
    <w:basedOn w:val="1"/>
    <w:link w:val="117"/>
    <w:qFormat/>
    <w:uiPriority w:val="0"/>
    <w:pPr>
      <w:jc w:val="center"/>
    </w:pPr>
    <w:rPr>
      <w:rFonts w:cs="Times New Roman"/>
      <w:kern w:val="2"/>
    </w:rPr>
  </w:style>
  <w:style w:type="paragraph" w:customStyle="1" w:styleId="114">
    <w:name w:val="表标题"/>
    <w:basedOn w:val="1"/>
    <w:qFormat/>
    <w:uiPriority w:val="0"/>
    <w:pPr>
      <w:jc w:val="center"/>
    </w:pPr>
    <w:rPr>
      <w:rFonts w:eastAsia="黑体"/>
      <w:b/>
    </w:rPr>
  </w:style>
  <w:style w:type="paragraph" w:customStyle="1" w:styleId="115">
    <w:name w:val="正文-1级标题-1"/>
    <w:basedOn w:val="1"/>
    <w:next w:val="1"/>
    <w:qFormat/>
    <w:uiPriority w:val="0"/>
    <w:pPr>
      <w:keepNext/>
      <w:numPr>
        <w:ilvl w:val="0"/>
        <w:numId w:val="7"/>
      </w:numPr>
      <w:spacing w:beforeLines="30" w:afterLines="30"/>
      <w:ind w:firstLine="0"/>
    </w:pPr>
    <w:rPr>
      <w:b/>
      <w:sz w:val="24"/>
      <w:szCs w:val="28"/>
      <w:lang w:val="en-GB"/>
    </w:rPr>
  </w:style>
  <w:style w:type="paragraph" w:customStyle="1" w:styleId="116">
    <w:name w:val="正文-1级列表-(1)"/>
    <w:basedOn w:val="1"/>
    <w:qFormat/>
    <w:uiPriority w:val="0"/>
    <w:pPr>
      <w:numPr>
        <w:ilvl w:val="1"/>
        <w:numId w:val="7"/>
      </w:numPr>
      <w:ind w:firstLine="0"/>
    </w:pPr>
    <w:rPr>
      <w:sz w:val="24"/>
      <w:lang w:val="en-GB"/>
    </w:rPr>
  </w:style>
  <w:style w:type="character" w:customStyle="1" w:styleId="117">
    <w:name w:val="图标题 Char"/>
    <w:link w:val="113"/>
    <w:qFormat/>
    <w:uiPriority w:val="0"/>
    <w:rPr>
      <w:rFonts w:ascii="宋体" w:hAnsi="宋体"/>
      <w:kern w:val="2"/>
      <w:sz w:val="21"/>
      <w:szCs w:val="24"/>
    </w:rPr>
  </w:style>
  <w:style w:type="character" w:customStyle="1" w:styleId="118">
    <w:name w:val="标题 5 Char"/>
    <w:link w:val="6"/>
    <w:qFormat/>
    <w:uiPriority w:val="0"/>
    <w:rPr>
      <w:b/>
      <w:kern w:val="2"/>
      <w:sz w:val="24"/>
    </w:rPr>
  </w:style>
  <w:style w:type="character" w:customStyle="1" w:styleId="119">
    <w:name w:val="标题 6 Char"/>
    <w:link w:val="8"/>
    <w:qFormat/>
    <w:uiPriority w:val="0"/>
    <w:rPr>
      <w:rFonts w:ascii="Arial" w:hAnsi="Arial" w:eastAsia="黑体"/>
      <w:b/>
      <w:kern w:val="2"/>
      <w:sz w:val="24"/>
    </w:rPr>
  </w:style>
  <w:style w:type="character" w:customStyle="1" w:styleId="120">
    <w:name w:val="标题 7 Char"/>
    <w:link w:val="9"/>
    <w:qFormat/>
    <w:uiPriority w:val="0"/>
    <w:rPr>
      <w:b/>
      <w:kern w:val="2"/>
      <w:sz w:val="24"/>
    </w:rPr>
  </w:style>
  <w:style w:type="character" w:customStyle="1" w:styleId="121">
    <w:name w:val="标题 8 Char"/>
    <w:link w:val="10"/>
    <w:qFormat/>
    <w:uiPriority w:val="0"/>
    <w:rPr>
      <w:rFonts w:ascii="Arial" w:hAnsi="Arial" w:eastAsia="黑体"/>
      <w:kern w:val="2"/>
      <w:sz w:val="24"/>
    </w:rPr>
  </w:style>
  <w:style w:type="character" w:customStyle="1" w:styleId="122">
    <w:name w:val="标题 9 Char"/>
    <w:link w:val="11"/>
    <w:qFormat/>
    <w:uiPriority w:val="0"/>
    <w:rPr>
      <w:rFonts w:ascii="Arial" w:hAnsi="Arial" w:eastAsia="黑体"/>
      <w:kern w:val="2"/>
      <w:sz w:val="21"/>
    </w:rPr>
  </w:style>
  <w:style w:type="paragraph" w:customStyle="1" w:styleId="123">
    <w:name w:val="样式 标题 1 + 段前: 0.5 行 段后: 0.5 行"/>
    <w:basedOn w:val="2"/>
    <w:qFormat/>
    <w:uiPriority w:val="0"/>
    <w:pPr>
      <w:keepNext/>
      <w:keepLines/>
      <w:numPr>
        <w:ilvl w:val="0"/>
        <w:numId w:val="8"/>
      </w:numPr>
      <w:spacing w:beforeLines="50" w:afterLines="50" w:line="578" w:lineRule="auto"/>
      <w:ind w:left="0" w:firstLine="0"/>
      <w:jc w:val="both"/>
    </w:pPr>
    <w:rPr>
      <w:rFonts w:ascii="Times New Roman" w:hAnsi="Times New Roman" w:eastAsia="宋体" w:cs="宋体"/>
      <w:sz w:val="44"/>
      <w:szCs w:val="20"/>
    </w:rPr>
  </w:style>
  <w:style w:type="paragraph" w:customStyle="1" w:styleId="124">
    <w:name w:val="样式 标题 4 + 段前: 0.5 行 段后: 0.5 行"/>
    <w:basedOn w:val="4"/>
    <w:qFormat/>
    <w:uiPriority w:val="0"/>
    <w:pPr>
      <w:spacing w:beforeLines="50" w:afterLines="50" w:line="377" w:lineRule="auto"/>
      <w:ind w:left="2240"/>
      <w:jc w:val="left"/>
    </w:pPr>
    <w:rPr>
      <w:rFonts w:ascii="Cambria" w:hAnsi="Cambria" w:eastAsia="宋体" w:cs="宋体"/>
      <w:sz w:val="24"/>
      <w:szCs w:val="20"/>
    </w:rPr>
  </w:style>
  <w:style w:type="paragraph" w:customStyle="1" w:styleId="125">
    <w:name w:val="样式 标题 4 + 段前: 0.5 行 段后: 0.5 行1"/>
    <w:basedOn w:val="4"/>
    <w:qFormat/>
    <w:uiPriority w:val="0"/>
    <w:pPr>
      <w:spacing w:beforeLines="50" w:afterLines="50" w:line="377" w:lineRule="auto"/>
      <w:ind w:left="-2" w:leftChars="-1" w:firstLine="569" w:firstLineChars="236"/>
      <w:jc w:val="left"/>
    </w:pPr>
    <w:rPr>
      <w:rFonts w:ascii="Cambria" w:hAnsi="Cambria" w:eastAsia="宋体" w:cs="宋体"/>
      <w:sz w:val="24"/>
      <w:szCs w:val="20"/>
    </w:rPr>
  </w:style>
  <w:style w:type="paragraph" w:customStyle="1" w:styleId="126">
    <w:name w:val="￥正文"/>
    <w:basedOn w:val="1"/>
    <w:link w:val="127"/>
    <w:qFormat/>
    <w:uiPriority w:val="0"/>
    <w:pPr>
      <w:ind w:firstLine="200" w:firstLineChars="200"/>
    </w:pPr>
    <w:rPr>
      <w:rFonts w:ascii="Calibri" w:hAnsi="Calibri" w:cs="Times New Roman"/>
      <w:kern w:val="2"/>
      <w:sz w:val="24"/>
      <w:szCs w:val="20"/>
    </w:rPr>
  </w:style>
  <w:style w:type="character" w:customStyle="1" w:styleId="127">
    <w:name w:val="￥正文 Char"/>
    <w:link w:val="126"/>
    <w:qFormat/>
    <w:uiPriority w:val="0"/>
    <w:rPr>
      <w:rFonts w:ascii="Calibri" w:hAnsi="Calibri"/>
      <w:kern w:val="2"/>
      <w:sz w:val="24"/>
    </w:rPr>
  </w:style>
  <w:style w:type="paragraph" w:customStyle="1" w:styleId="128">
    <w:name w:val="样式 标题 4h4heading 4h41heading 41h42heading 42h411heading ..."/>
    <w:basedOn w:val="4"/>
    <w:qFormat/>
    <w:uiPriority w:val="0"/>
    <w:pPr>
      <w:spacing w:beforeLines="50" w:afterLines="50" w:line="377" w:lineRule="auto"/>
      <w:ind w:left="2240" w:right="220"/>
      <w:jc w:val="left"/>
    </w:pPr>
    <w:rPr>
      <w:rFonts w:ascii="Cambria" w:hAnsi="Cambria" w:eastAsia="宋体" w:cs="宋体"/>
      <w:sz w:val="24"/>
      <w:szCs w:val="20"/>
    </w:rPr>
  </w:style>
  <w:style w:type="paragraph" w:customStyle="1" w:styleId="129">
    <w:name w:val="!项目ALT+P"/>
    <w:basedOn w:val="1"/>
    <w:qFormat/>
    <w:uiPriority w:val="0"/>
    <w:pPr>
      <w:numPr>
        <w:ilvl w:val="0"/>
        <w:numId w:val="9"/>
      </w:numPr>
      <w:spacing w:line="320" w:lineRule="atLeast"/>
      <w:ind w:firstLine="0"/>
      <w:textAlignment w:val="baseline"/>
    </w:pPr>
    <w:rPr>
      <w:szCs w:val="21"/>
    </w:rPr>
  </w:style>
  <w:style w:type="paragraph" w:customStyle="1" w:styleId="130">
    <w:name w:val="样式 样式 (符号) 宋体 小四 行距: 1.5 倍行距 首行缩进:  1.5 字符 + 宋体 首行缩进:  2 字符"/>
    <w:basedOn w:val="1"/>
    <w:qFormat/>
    <w:uiPriority w:val="0"/>
    <w:pPr>
      <w:ind w:firstLine="480" w:firstLineChars="200"/>
    </w:pPr>
    <w:rPr>
      <w:sz w:val="24"/>
      <w:szCs w:val="20"/>
    </w:rPr>
  </w:style>
  <w:style w:type="paragraph" w:customStyle="1" w:styleId="131">
    <w:name w:val="正文内容"/>
    <w:basedOn w:val="1"/>
    <w:next w:val="16"/>
    <w:link w:val="132"/>
    <w:qFormat/>
    <w:uiPriority w:val="0"/>
    <w:rPr>
      <w:rFonts w:ascii="Times New Roman" w:hAnsi="Times New Roman" w:cs="Times New Roman"/>
      <w:sz w:val="20"/>
    </w:rPr>
  </w:style>
  <w:style w:type="character" w:customStyle="1" w:styleId="132">
    <w:name w:val="正文内容 Char"/>
    <w:link w:val="131"/>
    <w:qFormat/>
    <w:uiPriority w:val="0"/>
    <w:rPr>
      <w:szCs w:val="24"/>
    </w:rPr>
  </w:style>
  <w:style w:type="paragraph" w:customStyle="1" w:styleId="133">
    <w:name w:val="方案标题1"/>
    <w:basedOn w:val="42"/>
    <w:qFormat/>
    <w:uiPriority w:val="0"/>
    <w:pPr>
      <w:numPr>
        <w:ilvl w:val="0"/>
        <w:numId w:val="10"/>
      </w:numPr>
      <w:spacing w:beforeLines="50" w:afterLines="50"/>
      <w:ind w:firstLine="200" w:firstLineChars="200"/>
      <w:jc w:val="both"/>
    </w:pPr>
    <w:rPr>
      <w:color w:val="000000"/>
    </w:rPr>
  </w:style>
  <w:style w:type="paragraph" w:customStyle="1" w:styleId="134">
    <w:name w:val="方案标题2"/>
    <w:basedOn w:val="42"/>
    <w:qFormat/>
    <w:uiPriority w:val="0"/>
    <w:pPr>
      <w:numPr>
        <w:ilvl w:val="1"/>
        <w:numId w:val="10"/>
      </w:numPr>
      <w:spacing w:beforeLines="50" w:afterLines="50"/>
      <w:ind w:firstLine="200" w:firstLineChars="200"/>
      <w:jc w:val="left"/>
      <w:outlineLvl w:val="1"/>
    </w:pPr>
    <w:rPr>
      <w:rFonts w:eastAsia="仿宋_GB2312"/>
      <w:color w:val="000000"/>
      <w:sz w:val="30"/>
      <w:szCs w:val="30"/>
    </w:rPr>
  </w:style>
  <w:style w:type="paragraph" w:customStyle="1" w:styleId="135">
    <w:name w:val="方案标题3"/>
    <w:basedOn w:val="42"/>
    <w:qFormat/>
    <w:uiPriority w:val="0"/>
    <w:pPr>
      <w:numPr>
        <w:ilvl w:val="2"/>
        <w:numId w:val="10"/>
      </w:numPr>
      <w:spacing w:beforeLines="50" w:afterLines="50" w:line="440" w:lineRule="exact"/>
      <w:ind w:firstLine="200" w:firstLineChars="200"/>
      <w:jc w:val="left"/>
      <w:outlineLvl w:val="2"/>
    </w:pPr>
    <w:rPr>
      <w:rFonts w:ascii="黑体" w:eastAsia="黑体"/>
      <w:color w:val="000000"/>
      <w:sz w:val="28"/>
      <w:szCs w:val="24"/>
    </w:rPr>
  </w:style>
  <w:style w:type="character" w:customStyle="1" w:styleId="136">
    <w:name w:val="标题 Char"/>
    <w:link w:val="42"/>
    <w:qFormat/>
    <w:uiPriority w:val="0"/>
    <w:rPr>
      <w:rFonts w:ascii="Arial" w:hAnsi="Arial" w:cs="Arial"/>
      <w:b/>
      <w:bCs/>
      <w:kern w:val="2"/>
      <w:sz w:val="36"/>
      <w:szCs w:val="32"/>
    </w:rPr>
  </w:style>
  <w:style w:type="paragraph" w:customStyle="1" w:styleId="137">
    <w:name w:val="正文Land"/>
    <w:basedOn w:val="1"/>
    <w:qFormat/>
    <w:uiPriority w:val="0"/>
    <w:pPr>
      <w:spacing w:beforeLines="20" w:afterLines="50"/>
      <w:ind w:firstLine="200" w:firstLineChars="200"/>
    </w:pPr>
    <w:rPr>
      <w:color w:val="000000"/>
      <w:sz w:val="24"/>
    </w:rPr>
  </w:style>
  <w:style w:type="paragraph" w:customStyle="1" w:styleId="138">
    <w:name w:val="样式5"/>
    <w:basedOn w:val="1"/>
    <w:qFormat/>
    <w:uiPriority w:val="0"/>
    <w:pPr>
      <w:numPr>
        <w:ilvl w:val="0"/>
        <w:numId w:val="11"/>
      </w:numPr>
      <w:spacing w:beforeLines="50" w:afterLines="50"/>
      <w:ind w:firstLine="0"/>
    </w:pPr>
    <w:rPr>
      <w:rFonts w:eastAsia="仿宋_GB2312"/>
      <w:color w:val="000000"/>
      <w:sz w:val="24"/>
    </w:rPr>
  </w:style>
  <w:style w:type="paragraph" w:customStyle="1" w:styleId="139">
    <w:name w:val="font6"/>
    <w:basedOn w:val="1"/>
    <w:qFormat/>
    <w:uiPriority w:val="0"/>
    <w:pPr>
      <w:spacing w:beforeAutospacing="1" w:afterAutospacing="1"/>
      <w:jc w:val="left"/>
    </w:pPr>
    <w:rPr>
      <w:sz w:val="18"/>
      <w:szCs w:val="18"/>
    </w:rPr>
  </w:style>
  <w:style w:type="paragraph" w:customStyle="1" w:styleId="140">
    <w:name w:val="xl64"/>
    <w:basedOn w:val="1"/>
    <w:qFormat/>
    <w:uiPriority w:val="0"/>
    <w:pPr>
      <w:pBdr>
        <w:top w:val="single" w:color="auto" w:sz="4" w:space="0"/>
        <w:left w:val="single" w:color="auto" w:sz="4" w:space="0"/>
        <w:bottom w:val="single" w:color="auto" w:sz="4" w:space="0"/>
        <w:right w:val="single" w:color="auto" w:sz="4" w:space="0"/>
      </w:pBdr>
      <w:shd w:val="clear" w:color="000000" w:fill="CCFFFF"/>
      <w:spacing w:beforeAutospacing="1" w:afterAutospacing="1"/>
      <w:jc w:val="center"/>
      <w:textAlignment w:val="center"/>
    </w:pPr>
    <w:rPr>
      <w:b/>
      <w:bCs/>
      <w:color w:val="000000"/>
      <w:sz w:val="24"/>
    </w:rPr>
  </w:style>
  <w:style w:type="paragraph" w:customStyle="1" w:styleId="141">
    <w:name w:val="xl70"/>
    <w:basedOn w:val="1"/>
    <w:qFormat/>
    <w:uiPriority w:val="0"/>
    <w:pPr>
      <w:pBdr>
        <w:top w:val="single" w:color="auto" w:sz="4" w:space="0"/>
        <w:left w:val="single" w:color="auto" w:sz="4" w:space="0"/>
        <w:bottom w:val="single" w:color="auto" w:sz="4" w:space="0"/>
        <w:right w:val="single" w:color="auto" w:sz="4" w:space="0"/>
      </w:pBdr>
      <w:shd w:val="clear" w:color="000000" w:fill="DCE6F1"/>
      <w:spacing w:beforeAutospacing="1" w:afterAutospacing="1"/>
      <w:jc w:val="center"/>
      <w:textAlignment w:val="center"/>
    </w:pPr>
    <w:rPr>
      <w:b/>
      <w:bCs/>
      <w:color w:val="000000"/>
      <w:sz w:val="24"/>
    </w:rPr>
  </w:style>
  <w:style w:type="paragraph" w:customStyle="1" w:styleId="142">
    <w:name w:val="xl71"/>
    <w:basedOn w:val="1"/>
    <w:qFormat/>
    <w:uiPriority w:val="0"/>
    <w:pPr>
      <w:pBdr>
        <w:top w:val="single" w:color="auto" w:sz="4" w:space="0"/>
        <w:left w:val="single" w:color="auto" w:sz="4" w:space="0"/>
        <w:bottom w:val="single" w:color="auto" w:sz="4" w:space="0"/>
        <w:right w:val="single" w:color="auto" w:sz="4" w:space="0"/>
      </w:pBdr>
      <w:shd w:val="clear" w:color="000000" w:fill="DCE6F1"/>
      <w:spacing w:beforeAutospacing="1" w:afterAutospacing="1"/>
      <w:jc w:val="center"/>
      <w:textAlignment w:val="center"/>
    </w:pPr>
    <w:rPr>
      <w:color w:val="000000"/>
      <w:sz w:val="24"/>
    </w:rPr>
  </w:style>
  <w:style w:type="paragraph" w:customStyle="1" w:styleId="143">
    <w:name w:val="xl72"/>
    <w:basedOn w:val="1"/>
    <w:qFormat/>
    <w:uiPriority w:val="0"/>
    <w:pPr>
      <w:pBdr>
        <w:top w:val="single" w:color="auto" w:sz="4" w:space="0"/>
        <w:left w:val="single" w:color="auto" w:sz="4" w:space="0"/>
        <w:bottom w:val="single" w:color="auto" w:sz="4" w:space="0"/>
        <w:right w:val="single" w:color="auto" w:sz="4" w:space="0"/>
      </w:pBdr>
      <w:shd w:val="clear" w:color="000000" w:fill="DCE6F1"/>
      <w:spacing w:beforeAutospacing="1" w:afterAutospacing="1"/>
      <w:jc w:val="left"/>
      <w:textAlignment w:val="center"/>
    </w:pPr>
    <w:rPr>
      <w:color w:val="000000"/>
      <w:sz w:val="24"/>
    </w:rPr>
  </w:style>
  <w:style w:type="paragraph" w:customStyle="1" w:styleId="144">
    <w:name w:val="xl73"/>
    <w:basedOn w:val="1"/>
    <w:qFormat/>
    <w:uiPriority w:val="0"/>
    <w:pPr>
      <w:pBdr>
        <w:top w:val="single" w:color="auto" w:sz="4" w:space="0"/>
        <w:left w:val="single" w:color="auto" w:sz="4" w:space="0"/>
        <w:bottom w:val="single" w:color="auto" w:sz="4" w:space="0"/>
        <w:right w:val="single" w:color="auto" w:sz="4" w:space="0"/>
      </w:pBdr>
      <w:shd w:val="clear" w:color="000000" w:fill="DCE6F1"/>
      <w:spacing w:beforeAutospacing="1" w:afterAutospacing="1"/>
      <w:jc w:val="center"/>
      <w:textAlignment w:val="center"/>
    </w:pPr>
    <w:rPr>
      <w:color w:val="000000"/>
      <w:sz w:val="24"/>
    </w:rPr>
  </w:style>
  <w:style w:type="paragraph" w:customStyle="1" w:styleId="145">
    <w:name w:val="xl74"/>
    <w:basedOn w:val="1"/>
    <w:qFormat/>
    <w:uiPriority w:val="0"/>
    <w:pPr>
      <w:pBdr>
        <w:top w:val="single" w:color="auto" w:sz="4" w:space="0"/>
        <w:left w:val="single" w:color="auto" w:sz="4" w:space="0"/>
        <w:bottom w:val="single" w:color="auto" w:sz="4" w:space="0"/>
        <w:right w:val="single" w:color="auto" w:sz="4" w:space="0"/>
      </w:pBdr>
      <w:shd w:val="clear" w:color="000000" w:fill="DCE6F1"/>
      <w:spacing w:beforeAutospacing="1" w:afterAutospacing="1"/>
      <w:jc w:val="center"/>
    </w:pPr>
    <w:rPr>
      <w:color w:val="000000"/>
      <w:sz w:val="24"/>
    </w:rPr>
  </w:style>
  <w:style w:type="paragraph" w:customStyle="1" w:styleId="146">
    <w:name w:val="xl75"/>
    <w:basedOn w:val="1"/>
    <w:qFormat/>
    <w:uiPriority w:val="0"/>
    <w:pPr>
      <w:pBdr>
        <w:top w:val="single" w:color="auto" w:sz="4" w:space="0"/>
        <w:left w:val="single" w:color="auto" w:sz="4" w:space="0"/>
        <w:bottom w:val="single" w:color="auto" w:sz="4" w:space="0"/>
        <w:right w:val="single" w:color="auto" w:sz="4" w:space="0"/>
      </w:pBdr>
      <w:shd w:val="clear" w:color="000000" w:fill="F2F2F2"/>
      <w:spacing w:beforeAutospacing="1" w:afterAutospacing="1"/>
      <w:jc w:val="center"/>
      <w:textAlignment w:val="center"/>
    </w:pPr>
    <w:rPr>
      <w:b/>
      <w:bCs/>
      <w:color w:val="000000"/>
      <w:sz w:val="24"/>
    </w:rPr>
  </w:style>
  <w:style w:type="paragraph" w:customStyle="1" w:styleId="147">
    <w:name w:val="xl76"/>
    <w:basedOn w:val="1"/>
    <w:qFormat/>
    <w:uiPriority w:val="0"/>
    <w:pPr>
      <w:pBdr>
        <w:top w:val="single" w:color="auto" w:sz="4" w:space="0"/>
        <w:left w:val="single" w:color="auto" w:sz="4" w:space="0"/>
        <w:bottom w:val="single" w:color="auto" w:sz="4" w:space="0"/>
        <w:right w:val="single" w:color="auto" w:sz="4" w:space="0"/>
      </w:pBdr>
      <w:shd w:val="clear" w:color="000000" w:fill="F2F2F2"/>
      <w:spacing w:beforeAutospacing="1" w:afterAutospacing="1"/>
      <w:jc w:val="center"/>
      <w:textAlignment w:val="center"/>
    </w:pPr>
    <w:rPr>
      <w:color w:val="000000"/>
      <w:sz w:val="24"/>
    </w:rPr>
  </w:style>
  <w:style w:type="paragraph" w:customStyle="1" w:styleId="148">
    <w:name w:val="xl77"/>
    <w:basedOn w:val="1"/>
    <w:qFormat/>
    <w:uiPriority w:val="0"/>
    <w:pPr>
      <w:pBdr>
        <w:top w:val="single" w:color="auto" w:sz="4" w:space="0"/>
        <w:left w:val="single" w:color="auto" w:sz="4" w:space="0"/>
        <w:bottom w:val="single" w:color="auto" w:sz="4" w:space="0"/>
        <w:right w:val="single" w:color="auto" w:sz="4" w:space="0"/>
      </w:pBdr>
      <w:shd w:val="clear" w:color="000000" w:fill="F2F2F2"/>
      <w:spacing w:beforeAutospacing="1" w:afterAutospacing="1"/>
      <w:jc w:val="left"/>
      <w:textAlignment w:val="center"/>
    </w:pPr>
    <w:rPr>
      <w:color w:val="000000"/>
      <w:sz w:val="24"/>
    </w:rPr>
  </w:style>
  <w:style w:type="paragraph" w:customStyle="1" w:styleId="149">
    <w:name w:val="xl78"/>
    <w:basedOn w:val="1"/>
    <w:qFormat/>
    <w:uiPriority w:val="0"/>
    <w:pPr>
      <w:pBdr>
        <w:top w:val="single" w:color="auto" w:sz="4" w:space="0"/>
        <w:left w:val="single" w:color="auto" w:sz="4" w:space="0"/>
        <w:bottom w:val="single" w:color="auto" w:sz="4" w:space="0"/>
        <w:right w:val="single" w:color="auto" w:sz="4" w:space="0"/>
      </w:pBdr>
      <w:shd w:val="clear" w:color="000000" w:fill="E4DFEC"/>
      <w:spacing w:beforeAutospacing="1" w:afterAutospacing="1"/>
      <w:jc w:val="center"/>
      <w:textAlignment w:val="center"/>
    </w:pPr>
    <w:rPr>
      <w:b/>
      <w:bCs/>
      <w:color w:val="000000"/>
      <w:sz w:val="24"/>
    </w:rPr>
  </w:style>
  <w:style w:type="paragraph" w:customStyle="1" w:styleId="150">
    <w:name w:val="xl79"/>
    <w:basedOn w:val="1"/>
    <w:qFormat/>
    <w:uiPriority w:val="0"/>
    <w:pPr>
      <w:pBdr>
        <w:top w:val="single" w:color="auto" w:sz="4" w:space="0"/>
        <w:left w:val="single" w:color="auto" w:sz="4" w:space="0"/>
        <w:bottom w:val="single" w:color="auto" w:sz="4" w:space="0"/>
        <w:right w:val="single" w:color="auto" w:sz="4" w:space="0"/>
      </w:pBdr>
      <w:shd w:val="clear" w:color="000000" w:fill="E4DFEC"/>
      <w:spacing w:beforeAutospacing="1" w:afterAutospacing="1"/>
      <w:jc w:val="center"/>
      <w:textAlignment w:val="center"/>
    </w:pPr>
    <w:rPr>
      <w:color w:val="000000"/>
      <w:sz w:val="24"/>
    </w:rPr>
  </w:style>
  <w:style w:type="paragraph" w:customStyle="1" w:styleId="151">
    <w:name w:val="xl80"/>
    <w:basedOn w:val="1"/>
    <w:qFormat/>
    <w:uiPriority w:val="0"/>
    <w:pPr>
      <w:pBdr>
        <w:top w:val="single" w:color="auto" w:sz="4" w:space="0"/>
        <w:left w:val="single" w:color="auto" w:sz="4" w:space="0"/>
        <w:bottom w:val="single" w:color="auto" w:sz="4" w:space="0"/>
        <w:right w:val="single" w:color="auto" w:sz="4" w:space="0"/>
      </w:pBdr>
      <w:shd w:val="clear" w:color="000000" w:fill="E4DFEC"/>
      <w:spacing w:beforeAutospacing="1" w:afterAutospacing="1"/>
      <w:jc w:val="left"/>
      <w:textAlignment w:val="center"/>
    </w:pPr>
    <w:rPr>
      <w:color w:val="000000"/>
      <w:sz w:val="24"/>
    </w:rPr>
  </w:style>
  <w:style w:type="paragraph" w:customStyle="1" w:styleId="152">
    <w:name w:val="xl81"/>
    <w:basedOn w:val="1"/>
    <w:qFormat/>
    <w:uiPriority w:val="0"/>
    <w:pPr>
      <w:pBdr>
        <w:top w:val="single" w:color="auto" w:sz="4" w:space="0"/>
        <w:left w:val="single" w:color="auto" w:sz="4" w:space="0"/>
        <w:bottom w:val="single" w:color="auto" w:sz="4" w:space="0"/>
        <w:right w:val="single" w:color="auto" w:sz="4" w:space="0"/>
      </w:pBdr>
      <w:shd w:val="clear" w:color="000000" w:fill="E4DFEC"/>
      <w:spacing w:beforeAutospacing="1" w:afterAutospacing="1"/>
      <w:jc w:val="center"/>
      <w:textAlignment w:val="center"/>
    </w:pPr>
    <w:rPr>
      <w:color w:val="000000"/>
      <w:sz w:val="24"/>
    </w:rPr>
  </w:style>
  <w:style w:type="paragraph" w:customStyle="1" w:styleId="153">
    <w:name w:val="xl82"/>
    <w:basedOn w:val="1"/>
    <w:qFormat/>
    <w:uiPriority w:val="0"/>
    <w:pPr>
      <w:pBdr>
        <w:top w:val="single" w:color="auto" w:sz="4" w:space="0"/>
        <w:left w:val="single" w:color="auto" w:sz="4" w:space="0"/>
        <w:bottom w:val="single" w:color="auto" w:sz="4" w:space="0"/>
        <w:right w:val="single" w:color="auto" w:sz="4" w:space="0"/>
      </w:pBdr>
      <w:shd w:val="clear" w:color="000000" w:fill="E4DFEC"/>
      <w:spacing w:beforeAutospacing="1" w:afterAutospacing="1"/>
      <w:jc w:val="center"/>
    </w:pPr>
    <w:rPr>
      <w:color w:val="000000"/>
      <w:sz w:val="24"/>
    </w:rPr>
  </w:style>
  <w:style w:type="paragraph" w:customStyle="1" w:styleId="154">
    <w:name w:val="xl83"/>
    <w:basedOn w:val="1"/>
    <w:qFormat/>
    <w:uiPriority w:val="0"/>
    <w:pPr>
      <w:pBdr>
        <w:top w:val="single" w:color="auto" w:sz="4" w:space="0"/>
        <w:left w:val="single" w:color="auto" w:sz="4" w:space="0"/>
        <w:bottom w:val="single" w:color="auto" w:sz="4" w:space="0"/>
        <w:right w:val="single" w:color="auto" w:sz="4" w:space="0"/>
      </w:pBdr>
      <w:shd w:val="clear" w:color="000000" w:fill="FFFF00"/>
      <w:spacing w:beforeAutospacing="1" w:afterAutospacing="1"/>
      <w:jc w:val="center"/>
      <w:textAlignment w:val="center"/>
    </w:pPr>
    <w:rPr>
      <w:b/>
      <w:bCs/>
      <w:color w:val="000000"/>
      <w:sz w:val="24"/>
    </w:rPr>
  </w:style>
  <w:style w:type="paragraph" w:customStyle="1" w:styleId="155">
    <w:name w:val="xl84"/>
    <w:basedOn w:val="1"/>
    <w:qFormat/>
    <w:uiPriority w:val="0"/>
    <w:pPr>
      <w:pBdr>
        <w:top w:val="single" w:color="auto" w:sz="4" w:space="0"/>
        <w:left w:val="single" w:color="auto" w:sz="4" w:space="0"/>
        <w:bottom w:val="single" w:color="auto" w:sz="4" w:space="0"/>
        <w:right w:val="single" w:color="auto" w:sz="4" w:space="0"/>
      </w:pBdr>
      <w:shd w:val="clear" w:color="000000" w:fill="D9D9D9"/>
      <w:spacing w:beforeAutospacing="1" w:afterAutospacing="1"/>
      <w:jc w:val="left"/>
    </w:pPr>
    <w:rPr>
      <w:color w:val="000000"/>
      <w:sz w:val="24"/>
    </w:rPr>
  </w:style>
  <w:style w:type="paragraph" w:customStyle="1" w:styleId="156">
    <w:name w:val="xl85"/>
    <w:basedOn w:val="1"/>
    <w:qFormat/>
    <w:uiPriority w:val="0"/>
    <w:pPr>
      <w:pBdr>
        <w:top w:val="single" w:color="auto" w:sz="4" w:space="0"/>
        <w:left w:val="single" w:color="auto" w:sz="4" w:space="0"/>
        <w:bottom w:val="single" w:color="auto" w:sz="4" w:space="0"/>
        <w:right w:val="single" w:color="auto" w:sz="4" w:space="0"/>
      </w:pBdr>
      <w:shd w:val="clear" w:color="000000" w:fill="D9D9D9"/>
      <w:spacing w:beforeAutospacing="1" w:afterAutospacing="1"/>
      <w:jc w:val="left"/>
    </w:pPr>
    <w:rPr>
      <w:color w:val="000000"/>
      <w:sz w:val="24"/>
    </w:rPr>
  </w:style>
  <w:style w:type="paragraph" w:customStyle="1" w:styleId="157">
    <w:name w:val="xl86"/>
    <w:basedOn w:val="1"/>
    <w:qFormat/>
    <w:uiPriority w:val="0"/>
    <w:pPr>
      <w:pBdr>
        <w:top w:val="single" w:color="auto" w:sz="4" w:space="0"/>
        <w:left w:val="single" w:color="auto" w:sz="4" w:space="0"/>
        <w:bottom w:val="single" w:color="auto" w:sz="4" w:space="0"/>
        <w:right w:val="single" w:color="auto" w:sz="4" w:space="0"/>
      </w:pBdr>
      <w:shd w:val="clear" w:color="000000" w:fill="DCE6F1"/>
      <w:spacing w:beforeAutospacing="1" w:afterAutospacing="1"/>
      <w:jc w:val="left"/>
    </w:pPr>
    <w:rPr>
      <w:color w:val="000000"/>
      <w:sz w:val="24"/>
    </w:rPr>
  </w:style>
  <w:style w:type="paragraph" w:customStyle="1" w:styleId="158">
    <w:name w:val="xl87"/>
    <w:basedOn w:val="1"/>
    <w:qFormat/>
    <w:uiPriority w:val="0"/>
    <w:pPr>
      <w:spacing w:beforeAutospacing="1" w:afterAutospacing="1"/>
      <w:jc w:val="left"/>
    </w:pPr>
    <w:rPr>
      <w:sz w:val="24"/>
    </w:rPr>
  </w:style>
  <w:style w:type="paragraph" w:customStyle="1" w:styleId="159">
    <w:name w:val="xl88"/>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b/>
      <w:bCs/>
      <w:color w:val="000000"/>
      <w:sz w:val="24"/>
    </w:rPr>
  </w:style>
  <w:style w:type="paragraph" w:customStyle="1" w:styleId="160">
    <w:name w:val="xl89"/>
    <w:basedOn w:val="1"/>
    <w:qFormat/>
    <w:uiPriority w:val="0"/>
    <w:pPr>
      <w:pBdr>
        <w:top w:val="single" w:color="auto" w:sz="4" w:space="0"/>
        <w:left w:val="single" w:color="auto" w:sz="4" w:space="0"/>
        <w:bottom w:val="single" w:color="auto" w:sz="4" w:space="0"/>
        <w:right w:val="single" w:color="auto" w:sz="4" w:space="0"/>
      </w:pBdr>
      <w:shd w:val="clear" w:color="000000" w:fill="CCFFFF"/>
      <w:spacing w:beforeAutospacing="1" w:afterAutospacing="1"/>
      <w:jc w:val="center"/>
      <w:textAlignment w:val="center"/>
    </w:pPr>
    <w:rPr>
      <w:b/>
      <w:bCs/>
      <w:color w:val="000000"/>
      <w:sz w:val="24"/>
    </w:rPr>
  </w:style>
  <w:style w:type="paragraph" w:customStyle="1" w:styleId="161">
    <w:name w:val="Bulleted Items--Level 2"/>
    <w:basedOn w:val="1"/>
    <w:qFormat/>
    <w:uiPriority w:val="0"/>
    <w:pPr>
      <w:numPr>
        <w:ilvl w:val="0"/>
        <w:numId w:val="12"/>
      </w:numPr>
      <w:tabs>
        <w:tab w:val="left" w:pos="1771"/>
        <w:tab w:val="left" w:pos="2520"/>
        <w:tab w:val="clear" w:pos="360"/>
      </w:tabs>
      <w:spacing w:line="280" w:lineRule="exact"/>
      <w:ind w:left="2520" w:firstLine="0"/>
    </w:pPr>
    <w:rPr>
      <w:color w:val="000000"/>
      <w:sz w:val="22"/>
      <w:szCs w:val="20"/>
      <w:lang w:eastAsia="en-US"/>
    </w:rPr>
  </w:style>
  <w:style w:type="paragraph" w:customStyle="1" w:styleId="162">
    <w:name w:val="xl90"/>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left"/>
      <w:textAlignment w:val="center"/>
    </w:pPr>
    <w:rPr>
      <w:rFonts w:ascii="仿宋_GB2312" w:eastAsia="仿宋_GB2312"/>
      <w:sz w:val="22"/>
      <w:szCs w:val="22"/>
    </w:rPr>
  </w:style>
  <w:style w:type="paragraph" w:customStyle="1" w:styleId="163">
    <w:name w:val="xl91"/>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left"/>
      <w:textAlignment w:val="center"/>
    </w:pPr>
    <w:rPr>
      <w:rFonts w:ascii="仿宋_GB2312" w:eastAsia="仿宋_GB2312"/>
      <w:color w:val="000000"/>
      <w:sz w:val="22"/>
      <w:szCs w:val="22"/>
    </w:rPr>
  </w:style>
  <w:style w:type="paragraph" w:customStyle="1" w:styleId="164">
    <w:name w:val="xl92"/>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left"/>
      <w:textAlignment w:val="center"/>
    </w:pPr>
    <w:rPr>
      <w:rFonts w:ascii="仿宋_GB2312" w:eastAsia="仿宋_GB2312"/>
      <w:sz w:val="20"/>
      <w:szCs w:val="20"/>
    </w:rPr>
  </w:style>
  <w:style w:type="paragraph" w:customStyle="1" w:styleId="165">
    <w:name w:val="xl93"/>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rFonts w:ascii="仿宋_GB2312" w:eastAsia="仿宋_GB2312"/>
      <w:sz w:val="22"/>
      <w:szCs w:val="22"/>
    </w:rPr>
  </w:style>
  <w:style w:type="paragraph" w:customStyle="1" w:styleId="166">
    <w:name w:val="xl94"/>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sz w:val="22"/>
      <w:szCs w:val="22"/>
    </w:rPr>
  </w:style>
  <w:style w:type="paragraph" w:customStyle="1" w:styleId="167">
    <w:name w:val="xl95"/>
    <w:basedOn w:val="1"/>
    <w:qFormat/>
    <w:uiPriority w:val="0"/>
    <w:pPr>
      <w:pBdr>
        <w:top w:val="single" w:color="auto" w:sz="4" w:space="0"/>
        <w:left w:val="single" w:color="auto" w:sz="4" w:space="0"/>
        <w:bottom w:val="single" w:color="auto" w:sz="4" w:space="0"/>
        <w:right w:val="single" w:color="auto" w:sz="4" w:space="0"/>
      </w:pBdr>
      <w:shd w:val="clear" w:color="000000" w:fill="99CC00"/>
      <w:spacing w:beforeAutospacing="1" w:afterAutospacing="1"/>
      <w:jc w:val="center"/>
      <w:textAlignment w:val="center"/>
    </w:pPr>
    <w:rPr>
      <w:sz w:val="22"/>
      <w:szCs w:val="22"/>
    </w:rPr>
  </w:style>
  <w:style w:type="paragraph" w:customStyle="1" w:styleId="168">
    <w:name w:val="xl96"/>
    <w:basedOn w:val="1"/>
    <w:qFormat/>
    <w:uiPriority w:val="0"/>
    <w:pPr>
      <w:pBdr>
        <w:top w:val="single" w:color="auto" w:sz="4" w:space="0"/>
        <w:left w:val="single" w:color="auto" w:sz="4" w:space="0"/>
        <w:bottom w:val="single" w:color="auto" w:sz="4" w:space="0"/>
        <w:right w:val="single" w:color="auto" w:sz="4" w:space="0"/>
      </w:pBdr>
      <w:shd w:val="clear" w:color="000000" w:fill="FFFF00"/>
      <w:spacing w:beforeAutospacing="1" w:afterAutospacing="1"/>
      <w:jc w:val="center"/>
      <w:textAlignment w:val="center"/>
    </w:pPr>
    <w:rPr>
      <w:sz w:val="22"/>
      <w:szCs w:val="22"/>
    </w:rPr>
  </w:style>
  <w:style w:type="paragraph" w:customStyle="1" w:styleId="169">
    <w:name w:val="xl97"/>
    <w:basedOn w:val="1"/>
    <w:qFormat/>
    <w:uiPriority w:val="0"/>
    <w:pPr>
      <w:pBdr>
        <w:top w:val="single" w:color="auto" w:sz="4" w:space="0"/>
        <w:left w:val="single" w:color="auto" w:sz="4" w:space="0"/>
        <w:bottom w:val="single" w:color="auto" w:sz="4" w:space="0"/>
        <w:right w:val="single" w:color="auto" w:sz="4" w:space="0"/>
      </w:pBdr>
      <w:shd w:val="clear" w:color="000000" w:fill="FF99CC"/>
      <w:spacing w:beforeAutospacing="1" w:afterAutospacing="1"/>
      <w:jc w:val="center"/>
      <w:textAlignment w:val="center"/>
    </w:pPr>
    <w:rPr>
      <w:sz w:val="22"/>
      <w:szCs w:val="22"/>
    </w:rPr>
  </w:style>
  <w:style w:type="paragraph" w:customStyle="1" w:styleId="170">
    <w:name w:val="xl98"/>
    <w:basedOn w:val="1"/>
    <w:qFormat/>
    <w:uiPriority w:val="0"/>
    <w:pPr>
      <w:pBdr>
        <w:top w:val="single" w:color="auto" w:sz="4" w:space="0"/>
        <w:left w:val="single" w:color="auto" w:sz="4" w:space="0"/>
        <w:bottom w:val="single" w:color="auto" w:sz="4" w:space="0"/>
        <w:right w:val="single" w:color="auto" w:sz="4" w:space="0"/>
      </w:pBdr>
      <w:shd w:val="clear" w:color="000000" w:fill="FF6600"/>
      <w:spacing w:beforeAutospacing="1" w:afterAutospacing="1"/>
      <w:jc w:val="center"/>
      <w:textAlignment w:val="center"/>
    </w:pPr>
    <w:rPr>
      <w:sz w:val="22"/>
      <w:szCs w:val="22"/>
    </w:rPr>
  </w:style>
  <w:style w:type="paragraph" w:customStyle="1" w:styleId="171">
    <w:name w:val="xl99"/>
    <w:basedOn w:val="1"/>
    <w:qFormat/>
    <w:uiPriority w:val="0"/>
    <w:pPr>
      <w:pBdr>
        <w:top w:val="single" w:color="auto" w:sz="4" w:space="0"/>
        <w:left w:val="single" w:color="auto" w:sz="4" w:space="0"/>
        <w:bottom w:val="single" w:color="auto" w:sz="4" w:space="0"/>
        <w:right w:val="single" w:color="auto" w:sz="4" w:space="0"/>
      </w:pBdr>
      <w:shd w:val="clear" w:color="000000" w:fill="3366FF"/>
      <w:spacing w:beforeAutospacing="1" w:afterAutospacing="1"/>
      <w:jc w:val="center"/>
      <w:textAlignment w:val="center"/>
    </w:pPr>
    <w:rPr>
      <w:sz w:val="22"/>
      <w:szCs w:val="22"/>
    </w:rPr>
  </w:style>
  <w:style w:type="paragraph" w:customStyle="1" w:styleId="172">
    <w:name w:val="xl100"/>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left"/>
      <w:textAlignment w:val="center"/>
    </w:pPr>
    <w:rPr>
      <w:rFonts w:ascii="仿宋_GB2312" w:eastAsia="仿宋_GB2312"/>
      <w:color w:val="FF0000"/>
      <w:sz w:val="22"/>
      <w:szCs w:val="22"/>
    </w:rPr>
  </w:style>
  <w:style w:type="paragraph" w:customStyle="1" w:styleId="173">
    <w:name w:val="xl101"/>
    <w:basedOn w:val="1"/>
    <w:qFormat/>
    <w:uiPriority w:val="0"/>
    <w:pPr>
      <w:spacing w:beforeAutospacing="1" w:afterAutospacing="1"/>
      <w:jc w:val="left"/>
      <w:textAlignment w:val="center"/>
    </w:pPr>
    <w:rPr>
      <w:color w:val="FF0000"/>
      <w:sz w:val="20"/>
      <w:szCs w:val="20"/>
    </w:rPr>
  </w:style>
  <w:style w:type="paragraph" w:customStyle="1" w:styleId="174">
    <w:name w:val="xl102"/>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Autospacing="1" w:afterAutospacing="1"/>
      <w:jc w:val="left"/>
      <w:textAlignment w:val="center"/>
    </w:pPr>
    <w:rPr>
      <w:rFonts w:ascii="仿宋_GB2312" w:eastAsia="仿宋_GB2312"/>
      <w:color w:val="FF0000"/>
      <w:sz w:val="22"/>
      <w:szCs w:val="22"/>
    </w:rPr>
  </w:style>
  <w:style w:type="paragraph" w:customStyle="1" w:styleId="175">
    <w:name w:val="xl103"/>
    <w:basedOn w:val="1"/>
    <w:qFormat/>
    <w:uiPriority w:val="0"/>
    <w:pPr>
      <w:spacing w:beforeAutospacing="1" w:afterAutospacing="1"/>
      <w:jc w:val="left"/>
      <w:textAlignment w:val="center"/>
    </w:pPr>
    <w:rPr>
      <w:color w:val="FF0000"/>
      <w:sz w:val="22"/>
      <w:szCs w:val="22"/>
    </w:rPr>
  </w:style>
  <w:style w:type="paragraph" w:customStyle="1" w:styleId="176">
    <w:name w:val="xl104"/>
    <w:basedOn w:val="1"/>
    <w:qFormat/>
    <w:uiPriority w:val="0"/>
    <w:pPr>
      <w:spacing w:beforeAutospacing="1" w:afterAutospacing="1"/>
      <w:jc w:val="center"/>
    </w:pPr>
    <w:rPr>
      <w:sz w:val="24"/>
    </w:rPr>
  </w:style>
  <w:style w:type="paragraph" w:customStyle="1" w:styleId="177">
    <w:name w:val="xl105"/>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rFonts w:ascii="仿宋_GB2312" w:eastAsia="仿宋_GB2312"/>
      <w:b/>
      <w:bCs/>
      <w:sz w:val="18"/>
      <w:szCs w:val="18"/>
    </w:rPr>
  </w:style>
  <w:style w:type="paragraph" w:customStyle="1" w:styleId="178">
    <w:name w:val="xl106"/>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rFonts w:ascii="Courier New" w:hAnsi="Courier New" w:cs="Courier New"/>
      <w:sz w:val="22"/>
      <w:szCs w:val="22"/>
    </w:rPr>
  </w:style>
  <w:style w:type="paragraph" w:customStyle="1" w:styleId="179">
    <w:name w:val="xl107"/>
    <w:basedOn w:val="1"/>
    <w:qFormat/>
    <w:uiPriority w:val="0"/>
    <w:pPr>
      <w:pBdr>
        <w:top w:val="single" w:color="auto" w:sz="4" w:space="0"/>
        <w:left w:val="single" w:color="auto" w:sz="4" w:space="0"/>
        <w:bottom w:val="single" w:color="auto" w:sz="4" w:space="0"/>
        <w:right w:val="single" w:color="auto" w:sz="4" w:space="0"/>
      </w:pBdr>
      <w:shd w:val="clear" w:color="000000" w:fill="FFFF00"/>
      <w:spacing w:beforeAutospacing="1" w:afterAutospacing="1"/>
      <w:jc w:val="center"/>
      <w:textAlignment w:val="center"/>
    </w:pPr>
    <w:rPr>
      <w:rFonts w:ascii="Courier New" w:hAnsi="Courier New" w:cs="Courier New"/>
      <w:sz w:val="22"/>
      <w:szCs w:val="22"/>
    </w:rPr>
  </w:style>
  <w:style w:type="paragraph" w:customStyle="1" w:styleId="180">
    <w:name w:val="xl108"/>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pPr>
    <w:rPr>
      <w:rFonts w:ascii="Courier New" w:hAnsi="Courier New" w:cs="Courier New"/>
      <w:sz w:val="22"/>
      <w:szCs w:val="22"/>
    </w:rPr>
  </w:style>
  <w:style w:type="paragraph" w:customStyle="1" w:styleId="181">
    <w:name w:val="xl109"/>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rFonts w:ascii="Courier New" w:hAnsi="Courier New" w:cs="Courier New"/>
      <w:color w:val="FF0000"/>
      <w:sz w:val="22"/>
      <w:szCs w:val="22"/>
    </w:rPr>
  </w:style>
  <w:style w:type="paragraph" w:customStyle="1" w:styleId="182">
    <w:name w:val="xl110"/>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rFonts w:ascii="仿宋_GB2312" w:eastAsia="仿宋_GB2312"/>
      <w:color w:val="000000"/>
      <w:sz w:val="22"/>
      <w:szCs w:val="22"/>
    </w:rPr>
  </w:style>
  <w:style w:type="paragraph" w:customStyle="1" w:styleId="183">
    <w:name w:val="xl111"/>
    <w:basedOn w:val="1"/>
    <w:qFormat/>
    <w:uiPriority w:val="0"/>
    <w:pPr>
      <w:pBdr>
        <w:top w:val="single" w:color="auto" w:sz="4" w:space="0"/>
        <w:left w:val="single" w:color="auto" w:sz="4" w:space="0"/>
        <w:bottom w:val="single" w:color="auto" w:sz="4" w:space="0"/>
        <w:right w:val="single" w:color="auto" w:sz="4" w:space="0"/>
      </w:pBdr>
      <w:shd w:val="clear" w:color="000000" w:fill="99CC00"/>
      <w:spacing w:beforeAutospacing="1" w:afterAutospacing="1"/>
      <w:jc w:val="center"/>
      <w:textAlignment w:val="center"/>
    </w:pPr>
    <w:rPr>
      <w:rFonts w:ascii="仿宋_GB2312" w:eastAsia="仿宋_GB2312"/>
      <w:sz w:val="22"/>
      <w:szCs w:val="22"/>
    </w:rPr>
  </w:style>
  <w:style w:type="paragraph" w:customStyle="1" w:styleId="184">
    <w:name w:val="xl112"/>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color w:val="FF0000"/>
      <w:sz w:val="20"/>
      <w:szCs w:val="20"/>
    </w:rPr>
  </w:style>
  <w:style w:type="paragraph" w:customStyle="1" w:styleId="185">
    <w:name w:val="xl113"/>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sz w:val="20"/>
      <w:szCs w:val="20"/>
    </w:rPr>
  </w:style>
  <w:style w:type="paragraph" w:customStyle="1" w:styleId="186">
    <w:name w:val="xl114"/>
    <w:basedOn w:val="1"/>
    <w:qFormat/>
    <w:uiPriority w:val="0"/>
    <w:pPr>
      <w:pBdr>
        <w:top w:val="single" w:color="auto" w:sz="4" w:space="0"/>
        <w:left w:val="single" w:color="auto" w:sz="4" w:space="0"/>
        <w:bottom w:val="single" w:color="auto" w:sz="4" w:space="0"/>
        <w:right w:val="single" w:color="auto" w:sz="4" w:space="0"/>
      </w:pBdr>
      <w:shd w:val="clear" w:color="000000" w:fill="FF99CC"/>
      <w:spacing w:beforeAutospacing="1" w:afterAutospacing="1"/>
      <w:jc w:val="center"/>
      <w:textAlignment w:val="center"/>
    </w:pPr>
    <w:rPr>
      <w:rFonts w:ascii="仿宋_GB2312" w:eastAsia="仿宋_GB2312"/>
      <w:sz w:val="22"/>
      <w:szCs w:val="22"/>
    </w:rPr>
  </w:style>
  <w:style w:type="paragraph" w:customStyle="1" w:styleId="187">
    <w:name w:val="xl115"/>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rFonts w:ascii="仿宋_GB2312" w:eastAsia="仿宋_GB2312"/>
      <w:color w:val="FF0000"/>
      <w:sz w:val="22"/>
      <w:szCs w:val="22"/>
    </w:rPr>
  </w:style>
  <w:style w:type="paragraph" w:customStyle="1" w:styleId="188">
    <w:name w:val="xl116"/>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rFonts w:ascii="仿宋_GB2312" w:eastAsia="仿宋_GB2312"/>
      <w:color w:val="FF0000"/>
      <w:sz w:val="22"/>
      <w:szCs w:val="22"/>
    </w:rPr>
  </w:style>
  <w:style w:type="paragraph" w:customStyle="1" w:styleId="189">
    <w:name w:val="xl117"/>
    <w:basedOn w:val="1"/>
    <w:qFormat/>
    <w:uiPriority w:val="0"/>
    <w:pPr>
      <w:pBdr>
        <w:top w:val="single" w:color="auto" w:sz="4" w:space="0"/>
        <w:left w:val="single" w:color="auto" w:sz="4" w:space="0"/>
        <w:bottom w:val="single" w:color="auto" w:sz="4" w:space="0"/>
        <w:right w:val="single" w:color="auto" w:sz="4" w:space="0"/>
      </w:pBdr>
      <w:shd w:val="clear" w:color="000000" w:fill="FF99CC"/>
      <w:spacing w:beforeAutospacing="1" w:afterAutospacing="1"/>
      <w:jc w:val="center"/>
      <w:textAlignment w:val="center"/>
    </w:pPr>
    <w:rPr>
      <w:rFonts w:ascii="仿宋_GB2312" w:eastAsia="仿宋_GB2312"/>
      <w:color w:val="FF0000"/>
      <w:sz w:val="22"/>
      <w:szCs w:val="22"/>
    </w:rPr>
  </w:style>
  <w:style w:type="paragraph" w:customStyle="1" w:styleId="190">
    <w:name w:val="xl118"/>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color w:val="FF0000"/>
      <w:sz w:val="20"/>
      <w:szCs w:val="20"/>
    </w:rPr>
  </w:style>
  <w:style w:type="paragraph" w:customStyle="1" w:styleId="191">
    <w:name w:val="xl119"/>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rFonts w:ascii="仿宋_GB2312" w:eastAsia="仿宋_GB2312"/>
      <w:sz w:val="22"/>
      <w:szCs w:val="22"/>
    </w:rPr>
  </w:style>
  <w:style w:type="paragraph" w:customStyle="1" w:styleId="192">
    <w:name w:val="xl120"/>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pPr>
    <w:rPr>
      <w:rFonts w:ascii="仿宋_GB2312" w:eastAsia="仿宋_GB2312"/>
      <w:sz w:val="22"/>
      <w:szCs w:val="22"/>
    </w:rPr>
  </w:style>
  <w:style w:type="paragraph" w:customStyle="1" w:styleId="193">
    <w:name w:val="xl121"/>
    <w:basedOn w:val="1"/>
    <w:qFormat/>
    <w:uiPriority w:val="0"/>
    <w:pPr>
      <w:pBdr>
        <w:top w:val="single" w:color="auto" w:sz="4" w:space="0"/>
        <w:left w:val="single" w:color="auto" w:sz="4" w:space="0"/>
        <w:bottom w:val="single" w:color="auto" w:sz="4" w:space="0"/>
        <w:right w:val="single" w:color="auto" w:sz="4" w:space="0"/>
      </w:pBdr>
      <w:shd w:val="clear" w:color="000000" w:fill="FF99CC"/>
      <w:spacing w:beforeAutospacing="1" w:afterAutospacing="1"/>
      <w:jc w:val="center"/>
      <w:textAlignment w:val="center"/>
    </w:pPr>
    <w:rPr>
      <w:rFonts w:ascii="Courier New" w:hAnsi="Courier New" w:cs="Courier New"/>
      <w:sz w:val="22"/>
      <w:szCs w:val="22"/>
    </w:rPr>
  </w:style>
  <w:style w:type="paragraph" w:customStyle="1" w:styleId="194">
    <w:name w:val="xl122"/>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rFonts w:ascii="仿宋_GB2312" w:eastAsia="仿宋_GB2312"/>
      <w:sz w:val="22"/>
      <w:szCs w:val="22"/>
    </w:rPr>
  </w:style>
  <w:style w:type="paragraph" w:customStyle="1" w:styleId="195">
    <w:name w:val="xl123"/>
    <w:basedOn w:val="1"/>
    <w:qFormat/>
    <w:uiPriority w:val="0"/>
    <w:pPr>
      <w:pBdr>
        <w:top w:val="single" w:color="auto" w:sz="4" w:space="0"/>
        <w:left w:val="single" w:color="auto" w:sz="4" w:space="0"/>
        <w:bottom w:val="single" w:color="auto" w:sz="4" w:space="0"/>
        <w:right w:val="single" w:color="auto" w:sz="4" w:space="0"/>
      </w:pBdr>
      <w:shd w:val="clear" w:color="000000" w:fill="FF6600"/>
      <w:spacing w:beforeAutospacing="1" w:afterAutospacing="1"/>
      <w:jc w:val="center"/>
      <w:textAlignment w:val="center"/>
    </w:pPr>
    <w:rPr>
      <w:rFonts w:ascii="仿宋_GB2312" w:eastAsia="仿宋_GB2312"/>
      <w:sz w:val="22"/>
      <w:szCs w:val="22"/>
    </w:rPr>
  </w:style>
  <w:style w:type="paragraph" w:customStyle="1" w:styleId="196">
    <w:name w:val="xl124"/>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pPr>
    <w:rPr>
      <w:rFonts w:ascii="仿宋_GB2312" w:eastAsia="仿宋_GB2312"/>
      <w:sz w:val="24"/>
    </w:rPr>
  </w:style>
  <w:style w:type="paragraph" w:customStyle="1" w:styleId="197">
    <w:name w:val="xl125"/>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sz w:val="22"/>
      <w:szCs w:val="22"/>
    </w:rPr>
  </w:style>
  <w:style w:type="paragraph" w:customStyle="1" w:styleId="198">
    <w:name w:val="xl126"/>
    <w:basedOn w:val="1"/>
    <w:qFormat/>
    <w:uiPriority w:val="0"/>
    <w:pPr>
      <w:pBdr>
        <w:top w:val="single" w:color="auto" w:sz="4" w:space="0"/>
        <w:left w:val="single" w:color="auto" w:sz="4" w:space="0"/>
        <w:bottom w:val="single" w:color="auto" w:sz="4" w:space="0"/>
        <w:right w:val="single" w:color="auto" w:sz="4" w:space="0"/>
      </w:pBdr>
      <w:shd w:val="clear" w:color="000000" w:fill="FF6600"/>
      <w:spacing w:beforeAutospacing="1" w:afterAutospacing="1"/>
      <w:jc w:val="center"/>
      <w:textAlignment w:val="center"/>
    </w:pPr>
    <w:rPr>
      <w:rFonts w:ascii="仿宋_GB2312" w:eastAsia="仿宋_GB2312"/>
      <w:sz w:val="22"/>
      <w:szCs w:val="22"/>
    </w:rPr>
  </w:style>
  <w:style w:type="paragraph" w:customStyle="1" w:styleId="199">
    <w:name w:val="xl127"/>
    <w:basedOn w:val="1"/>
    <w:qFormat/>
    <w:uiPriority w:val="0"/>
    <w:pPr>
      <w:pBdr>
        <w:top w:val="single" w:color="auto" w:sz="4" w:space="0"/>
        <w:left w:val="single" w:color="auto" w:sz="4" w:space="0"/>
        <w:bottom w:val="single" w:color="auto" w:sz="4" w:space="0"/>
        <w:right w:val="single" w:color="auto" w:sz="4" w:space="0"/>
      </w:pBdr>
      <w:shd w:val="clear" w:color="000000" w:fill="3366FF"/>
      <w:spacing w:beforeAutospacing="1" w:afterAutospacing="1"/>
      <w:jc w:val="center"/>
      <w:textAlignment w:val="center"/>
    </w:pPr>
    <w:rPr>
      <w:rFonts w:ascii="仿宋_GB2312" w:eastAsia="仿宋_GB2312"/>
      <w:sz w:val="22"/>
      <w:szCs w:val="22"/>
    </w:rPr>
  </w:style>
  <w:style w:type="paragraph" w:customStyle="1" w:styleId="200">
    <w:name w:val="xl128"/>
    <w:basedOn w:val="1"/>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sz w:val="22"/>
      <w:szCs w:val="22"/>
    </w:rPr>
  </w:style>
  <w:style w:type="paragraph" w:customStyle="1" w:styleId="201">
    <w:name w:val="xl129"/>
    <w:basedOn w:val="1"/>
    <w:uiPriority w:val="0"/>
    <w:pPr>
      <w:pBdr>
        <w:top w:val="single" w:color="auto" w:sz="4" w:space="0"/>
        <w:left w:val="single" w:color="auto" w:sz="4" w:space="0"/>
        <w:bottom w:val="single" w:color="auto" w:sz="4" w:space="0"/>
        <w:right w:val="single" w:color="auto" w:sz="4" w:space="0"/>
      </w:pBdr>
      <w:shd w:val="clear" w:color="000000" w:fill="3366FF"/>
      <w:spacing w:beforeAutospacing="1" w:afterAutospacing="1"/>
      <w:jc w:val="center"/>
      <w:textAlignment w:val="center"/>
    </w:pPr>
    <w:rPr>
      <w:rFonts w:ascii="仿宋_GB2312" w:eastAsia="仿宋_GB2312"/>
      <w:color w:val="FF0000"/>
      <w:sz w:val="22"/>
      <w:szCs w:val="22"/>
    </w:rPr>
  </w:style>
  <w:style w:type="paragraph" w:customStyle="1" w:styleId="202">
    <w:name w:val="xl130"/>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color w:val="FF0000"/>
      <w:sz w:val="22"/>
      <w:szCs w:val="22"/>
    </w:rPr>
  </w:style>
  <w:style w:type="paragraph" w:customStyle="1" w:styleId="203">
    <w:name w:val="xl131"/>
    <w:basedOn w:val="1"/>
    <w:uiPriority w:val="0"/>
    <w:pPr>
      <w:pBdr>
        <w:top w:val="single" w:color="auto" w:sz="4" w:space="0"/>
        <w:left w:val="single" w:color="auto" w:sz="4" w:space="0"/>
        <w:bottom w:val="single" w:color="auto" w:sz="4" w:space="0"/>
      </w:pBdr>
      <w:spacing w:beforeAutospacing="1" w:afterAutospacing="1"/>
      <w:jc w:val="center"/>
      <w:textAlignment w:val="center"/>
    </w:pPr>
    <w:rPr>
      <w:rFonts w:ascii="黑体" w:hAnsi="黑体" w:eastAsia="黑体"/>
      <w:b/>
      <w:bCs/>
      <w:sz w:val="28"/>
      <w:szCs w:val="28"/>
    </w:rPr>
  </w:style>
  <w:style w:type="paragraph" w:customStyle="1" w:styleId="204">
    <w:name w:val="xl132"/>
    <w:basedOn w:val="1"/>
    <w:qFormat/>
    <w:uiPriority w:val="0"/>
    <w:pPr>
      <w:pBdr>
        <w:top w:val="single" w:color="auto" w:sz="4" w:space="0"/>
        <w:bottom w:val="single" w:color="auto" w:sz="4" w:space="0"/>
      </w:pBdr>
      <w:spacing w:beforeAutospacing="1" w:afterAutospacing="1"/>
      <w:jc w:val="center"/>
      <w:textAlignment w:val="center"/>
    </w:pPr>
    <w:rPr>
      <w:rFonts w:ascii="黑体" w:hAnsi="黑体" w:eastAsia="黑体"/>
      <w:b/>
      <w:bCs/>
      <w:sz w:val="28"/>
      <w:szCs w:val="28"/>
    </w:rPr>
  </w:style>
  <w:style w:type="paragraph" w:customStyle="1" w:styleId="205">
    <w:name w:val="xl133"/>
    <w:basedOn w:val="1"/>
    <w:qFormat/>
    <w:uiPriority w:val="0"/>
    <w:pPr>
      <w:pBdr>
        <w:top w:val="single" w:color="auto" w:sz="4" w:space="0"/>
        <w:bottom w:val="single" w:color="auto" w:sz="4" w:space="0"/>
        <w:right w:val="single" w:color="auto" w:sz="4" w:space="0"/>
      </w:pBdr>
      <w:spacing w:beforeAutospacing="1" w:afterAutospacing="1"/>
      <w:jc w:val="center"/>
      <w:textAlignment w:val="center"/>
    </w:pPr>
    <w:rPr>
      <w:rFonts w:ascii="黑体" w:hAnsi="黑体" w:eastAsia="黑体"/>
      <w:b/>
      <w:bCs/>
      <w:sz w:val="28"/>
      <w:szCs w:val="28"/>
    </w:rPr>
  </w:style>
  <w:style w:type="paragraph" w:customStyle="1" w:styleId="206">
    <w:name w:val="样式 首行缩进:  0 字符"/>
    <w:basedOn w:val="1"/>
    <w:qFormat/>
    <w:uiPriority w:val="0"/>
    <w:pPr>
      <w:ind w:firstLine="200" w:firstLineChars="200"/>
    </w:pPr>
    <w:rPr>
      <w:sz w:val="24"/>
      <w:szCs w:val="20"/>
    </w:rPr>
  </w:style>
  <w:style w:type="paragraph" w:customStyle="1" w:styleId="207">
    <w:name w:val="5"/>
    <w:basedOn w:val="1"/>
    <w:qFormat/>
    <w:uiPriority w:val="0"/>
    <w:pPr>
      <w:ind w:firstLine="200" w:firstLineChars="200"/>
      <w:jc w:val="left"/>
    </w:pPr>
    <w:rPr>
      <w:sz w:val="24"/>
    </w:rPr>
  </w:style>
  <w:style w:type="paragraph" w:customStyle="1" w:styleId="208">
    <w:name w:val="正文1"/>
    <w:qFormat/>
    <w:uiPriority w:val="0"/>
    <w:pPr>
      <w:widowControl w:val="0"/>
      <w:adjustRightInd w:val="0"/>
      <w:spacing w:line="312" w:lineRule="atLeast"/>
      <w:jc w:val="both"/>
      <w:textAlignment w:val="baseline"/>
    </w:pPr>
    <w:rPr>
      <w:rFonts w:ascii="宋体" w:hAnsi="Times New Roman" w:eastAsia="宋体" w:cs="Times New Roman"/>
      <w:sz w:val="28"/>
      <w:lang w:val="en-US" w:eastAsia="zh-CN" w:bidi="ar-SA"/>
    </w:rPr>
  </w:style>
  <w:style w:type="paragraph" w:customStyle="1" w:styleId="209">
    <w:name w:val="附件标题"/>
    <w:basedOn w:val="1"/>
    <w:qFormat/>
    <w:uiPriority w:val="0"/>
    <w:pPr>
      <w:ind w:firstLine="200" w:firstLineChars="200"/>
      <w:jc w:val="center"/>
    </w:pPr>
    <w:rPr>
      <w:rFonts w:ascii="Arial" w:hAnsi="Arial" w:eastAsia="黑体"/>
      <w:sz w:val="24"/>
    </w:rPr>
  </w:style>
  <w:style w:type="paragraph" w:customStyle="1" w:styleId="210">
    <w:name w:val="附件(1)"/>
    <w:basedOn w:val="1"/>
    <w:qFormat/>
    <w:uiPriority w:val="0"/>
    <w:pPr>
      <w:numPr>
        <w:ilvl w:val="0"/>
        <w:numId w:val="13"/>
      </w:numPr>
      <w:ind w:firstLine="200" w:firstLineChars="200"/>
    </w:pPr>
    <w:rPr>
      <w:sz w:val="24"/>
    </w:rPr>
  </w:style>
  <w:style w:type="paragraph" w:customStyle="1" w:styleId="211">
    <w:name w:val="附件1."/>
    <w:basedOn w:val="2"/>
    <w:qFormat/>
    <w:uiPriority w:val="0"/>
    <w:pPr>
      <w:tabs>
        <w:tab w:val="left" w:pos="360"/>
        <w:tab w:val="left" w:pos="420"/>
        <w:tab w:val="clear" w:pos="426"/>
      </w:tabs>
      <w:spacing w:before="0" w:after="0" w:line="360" w:lineRule="auto"/>
      <w:ind w:left="567" w:hanging="567"/>
      <w:jc w:val="both"/>
    </w:pPr>
    <w:rPr>
      <w:rFonts w:ascii="Times New Roman" w:hAnsi="Times New Roman" w:eastAsia="宋体"/>
      <w:b w:val="0"/>
      <w:sz w:val="24"/>
      <w:szCs w:val="44"/>
    </w:rPr>
  </w:style>
  <w:style w:type="paragraph" w:customStyle="1" w:styleId="212">
    <w:name w:val="附件圈"/>
    <w:basedOn w:val="210"/>
    <w:qFormat/>
    <w:uiPriority w:val="0"/>
    <w:pPr>
      <w:numPr>
        <w:numId w:val="0"/>
      </w:numPr>
      <w:tabs>
        <w:tab w:val="left" w:pos="420"/>
        <w:tab w:val="clear" w:pos="426"/>
      </w:tabs>
      <w:ind w:firstLine="420" w:firstLineChars="200"/>
    </w:pPr>
  </w:style>
  <w:style w:type="character" w:customStyle="1" w:styleId="213">
    <w:name w:val="正文文本缩进 2 Char"/>
    <w:link w:val="27"/>
    <w:qFormat/>
    <w:uiPriority w:val="0"/>
    <w:rPr>
      <w:rFonts w:ascii="宋体" w:hAnsi="宋体"/>
      <w:kern w:val="2"/>
      <w:sz w:val="21"/>
      <w:szCs w:val="24"/>
    </w:rPr>
  </w:style>
  <w:style w:type="character" w:customStyle="1" w:styleId="214">
    <w:name w:val="正文文本缩进 Char"/>
    <w:link w:val="21"/>
    <w:uiPriority w:val="0"/>
    <w:rPr>
      <w:kern w:val="2"/>
      <w:sz w:val="21"/>
      <w:szCs w:val="24"/>
    </w:rPr>
  </w:style>
  <w:style w:type="paragraph" w:customStyle="1" w:styleId="215">
    <w:name w:val="样式 标题 2H2Heading 2 HiddenHeading 2 CCBSheading 22nd levelh..."/>
    <w:basedOn w:val="5"/>
    <w:uiPriority w:val="0"/>
    <w:pPr>
      <w:adjustRightInd/>
      <w:spacing w:before="120" w:after="120"/>
      <w:ind w:left="576" w:hanging="576"/>
      <w:jc w:val="left"/>
      <w:textAlignment w:val="auto"/>
    </w:pPr>
    <w:rPr>
      <w:rFonts w:ascii="Arial" w:hAnsi="Arial" w:eastAsia="黑体" w:cs="宋体"/>
      <w:bCs/>
      <w:kern w:val="2"/>
      <w:sz w:val="28"/>
      <w:szCs w:val="28"/>
    </w:rPr>
  </w:style>
  <w:style w:type="paragraph" w:customStyle="1" w:styleId="216">
    <w:name w:val="样式 标题 2H2Heading 2 HiddenHeading 2 CCBSheading 22nd levelh...1"/>
    <w:basedOn w:val="5"/>
    <w:uiPriority w:val="0"/>
    <w:pPr>
      <w:adjustRightInd/>
      <w:spacing w:before="240" w:after="240"/>
      <w:ind w:left="576" w:hanging="576"/>
      <w:jc w:val="left"/>
      <w:textAlignment w:val="auto"/>
    </w:pPr>
    <w:rPr>
      <w:bCs/>
      <w:kern w:val="2"/>
      <w:sz w:val="28"/>
      <w:szCs w:val="28"/>
    </w:rPr>
  </w:style>
  <w:style w:type="character" w:customStyle="1" w:styleId="217">
    <w:name w:val="Default Char"/>
    <w:link w:val="80"/>
    <w:uiPriority w:val="0"/>
    <w:rPr>
      <w:rFonts w:ascii="宋体" w:hAnsi="Calibri"/>
      <w:color w:val="000000"/>
      <w:sz w:val="24"/>
      <w:szCs w:val="24"/>
      <w:lang w:bidi="ar-SA"/>
    </w:rPr>
  </w:style>
  <w:style w:type="paragraph" w:customStyle="1" w:styleId="218">
    <w:name w:val="CM51"/>
    <w:basedOn w:val="80"/>
    <w:next w:val="80"/>
    <w:uiPriority w:val="0"/>
    <w:pPr>
      <w:spacing w:after="103"/>
    </w:pPr>
    <w:rPr>
      <w:rFonts w:ascii="黑体" w:eastAsia="黑体"/>
      <w:color w:val="auto"/>
    </w:rPr>
  </w:style>
  <w:style w:type="paragraph" w:customStyle="1" w:styleId="219">
    <w:name w:val="pan"/>
    <w:basedOn w:val="78"/>
    <w:link w:val="220"/>
    <w:uiPriority w:val="0"/>
    <w:pPr>
      <w:numPr>
        <w:ilvl w:val="0"/>
        <w:numId w:val="14"/>
      </w:numPr>
      <w:tabs>
        <w:tab w:val="left" w:pos="840"/>
      </w:tabs>
      <w:ind w:left="840" w:hanging="420" w:firstLineChars="0"/>
      <w:outlineLvl w:val="0"/>
    </w:pPr>
    <w:rPr>
      <w:rFonts w:ascii="黑体" w:hAnsi="黑体" w:eastAsia="黑体"/>
      <w:sz w:val="32"/>
      <w:szCs w:val="32"/>
    </w:rPr>
  </w:style>
  <w:style w:type="character" w:customStyle="1" w:styleId="220">
    <w:name w:val="pan Char"/>
    <w:link w:val="219"/>
    <w:uiPriority w:val="0"/>
    <w:rPr>
      <w:rFonts w:ascii="黑体" w:hAnsi="黑体" w:eastAsia="黑体"/>
      <w:kern w:val="2"/>
      <w:sz w:val="32"/>
      <w:szCs w:val="32"/>
      <w:shd w:val="clear" w:color="auto" w:fill="FFFFFF"/>
    </w:rPr>
  </w:style>
  <w:style w:type="paragraph" w:customStyle="1" w:styleId="221">
    <w:name w:val="pan2"/>
    <w:basedOn w:val="78"/>
    <w:link w:val="222"/>
    <w:uiPriority w:val="0"/>
    <w:pPr>
      <w:numPr>
        <w:ilvl w:val="1"/>
        <w:numId w:val="14"/>
      </w:numPr>
      <w:tabs>
        <w:tab w:val="left" w:pos="840"/>
      </w:tabs>
      <w:ind w:left="840" w:hanging="420" w:firstLineChars="0"/>
      <w:outlineLvl w:val="1"/>
    </w:pPr>
    <w:rPr>
      <w:rFonts w:ascii="黑体" w:hAnsi="黑体" w:eastAsia="黑体"/>
      <w:sz w:val="30"/>
      <w:szCs w:val="30"/>
    </w:rPr>
  </w:style>
  <w:style w:type="character" w:customStyle="1" w:styleId="222">
    <w:name w:val="pan2 Char"/>
    <w:link w:val="221"/>
    <w:qFormat/>
    <w:uiPriority w:val="0"/>
    <w:rPr>
      <w:rFonts w:ascii="黑体" w:hAnsi="黑体" w:eastAsia="黑体"/>
      <w:kern w:val="2"/>
      <w:sz w:val="30"/>
      <w:szCs w:val="30"/>
      <w:shd w:val="clear" w:color="auto" w:fill="FFFFFF"/>
    </w:rPr>
  </w:style>
  <w:style w:type="paragraph" w:customStyle="1" w:styleId="223">
    <w:name w:val="pan3"/>
    <w:basedOn w:val="78"/>
    <w:link w:val="224"/>
    <w:qFormat/>
    <w:uiPriority w:val="0"/>
    <w:pPr>
      <w:numPr>
        <w:ilvl w:val="2"/>
        <w:numId w:val="14"/>
      </w:numPr>
      <w:tabs>
        <w:tab w:val="left" w:pos="1260"/>
      </w:tabs>
      <w:ind w:left="1260" w:hanging="420" w:firstLineChars="0"/>
      <w:outlineLvl w:val="2"/>
    </w:pPr>
    <w:rPr>
      <w:rFonts w:ascii="黑体" w:hAnsi="黑体" w:eastAsia="黑体"/>
      <w:sz w:val="28"/>
      <w:szCs w:val="28"/>
    </w:rPr>
  </w:style>
  <w:style w:type="character" w:customStyle="1" w:styleId="224">
    <w:name w:val="pan3 Char"/>
    <w:link w:val="223"/>
    <w:uiPriority w:val="0"/>
    <w:rPr>
      <w:rFonts w:ascii="黑体" w:hAnsi="黑体" w:eastAsia="黑体"/>
      <w:kern w:val="2"/>
      <w:sz w:val="28"/>
      <w:szCs w:val="28"/>
      <w:shd w:val="clear" w:color="auto" w:fill="FFFFFF"/>
    </w:rPr>
  </w:style>
  <w:style w:type="paragraph" w:customStyle="1" w:styleId="225">
    <w:name w:val="pan4"/>
    <w:basedOn w:val="78"/>
    <w:link w:val="226"/>
    <w:uiPriority w:val="0"/>
    <w:pPr>
      <w:numPr>
        <w:ilvl w:val="3"/>
        <w:numId w:val="14"/>
      </w:numPr>
      <w:tabs>
        <w:tab w:val="left" w:pos="1680"/>
      </w:tabs>
      <w:ind w:left="1680" w:hanging="420" w:firstLineChars="0"/>
      <w:outlineLvl w:val="3"/>
    </w:pPr>
    <w:rPr>
      <w:rFonts w:ascii="黑体" w:hAnsi="黑体" w:eastAsia="黑体"/>
      <w:sz w:val="28"/>
      <w:szCs w:val="28"/>
    </w:rPr>
  </w:style>
  <w:style w:type="character" w:customStyle="1" w:styleId="226">
    <w:name w:val="pan4 Char"/>
    <w:link w:val="225"/>
    <w:uiPriority w:val="0"/>
    <w:rPr>
      <w:rFonts w:ascii="黑体" w:hAnsi="黑体" w:eastAsia="黑体"/>
      <w:kern w:val="2"/>
      <w:sz w:val="28"/>
      <w:szCs w:val="28"/>
      <w:shd w:val="clear" w:color="auto" w:fill="FFFFFF"/>
    </w:rPr>
  </w:style>
  <w:style w:type="paragraph" w:customStyle="1" w:styleId="227">
    <w:name w:val="pan5"/>
    <w:basedOn w:val="78"/>
    <w:link w:val="228"/>
    <w:uiPriority w:val="0"/>
    <w:pPr>
      <w:numPr>
        <w:ilvl w:val="4"/>
        <w:numId w:val="14"/>
      </w:numPr>
      <w:tabs>
        <w:tab w:val="left" w:pos="1008"/>
      </w:tabs>
      <w:ind w:left="1008" w:hanging="1008" w:firstLineChars="0"/>
      <w:outlineLvl w:val="4"/>
    </w:pPr>
    <w:rPr>
      <w:rFonts w:ascii="黑体" w:hAnsi="黑体" w:eastAsia="黑体"/>
      <w:sz w:val="24"/>
    </w:rPr>
  </w:style>
  <w:style w:type="character" w:customStyle="1" w:styleId="228">
    <w:name w:val="pan5 Char"/>
    <w:link w:val="227"/>
    <w:qFormat/>
    <w:uiPriority w:val="0"/>
    <w:rPr>
      <w:rFonts w:ascii="黑体" w:hAnsi="黑体" w:eastAsia="黑体"/>
      <w:kern w:val="2"/>
      <w:sz w:val="24"/>
      <w:szCs w:val="24"/>
      <w:shd w:val="clear" w:color="auto" w:fill="FFFFFF"/>
    </w:rPr>
  </w:style>
  <w:style w:type="paragraph" w:customStyle="1" w:styleId="229">
    <w:name w:val="一级标题"/>
    <w:basedOn w:val="78"/>
    <w:link w:val="231"/>
    <w:uiPriority w:val="0"/>
    <w:pPr>
      <w:numPr>
        <w:ilvl w:val="0"/>
        <w:numId w:val="15"/>
      </w:numPr>
      <w:spacing w:line="720" w:lineRule="auto"/>
      <w:ind w:firstLineChars="0"/>
      <w:jc w:val="center"/>
      <w:outlineLvl w:val="0"/>
    </w:pPr>
    <w:rPr>
      <w:rFonts w:ascii="黑体" w:hAnsi="黑体" w:eastAsia="黑体"/>
      <w:sz w:val="44"/>
      <w:szCs w:val="44"/>
    </w:rPr>
  </w:style>
  <w:style w:type="paragraph" w:customStyle="1" w:styleId="230">
    <w:name w:val="二级标题"/>
    <w:basedOn w:val="78"/>
    <w:link w:val="233"/>
    <w:qFormat/>
    <w:uiPriority w:val="0"/>
    <w:pPr>
      <w:numPr>
        <w:ilvl w:val="1"/>
        <w:numId w:val="15"/>
      </w:numPr>
      <w:spacing w:line="720" w:lineRule="auto"/>
      <w:ind w:firstLineChars="0"/>
      <w:outlineLvl w:val="1"/>
    </w:pPr>
    <w:rPr>
      <w:rFonts w:ascii="黑体" w:hAnsi="黑体" w:eastAsia="黑体"/>
      <w:sz w:val="36"/>
      <w:szCs w:val="36"/>
    </w:rPr>
  </w:style>
  <w:style w:type="character" w:customStyle="1" w:styleId="231">
    <w:name w:val="一级标题 Char"/>
    <w:link w:val="229"/>
    <w:uiPriority w:val="0"/>
    <w:rPr>
      <w:rFonts w:ascii="黑体" w:hAnsi="黑体" w:eastAsia="黑体"/>
      <w:kern w:val="2"/>
      <w:sz w:val="44"/>
      <w:szCs w:val="44"/>
      <w:shd w:val="clear" w:color="auto" w:fill="FFFFFF"/>
    </w:rPr>
  </w:style>
  <w:style w:type="paragraph" w:customStyle="1" w:styleId="232">
    <w:name w:val="三级标题"/>
    <w:basedOn w:val="78"/>
    <w:link w:val="235"/>
    <w:qFormat/>
    <w:uiPriority w:val="0"/>
    <w:pPr>
      <w:numPr>
        <w:ilvl w:val="2"/>
        <w:numId w:val="15"/>
      </w:numPr>
      <w:spacing w:line="720" w:lineRule="auto"/>
      <w:ind w:firstLineChars="0"/>
      <w:outlineLvl w:val="2"/>
    </w:pPr>
    <w:rPr>
      <w:rFonts w:ascii="黑体" w:hAnsi="黑体" w:eastAsia="黑体"/>
      <w:sz w:val="32"/>
      <w:szCs w:val="32"/>
    </w:rPr>
  </w:style>
  <w:style w:type="character" w:customStyle="1" w:styleId="233">
    <w:name w:val="二级标题 Char"/>
    <w:link w:val="230"/>
    <w:qFormat/>
    <w:uiPriority w:val="0"/>
    <w:rPr>
      <w:rFonts w:ascii="黑体" w:hAnsi="黑体" w:eastAsia="黑体"/>
      <w:kern w:val="2"/>
      <w:sz w:val="36"/>
      <w:szCs w:val="36"/>
      <w:shd w:val="clear" w:color="auto" w:fill="FFFFFF"/>
    </w:rPr>
  </w:style>
  <w:style w:type="paragraph" w:customStyle="1" w:styleId="234">
    <w:name w:val="四级标题"/>
    <w:basedOn w:val="78"/>
    <w:link w:val="237"/>
    <w:qFormat/>
    <w:uiPriority w:val="0"/>
    <w:pPr>
      <w:numPr>
        <w:ilvl w:val="3"/>
        <w:numId w:val="15"/>
      </w:numPr>
      <w:spacing w:line="720" w:lineRule="auto"/>
      <w:ind w:firstLineChars="0"/>
      <w:outlineLvl w:val="3"/>
    </w:pPr>
    <w:rPr>
      <w:rFonts w:ascii="黑体" w:hAnsi="黑体" w:eastAsia="黑体"/>
      <w:sz w:val="30"/>
      <w:szCs w:val="30"/>
    </w:rPr>
  </w:style>
  <w:style w:type="character" w:customStyle="1" w:styleId="235">
    <w:name w:val="三级标题 Char"/>
    <w:link w:val="232"/>
    <w:qFormat/>
    <w:uiPriority w:val="0"/>
    <w:rPr>
      <w:rFonts w:ascii="黑体" w:hAnsi="黑体" w:eastAsia="黑体"/>
      <w:kern w:val="2"/>
      <w:sz w:val="32"/>
      <w:szCs w:val="32"/>
      <w:shd w:val="clear" w:color="auto" w:fill="FFFFFF"/>
    </w:rPr>
  </w:style>
  <w:style w:type="paragraph" w:customStyle="1" w:styleId="236">
    <w:name w:val="五级标题"/>
    <w:basedOn w:val="78"/>
    <w:link w:val="238"/>
    <w:qFormat/>
    <w:uiPriority w:val="0"/>
    <w:pPr>
      <w:numPr>
        <w:ilvl w:val="4"/>
        <w:numId w:val="15"/>
      </w:numPr>
      <w:spacing w:line="720" w:lineRule="auto"/>
      <w:ind w:firstLineChars="0"/>
      <w:outlineLvl w:val="4"/>
    </w:pPr>
    <w:rPr>
      <w:rFonts w:ascii="黑体" w:hAnsi="黑体" w:eastAsia="黑体"/>
      <w:sz w:val="28"/>
      <w:szCs w:val="28"/>
    </w:rPr>
  </w:style>
  <w:style w:type="character" w:customStyle="1" w:styleId="237">
    <w:name w:val="四级标题 Char"/>
    <w:link w:val="234"/>
    <w:qFormat/>
    <w:uiPriority w:val="0"/>
    <w:rPr>
      <w:rFonts w:ascii="黑体" w:hAnsi="黑体" w:eastAsia="黑体"/>
      <w:kern w:val="2"/>
      <w:sz w:val="30"/>
      <w:szCs w:val="30"/>
      <w:shd w:val="clear" w:color="auto" w:fill="FFFFFF"/>
    </w:rPr>
  </w:style>
  <w:style w:type="character" w:customStyle="1" w:styleId="238">
    <w:name w:val="五级标题 Char"/>
    <w:link w:val="236"/>
    <w:qFormat/>
    <w:uiPriority w:val="0"/>
    <w:rPr>
      <w:rFonts w:ascii="黑体" w:hAnsi="黑体" w:eastAsia="黑体"/>
      <w:kern w:val="2"/>
      <w:sz w:val="28"/>
      <w:szCs w:val="28"/>
      <w:shd w:val="clear" w:color="auto" w:fill="FFFFFF"/>
    </w:rPr>
  </w:style>
  <w:style w:type="paragraph" w:customStyle="1" w:styleId="239">
    <w:name w:val="图片"/>
    <w:basedOn w:val="1"/>
    <w:link w:val="241"/>
    <w:qFormat/>
    <w:uiPriority w:val="0"/>
    <w:pPr>
      <w:ind w:firstLine="200" w:firstLineChars="200"/>
      <w:jc w:val="center"/>
    </w:pPr>
    <w:rPr>
      <w:rFonts w:cs="Times New Roman"/>
      <w:kern w:val="2"/>
      <w:sz w:val="24"/>
    </w:rPr>
  </w:style>
  <w:style w:type="paragraph" w:customStyle="1" w:styleId="240">
    <w:name w:val="图片注释"/>
    <w:basedOn w:val="1"/>
    <w:link w:val="242"/>
    <w:qFormat/>
    <w:uiPriority w:val="0"/>
    <w:pPr>
      <w:spacing w:afterLines="25"/>
      <w:ind w:firstLine="200" w:firstLineChars="200"/>
      <w:jc w:val="center"/>
    </w:pPr>
    <w:rPr>
      <w:rFonts w:cs="Times New Roman"/>
      <w:kern w:val="2"/>
      <w:sz w:val="24"/>
      <w:u w:val="single"/>
    </w:rPr>
  </w:style>
  <w:style w:type="character" w:customStyle="1" w:styleId="241">
    <w:name w:val="图片 Char"/>
    <w:link w:val="239"/>
    <w:qFormat/>
    <w:uiPriority w:val="0"/>
    <w:rPr>
      <w:rFonts w:ascii="宋体" w:hAnsi="宋体"/>
      <w:kern w:val="2"/>
      <w:sz w:val="24"/>
      <w:szCs w:val="24"/>
    </w:rPr>
  </w:style>
  <w:style w:type="character" w:customStyle="1" w:styleId="242">
    <w:name w:val="图片注释 Char"/>
    <w:link w:val="240"/>
    <w:qFormat/>
    <w:uiPriority w:val="0"/>
    <w:rPr>
      <w:rFonts w:ascii="宋体" w:hAnsi="宋体"/>
      <w:kern w:val="2"/>
      <w:sz w:val="24"/>
      <w:szCs w:val="24"/>
      <w:u w:val="single"/>
    </w:rPr>
  </w:style>
  <w:style w:type="paragraph" w:customStyle="1" w:styleId="243">
    <w:name w:val="段内层标"/>
    <w:basedOn w:val="131"/>
    <w:link w:val="244"/>
    <w:qFormat/>
    <w:uiPriority w:val="0"/>
    <w:pPr>
      <w:numPr>
        <w:ilvl w:val="0"/>
        <w:numId w:val="16"/>
      </w:numPr>
      <w:spacing w:beforeLines="25" w:afterLines="25"/>
      <w:ind w:firstLine="200" w:firstLineChars="200"/>
    </w:pPr>
    <w:rPr>
      <w:rFonts w:ascii="宋体" w:hAnsi="宋体"/>
      <w:b/>
      <w:kern w:val="2"/>
      <w:sz w:val="28"/>
      <w:szCs w:val="28"/>
    </w:rPr>
  </w:style>
  <w:style w:type="character" w:customStyle="1" w:styleId="244">
    <w:name w:val="段内层标 Char"/>
    <w:link w:val="243"/>
    <w:qFormat/>
    <w:uiPriority w:val="0"/>
    <w:rPr>
      <w:rFonts w:ascii="宋体" w:hAnsi="宋体"/>
      <w:b/>
      <w:kern w:val="2"/>
      <w:sz w:val="28"/>
      <w:szCs w:val="28"/>
      <w:shd w:val="clear" w:color="auto" w:fill="FFFFFF"/>
    </w:rPr>
  </w:style>
  <w:style w:type="paragraph" w:customStyle="1" w:styleId="245">
    <w:name w:val="方案设计1级标题"/>
    <w:basedOn w:val="78"/>
    <w:qFormat/>
    <w:uiPriority w:val="0"/>
    <w:pPr>
      <w:tabs>
        <w:tab w:val="left" w:pos="840"/>
      </w:tabs>
      <w:ind w:left="840" w:firstLine="0" w:firstLineChars="0"/>
      <w:jc w:val="center"/>
      <w:outlineLvl w:val="0"/>
    </w:pPr>
    <w:rPr>
      <w:rFonts w:ascii="黑体" w:hAnsi="黑体" w:eastAsia="黑体"/>
      <w:sz w:val="44"/>
      <w:szCs w:val="44"/>
    </w:rPr>
  </w:style>
  <w:style w:type="paragraph" w:customStyle="1" w:styleId="246">
    <w:name w:val="方案设计2级标题"/>
    <w:basedOn w:val="78"/>
    <w:qFormat/>
    <w:uiPriority w:val="0"/>
    <w:pPr>
      <w:numPr>
        <w:ilvl w:val="1"/>
        <w:numId w:val="17"/>
      </w:numPr>
      <w:ind w:firstLine="0" w:firstLineChars="0"/>
      <w:outlineLvl w:val="1"/>
    </w:pPr>
    <w:rPr>
      <w:rFonts w:ascii="黑体" w:hAnsi="黑体" w:eastAsia="黑体"/>
      <w:sz w:val="32"/>
      <w:szCs w:val="32"/>
    </w:rPr>
  </w:style>
  <w:style w:type="paragraph" w:customStyle="1" w:styleId="247">
    <w:name w:val="标题3"/>
    <w:basedOn w:val="78"/>
    <w:link w:val="252"/>
    <w:qFormat/>
    <w:uiPriority w:val="0"/>
    <w:pPr>
      <w:numPr>
        <w:ilvl w:val="2"/>
        <w:numId w:val="17"/>
      </w:numPr>
      <w:ind w:firstLine="0" w:firstLineChars="0"/>
      <w:outlineLvl w:val="2"/>
    </w:pPr>
    <w:rPr>
      <w:rFonts w:ascii="黑体" w:hAnsi="黑体" w:eastAsia="黑体"/>
      <w:sz w:val="28"/>
      <w:szCs w:val="28"/>
    </w:rPr>
  </w:style>
  <w:style w:type="paragraph" w:customStyle="1" w:styleId="248">
    <w:name w:val="标题5"/>
    <w:basedOn w:val="78"/>
    <w:qFormat/>
    <w:uiPriority w:val="0"/>
    <w:pPr>
      <w:tabs>
        <w:tab w:val="left" w:pos="2038"/>
      </w:tabs>
      <w:ind w:left="2038" w:hanging="420" w:firstLineChars="0"/>
      <w:jc w:val="left"/>
      <w:outlineLvl w:val="4"/>
    </w:pPr>
    <w:rPr>
      <w:rFonts w:ascii="黑体" w:hAnsi="黑体" w:eastAsia="黑体"/>
      <w:sz w:val="28"/>
      <w:szCs w:val="28"/>
    </w:rPr>
  </w:style>
  <w:style w:type="paragraph" w:customStyle="1" w:styleId="249">
    <w:name w:val="正文标题"/>
    <w:basedOn w:val="1"/>
    <w:link w:val="250"/>
    <w:qFormat/>
    <w:uiPriority w:val="0"/>
    <w:pPr>
      <w:numPr>
        <w:ilvl w:val="0"/>
        <w:numId w:val="17"/>
      </w:numPr>
      <w:ind w:firstLine="200" w:firstLineChars="200"/>
    </w:pPr>
    <w:rPr>
      <w:rFonts w:ascii="Calibri" w:hAnsi="Calibri" w:cs="Times New Roman"/>
      <w:b/>
      <w:kern w:val="2"/>
      <w:sz w:val="28"/>
      <w:szCs w:val="28"/>
    </w:rPr>
  </w:style>
  <w:style w:type="character" w:customStyle="1" w:styleId="250">
    <w:name w:val="正文标题 Char"/>
    <w:link w:val="249"/>
    <w:qFormat/>
    <w:uiPriority w:val="0"/>
    <w:rPr>
      <w:rFonts w:ascii="Calibri" w:hAnsi="Calibri"/>
      <w:b/>
      <w:kern w:val="2"/>
      <w:sz w:val="28"/>
      <w:szCs w:val="28"/>
      <w:shd w:val="clear" w:color="auto" w:fill="FFFFFF"/>
    </w:rPr>
  </w:style>
  <w:style w:type="character" w:customStyle="1" w:styleId="251">
    <w:name w:val="批注主题 Char"/>
    <w:link w:val="43"/>
    <w:qFormat/>
    <w:uiPriority w:val="0"/>
    <w:rPr>
      <w:b/>
      <w:bCs/>
      <w:kern w:val="2"/>
      <w:sz w:val="21"/>
      <w:szCs w:val="24"/>
    </w:rPr>
  </w:style>
  <w:style w:type="character" w:customStyle="1" w:styleId="252">
    <w:name w:val="标题3 Char"/>
    <w:link w:val="247"/>
    <w:qFormat/>
    <w:uiPriority w:val="0"/>
    <w:rPr>
      <w:rFonts w:ascii="黑体" w:hAnsi="黑体" w:eastAsia="黑体"/>
      <w:kern w:val="2"/>
      <w:sz w:val="28"/>
      <w:szCs w:val="28"/>
      <w:shd w:val="clear" w:color="auto" w:fill="FFFFFF"/>
    </w:rPr>
  </w:style>
  <w:style w:type="paragraph" w:customStyle="1" w:styleId="253">
    <w:name w:val="样式 Verdana 四号 首行缩进:  2 字符"/>
    <w:basedOn w:val="1"/>
    <w:qFormat/>
    <w:uiPriority w:val="0"/>
    <w:pPr>
      <w:ind w:firstLine="560" w:firstLineChars="200"/>
      <w:jc w:val="left"/>
    </w:pPr>
    <w:rPr>
      <w:rFonts w:ascii="Verdana" w:hAnsi="Verdana"/>
      <w:sz w:val="24"/>
      <w:szCs w:val="20"/>
    </w:rPr>
  </w:style>
  <w:style w:type="paragraph" w:customStyle="1" w:styleId="254">
    <w:name w:val="层标"/>
    <w:basedOn w:val="131"/>
    <w:link w:val="255"/>
    <w:qFormat/>
    <w:uiPriority w:val="0"/>
    <w:pPr>
      <w:numPr>
        <w:ilvl w:val="0"/>
        <w:numId w:val="18"/>
      </w:numPr>
      <w:spacing w:beforeLines="25" w:afterLines="25"/>
      <w:ind w:firstLine="0"/>
    </w:pPr>
    <w:rPr>
      <w:rFonts w:ascii="宋体" w:hAnsi="宋体"/>
      <w:b/>
      <w:kern w:val="2"/>
      <w:sz w:val="28"/>
      <w:szCs w:val="28"/>
    </w:rPr>
  </w:style>
  <w:style w:type="character" w:customStyle="1" w:styleId="255">
    <w:name w:val="层标 Char"/>
    <w:link w:val="254"/>
    <w:qFormat/>
    <w:uiPriority w:val="0"/>
    <w:rPr>
      <w:rFonts w:ascii="宋体" w:hAnsi="宋体"/>
      <w:b/>
      <w:kern w:val="2"/>
      <w:sz w:val="28"/>
      <w:szCs w:val="28"/>
      <w:shd w:val="clear" w:color="auto" w:fill="FFFFFF"/>
    </w:rPr>
  </w:style>
  <w:style w:type="paragraph" w:styleId="256">
    <w:name w:val="Quote"/>
    <w:basedOn w:val="1"/>
    <w:next w:val="1"/>
    <w:link w:val="257"/>
    <w:qFormat/>
    <w:uiPriority w:val="29"/>
    <w:pPr>
      <w:jc w:val="center"/>
    </w:pPr>
    <w:rPr>
      <w:rFonts w:ascii="Times New Roman" w:hAnsi="Times New Roman" w:cs="Times New Roman"/>
      <w:iCs/>
      <w:color w:val="000000"/>
      <w:kern w:val="2"/>
      <w:sz w:val="24"/>
    </w:rPr>
  </w:style>
  <w:style w:type="character" w:customStyle="1" w:styleId="257">
    <w:name w:val="引用 Char"/>
    <w:link w:val="256"/>
    <w:qFormat/>
    <w:uiPriority w:val="29"/>
    <w:rPr>
      <w:iCs/>
      <w:color w:val="000000"/>
      <w:kern w:val="2"/>
      <w:sz w:val="24"/>
      <w:szCs w:val="24"/>
    </w:rPr>
  </w:style>
  <w:style w:type="character" w:customStyle="1" w:styleId="258">
    <w:name w:val="Intense Reference"/>
    <w:qFormat/>
    <w:uiPriority w:val="32"/>
    <w:rPr>
      <w:rFonts w:eastAsia="宋体"/>
      <w:bCs/>
      <w:smallCaps/>
      <w:color w:val="000000"/>
      <w:spacing w:val="5"/>
      <w:sz w:val="24"/>
      <w:u w:val="single"/>
    </w:rPr>
  </w:style>
  <w:style w:type="paragraph" w:customStyle="1" w:styleId="259">
    <w:name w:val="段落强调"/>
    <w:basedOn w:val="1"/>
    <w:link w:val="261"/>
    <w:qFormat/>
    <w:uiPriority w:val="0"/>
    <w:pPr>
      <w:numPr>
        <w:ilvl w:val="0"/>
        <w:numId w:val="19"/>
      </w:numPr>
      <w:ind w:left="0" w:firstLine="420"/>
    </w:pPr>
    <w:rPr>
      <w:rFonts w:ascii="Times New Roman" w:hAnsi="Times New Roman" w:cs="Times New Roman"/>
      <w:b/>
      <w:kern w:val="2"/>
      <w:sz w:val="24"/>
    </w:rPr>
  </w:style>
  <w:style w:type="character" w:customStyle="1" w:styleId="260">
    <w:name w:val="Book Title"/>
    <w:qFormat/>
    <w:uiPriority w:val="33"/>
    <w:rPr>
      <w:b/>
      <w:bCs/>
      <w:smallCaps/>
      <w:spacing w:val="5"/>
    </w:rPr>
  </w:style>
  <w:style w:type="character" w:customStyle="1" w:styleId="261">
    <w:name w:val="段落强调 Char"/>
    <w:link w:val="259"/>
    <w:qFormat/>
    <w:uiPriority w:val="0"/>
    <w:rPr>
      <w:b/>
      <w:kern w:val="2"/>
      <w:sz w:val="24"/>
      <w:szCs w:val="24"/>
      <w:shd w:val="clear" w:color="auto" w:fill="FFFFFF"/>
    </w:rPr>
  </w:style>
  <w:style w:type="paragraph" w:customStyle="1" w:styleId="262">
    <w:name w:val="段内主题"/>
    <w:basedOn w:val="1"/>
    <w:link w:val="264"/>
    <w:qFormat/>
    <w:uiPriority w:val="0"/>
    <w:pPr>
      <w:numPr>
        <w:ilvl w:val="1"/>
        <w:numId w:val="20"/>
      </w:numPr>
      <w:ind w:firstLine="0"/>
    </w:pPr>
    <w:rPr>
      <w:rFonts w:cs="Times New Roman"/>
      <w:b/>
      <w:kern w:val="2"/>
      <w:sz w:val="24"/>
    </w:rPr>
  </w:style>
  <w:style w:type="paragraph" w:customStyle="1" w:styleId="263">
    <w:name w:val="图片注释新"/>
    <w:basedOn w:val="240"/>
    <w:link w:val="265"/>
    <w:qFormat/>
    <w:uiPriority w:val="0"/>
    <w:pPr>
      <w:spacing w:after="81"/>
      <w:ind w:firstLine="0" w:firstLineChars="0"/>
    </w:pPr>
  </w:style>
  <w:style w:type="character" w:customStyle="1" w:styleId="264">
    <w:name w:val="段内主题 Char"/>
    <w:link w:val="262"/>
    <w:qFormat/>
    <w:uiPriority w:val="0"/>
    <w:rPr>
      <w:rFonts w:ascii="宋体" w:hAnsi="宋体"/>
      <w:b/>
      <w:kern w:val="2"/>
      <w:sz w:val="24"/>
      <w:szCs w:val="24"/>
      <w:shd w:val="clear" w:color="auto" w:fill="FFFFFF"/>
    </w:rPr>
  </w:style>
  <w:style w:type="character" w:customStyle="1" w:styleId="265">
    <w:name w:val="图片注释新 Char"/>
    <w:link w:val="263"/>
    <w:qFormat/>
    <w:uiPriority w:val="0"/>
    <w:rPr>
      <w:rFonts w:ascii="宋体" w:hAnsi="宋体"/>
      <w:kern w:val="2"/>
      <w:sz w:val="24"/>
      <w:szCs w:val="24"/>
      <w:u w:val="single"/>
    </w:rPr>
  </w:style>
  <w:style w:type="paragraph" w:customStyle="1" w:styleId="266">
    <w:name w:val="正文（缩进）"/>
    <w:basedOn w:val="1"/>
    <w:link w:val="267"/>
    <w:qFormat/>
    <w:uiPriority w:val="0"/>
    <w:pPr>
      <w:spacing w:beforeLines="50" w:afterLines="50"/>
      <w:ind w:firstLine="480" w:firstLineChars="200"/>
    </w:pPr>
    <w:rPr>
      <w:rFonts w:ascii="Times New Roman" w:hAnsi="Times New Roman" w:cs="Times New Roman"/>
      <w:sz w:val="24"/>
    </w:rPr>
  </w:style>
  <w:style w:type="character" w:customStyle="1" w:styleId="267">
    <w:name w:val="正文（缩进） Char"/>
    <w:link w:val="266"/>
    <w:qFormat/>
    <w:uiPriority w:val="0"/>
    <w:rPr>
      <w:sz w:val="24"/>
      <w:szCs w:val="24"/>
    </w:rPr>
  </w:style>
  <w:style w:type="character" w:customStyle="1" w:styleId="268">
    <w:name w:val="Char Char4"/>
    <w:qFormat/>
    <w:uiPriority w:val="0"/>
    <w:rPr>
      <w:rFonts w:eastAsia="宋体"/>
      <w:b/>
      <w:kern w:val="2"/>
      <w:sz w:val="24"/>
      <w:lang w:val="en-US" w:eastAsia="zh-CN" w:bidi="ar-SA"/>
    </w:rPr>
  </w:style>
  <w:style w:type="character" w:customStyle="1" w:styleId="269">
    <w:name w:val="正文文本缩进 3 Char"/>
    <w:link w:val="35"/>
    <w:qFormat/>
    <w:uiPriority w:val="0"/>
    <w:rPr>
      <w:rFonts w:ascii="宋体"/>
      <w:b/>
      <w:bCs/>
      <w:kern w:val="2"/>
      <w:sz w:val="24"/>
      <w:szCs w:val="24"/>
    </w:rPr>
  </w:style>
  <w:style w:type="paragraph" w:customStyle="1" w:styleId="270">
    <w:name w:val="Char5 Char Char Char Char Char Char"/>
    <w:basedOn w:val="1"/>
    <w:qFormat/>
    <w:uiPriority w:val="0"/>
    <w:pPr>
      <w:spacing w:after="160" w:line="240" w:lineRule="exact"/>
      <w:jc w:val="left"/>
    </w:pPr>
    <w:rPr>
      <w:rFonts w:ascii="Verdana" w:hAnsi="Verdana" w:eastAsia="仿宋_GB2312"/>
      <w:sz w:val="24"/>
      <w:szCs w:val="20"/>
      <w:lang w:eastAsia="en-US"/>
    </w:rPr>
  </w:style>
  <w:style w:type="paragraph" w:customStyle="1" w:styleId="271">
    <w:name w:val="pa-2"/>
    <w:basedOn w:val="1"/>
    <w:qFormat/>
    <w:uiPriority w:val="0"/>
    <w:pPr>
      <w:spacing w:before="100" w:beforeAutospacing="1" w:after="100" w:afterAutospacing="1"/>
      <w:jc w:val="left"/>
    </w:pPr>
    <w:rPr>
      <w:sz w:val="24"/>
    </w:rPr>
  </w:style>
  <w:style w:type="character" w:customStyle="1" w:styleId="272">
    <w:name w:val="HTML 预设格式 Char"/>
    <w:link w:val="39"/>
    <w:qFormat/>
    <w:uiPriority w:val="0"/>
    <w:rPr>
      <w:rFonts w:ascii="Arial Unicode MS" w:hAnsi="Arial Unicode MS" w:eastAsia="Arial Unicode MS"/>
      <w:color w:val="000000"/>
    </w:rPr>
  </w:style>
  <w:style w:type="character" w:customStyle="1" w:styleId="273">
    <w:name w:val="正文文本 2 Char"/>
    <w:link w:val="38"/>
    <w:qFormat/>
    <w:uiPriority w:val="0"/>
    <w:rPr>
      <w:kern w:val="2"/>
      <w:sz w:val="24"/>
      <w:szCs w:val="24"/>
    </w:rPr>
  </w:style>
  <w:style w:type="character" w:customStyle="1" w:styleId="274">
    <w:name w:val="正文文本 3 Char"/>
    <w:link w:val="19"/>
    <w:qFormat/>
    <w:uiPriority w:val="0"/>
    <w:rPr>
      <w:kern w:val="2"/>
      <w:sz w:val="16"/>
      <w:szCs w:val="16"/>
    </w:rPr>
  </w:style>
  <w:style w:type="paragraph" w:customStyle="1" w:styleId="275">
    <w:name w:val="方案正文段落"/>
    <w:basedOn w:val="1"/>
    <w:link w:val="276"/>
    <w:qFormat/>
    <w:uiPriority w:val="0"/>
    <w:pPr>
      <w:ind w:firstLine="420" w:firstLineChars="200"/>
    </w:pPr>
    <w:rPr>
      <w:rFonts w:ascii="Times New Roman" w:hAnsi="Times New Roman" w:cs="Times New Roman"/>
      <w:kern w:val="2"/>
      <w:szCs w:val="20"/>
    </w:rPr>
  </w:style>
  <w:style w:type="character" w:customStyle="1" w:styleId="276">
    <w:name w:val="方案正文段落 Char"/>
    <w:link w:val="275"/>
    <w:qFormat/>
    <w:uiPriority w:val="0"/>
    <w:rPr>
      <w:kern w:val="2"/>
      <w:sz w:val="21"/>
    </w:rPr>
  </w:style>
  <w:style w:type="paragraph" w:customStyle="1" w:styleId="277">
    <w:name w:val="Revision"/>
    <w:hidden/>
    <w:semiHidden/>
    <w:qFormat/>
    <w:uiPriority w:val="99"/>
    <w:pPr>
      <w:spacing w:line="360" w:lineRule="auto"/>
      <w:jc w:val="both"/>
    </w:pPr>
    <w:rPr>
      <w:rFonts w:ascii="Times New Roman" w:hAnsi="Times New Roman" w:eastAsia="宋体" w:cs="Times New Roman"/>
      <w:kern w:val="2"/>
      <w:sz w:val="21"/>
      <w:szCs w:val="24"/>
      <w:lang w:val="en-US" w:eastAsia="zh-CN" w:bidi="ar-SA"/>
    </w:rPr>
  </w:style>
  <w:style w:type="paragraph" w:customStyle="1" w:styleId="278">
    <w:name w:val="模板正文"/>
    <w:basedOn w:val="1"/>
    <w:link w:val="279"/>
    <w:qFormat/>
    <w:uiPriority w:val="0"/>
    <w:pPr>
      <w:widowControl w:val="0"/>
      <w:shd w:val="clear" w:color="auto" w:fill="auto"/>
      <w:tabs>
        <w:tab w:val="clear" w:pos="426"/>
      </w:tabs>
      <w:wordWrap w:val="0"/>
      <w:adjustRightInd/>
      <w:snapToGrid/>
      <w:spacing w:beforeLines="50"/>
      <w:ind w:firstLine="200" w:firstLineChars="200"/>
    </w:pPr>
    <w:rPr>
      <w:rFonts w:ascii="Times New Roman" w:hAnsi="Times New Roman" w:eastAsia="仿宋_GB2312" w:cs="Times New Roman"/>
      <w:sz w:val="28"/>
      <w:szCs w:val="21"/>
    </w:rPr>
  </w:style>
  <w:style w:type="character" w:customStyle="1" w:styleId="279">
    <w:name w:val="模板正文 Char"/>
    <w:link w:val="278"/>
    <w:qFormat/>
    <w:locked/>
    <w:uiPriority w:val="0"/>
    <w:rPr>
      <w:rFonts w:eastAsia="仿宋_GB2312"/>
      <w:sz w:val="28"/>
      <w:szCs w:val="21"/>
    </w:rPr>
  </w:style>
  <w:style w:type="paragraph" w:styleId="280">
    <w:name w:val="List Paragraph"/>
    <w:basedOn w:val="1"/>
    <w:qFormat/>
    <w:uiPriority w:val="34"/>
    <w:pPr>
      <w:widowControl w:val="0"/>
      <w:shd w:val="clear" w:color="auto" w:fill="auto"/>
      <w:tabs>
        <w:tab w:val="clear" w:pos="426"/>
      </w:tabs>
      <w:adjustRightInd/>
      <w:snapToGrid/>
      <w:ind w:firstLine="420" w:firstLineChars="200"/>
    </w:pPr>
    <w:rPr>
      <w:rFonts w:ascii="Times New Roman" w:hAnsi="Times New Roman" w:cs="Times New Roman"/>
      <w:kern w:val="2"/>
      <w:sz w:val="24"/>
    </w:rPr>
  </w:style>
  <w:style w:type="paragraph" w:customStyle="1" w:styleId="281">
    <w:name w:val="普通段落"/>
    <w:qFormat/>
    <w:uiPriority w:val="0"/>
    <w:pPr>
      <w:widowControl w:val="0"/>
      <w:adjustRightInd w:val="0"/>
      <w:spacing w:line="360" w:lineRule="auto"/>
      <w:ind w:firstLine="425"/>
      <w:jc w:val="both"/>
      <w:textAlignment w:val="baseline"/>
    </w:pPr>
    <w:rPr>
      <w:rFonts w:ascii="Times New Roman" w:hAnsi="Times New Roman" w:eastAsia="宋体" w:cs="Times New Roman"/>
      <w:sz w:val="24"/>
      <w:lang w:val="en-US" w:eastAsia="zh-CN" w:bidi="ar-SA"/>
    </w:rPr>
  </w:style>
  <w:style w:type="paragraph" w:customStyle="1" w:styleId="282">
    <w:name w:val="表格正文"/>
    <w:basedOn w:val="1"/>
    <w:qFormat/>
    <w:uiPriority w:val="0"/>
    <w:pPr>
      <w:widowControl w:val="0"/>
      <w:shd w:val="clear" w:color="auto" w:fill="auto"/>
      <w:tabs>
        <w:tab w:val="clear" w:pos="426"/>
      </w:tabs>
      <w:adjustRightInd/>
      <w:snapToGrid/>
      <w:ind w:firstLine="200" w:firstLineChars="200"/>
    </w:pPr>
    <w:rPr>
      <w:rFonts w:ascii="Arial" w:hAnsi="Arial" w:eastAsia="仿宋_GB2312" w:cs="Times New Roman"/>
      <w:kern w:val="2"/>
      <w:sz w:val="24"/>
      <w:szCs w:val="22"/>
    </w:rPr>
  </w:style>
  <w:style w:type="paragraph" w:customStyle="1" w:styleId="283">
    <w:name w:val="USE 1"/>
    <w:basedOn w:val="1"/>
    <w:qFormat/>
    <w:uiPriority w:val="99"/>
    <w:pPr>
      <w:widowControl w:val="0"/>
      <w:shd w:val="clear" w:color="auto" w:fill="auto"/>
      <w:tabs>
        <w:tab w:val="clear" w:pos="426"/>
      </w:tabs>
      <w:adjustRightInd/>
      <w:snapToGrid/>
      <w:spacing w:line="200" w:lineRule="atLeast"/>
    </w:pPr>
    <w:rPr>
      <w:rFonts w:cs="Times New Roman"/>
      <w:b/>
      <w:kern w:val="2"/>
      <w:sz w:val="24"/>
      <w:szCs w:val="28"/>
    </w:rPr>
  </w:style>
  <w:style w:type="character" w:customStyle="1" w:styleId="284">
    <w:name w:val="副标题 Char"/>
    <w:qFormat/>
    <w:uiPriority w:val="0"/>
    <w:rPr>
      <w:rFonts w:ascii="Cambria" w:hAnsi="Cambria"/>
      <w:b/>
      <w:bCs/>
      <w:kern w:val="28"/>
      <w:sz w:val="28"/>
      <w:szCs w:val="32"/>
      <w:shd w:val="clear" w:color="auto" w:fill="FFFFFF"/>
    </w:rPr>
  </w:style>
  <w:style w:type="character" w:customStyle="1" w:styleId="285">
    <w:name w:val="正文格式 Char"/>
    <w:link w:val="286"/>
    <w:qFormat/>
    <w:uiPriority w:val="0"/>
    <w:rPr>
      <w:szCs w:val="24"/>
    </w:rPr>
  </w:style>
  <w:style w:type="paragraph" w:customStyle="1" w:styleId="286">
    <w:name w:val="正文格式"/>
    <w:basedOn w:val="1"/>
    <w:link w:val="285"/>
    <w:qFormat/>
    <w:uiPriority w:val="0"/>
    <w:pPr>
      <w:widowControl w:val="0"/>
      <w:shd w:val="clear" w:color="auto" w:fill="auto"/>
      <w:tabs>
        <w:tab w:val="clear" w:pos="426"/>
      </w:tabs>
      <w:adjustRightInd/>
      <w:snapToGrid/>
      <w:spacing w:line="240" w:lineRule="auto"/>
      <w:ind w:firstLine="420" w:firstLineChars="200"/>
    </w:pPr>
    <w:rPr>
      <w:rFonts w:ascii="Times New Roman" w:hAnsi="Times New Roman" w:cs="Times New Roman"/>
      <w:sz w:val="20"/>
    </w:rPr>
  </w:style>
  <w:style w:type="character" w:customStyle="1" w:styleId="287">
    <w:name w:val="标题 2 Char"/>
    <w:basedOn w:val="47"/>
    <w:link w:val="5"/>
    <w:qFormat/>
    <w:uiPriority w:val="9"/>
    <w:rPr>
      <w:rFonts w:ascii="宋体" w:hAnsi="宋体"/>
      <w:b/>
      <w:sz w:val="24"/>
      <w:shd w:val="clear" w:color="auto" w:fill="FFFFFF"/>
    </w:rPr>
  </w:style>
  <w:style w:type="table" w:customStyle="1" w:styleId="288">
    <w:name w:val="网格型1"/>
    <w:basedOn w:val="44"/>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CBAEDD0-25EB-44A2-8BB0-C7AC4FA1AC3E}">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85</Pages>
  <Words>8162</Words>
  <Characters>46530</Characters>
  <Lines>387</Lines>
  <Paragraphs>109</Paragraphs>
  <TotalTime>8</TotalTime>
  <ScaleCrop>false</ScaleCrop>
  <LinksUpToDate>false</LinksUpToDate>
  <CharactersWithSpaces>54583</CharactersWithSpaces>
  <Application>WPS Office_11.1.0.9145_F1E327BC-269C-435d-A152-05C5408002CA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2019-02-13T10:06:00Z</dcterms:created>
  <dc:creator>Zhangwei</dc:creator>
  <cp:lastModifiedBy>游娃</cp:lastModifiedBy>
  <cp:lastPrinted>2019-07-12T01:16:00Z</cp:lastPrinted>
  <dcterms:modified xsi:type="dcterms:W3CDTF">2019-11-04T09:56:14Z</dcterms:modified>
  <cp:revision>962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