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jc w:val="right"/>
        <w:rPr>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                                                     项目编号：</w:t>
      </w:r>
      <w:r>
        <w:rPr>
          <w:rFonts w:hint="eastAsia"/>
          <w:b/>
          <w:color w:val="000000" w:themeColor="text1"/>
          <w:highlight w:val="none"/>
          <w:u w:val="single"/>
          <w14:textFill>
            <w14:solidFill>
              <w14:schemeClr w14:val="tx1"/>
            </w14:solidFill>
          </w14:textFill>
        </w:rPr>
        <w:t>SSZX2019-338</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widowControl w:val="0"/>
        <w:shd w:val="clear" w:color="auto" w:fill="auto"/>
        <w:tabs>
          <w:tab w:val="clear" w:pos="426"/>
        </w:tabs>
        <w:adjustRightInd/>
        <w:snapToGrid/>
        <w:spacing w:line="300" w:lineRule="auto"/>
        <w:jc w:val="center"/>
        <w:rPr>
          <w:rFonts w:cs="Times New Roman"/>
          <w:color w:val="000000" w:themeColor="text1"/>
          <w:spacing w:val="26"/>
          <w:kern w:val="2"/>
          <w:sz w:val="72"/>
          <w:szCs w:val="20"/>
          <w:highlight w:val="none"/>
          <w14:textFill>
            <w14:solidFill>
              <w14:schemeClr w14:val="tx1"/>
            </w14:solidFill>
          </w14:textFill>
        </w:rPr>
      </w:pPr>
      <w:r>
        <w:rPr>
          <w:rFonts w:hint="eastAsia" w:cs="Times New Roman"/>
          <w:color w:val="000000" w:themeColor="text1"/>
          <w:spacing w:val="26"/>
          <w:kern w:val="2"/>
          <w:sz w:val="72"/>
          <w:szCs w:val="20"/>
          <w:highlight w:val="none"/>
          <w14:textFill>
            <w14:solidFill>
              <w14:schemeClr w14:val="tx1"/>
            </w14:solidFill>
          </w14:textFill>
        </w:rPr>
        <w:t>深圳市政府采购</w:t>
      </w:r>
    </w:p>
    <w:p>
      <w:pPr>
        <w:widowControl w:val="0"/>
        <w:shd w:val="clear" w:color="auto" w:fill="auto"/>
        <w:tabs>
          <w:tab w:val="clear" w:pos="426"/>
        </w:tabs>
        <w:adjustRightInd/>
        <w:snapToGrid/>
        <w:spacing w:line="300" w:lineRule="auto"/>
        <w:jc w:val="center"/>
        <w:rPr>
          <w:rFonts w:cs="Times New Roman"/>
          <w:color w:val="000000" w:themeColor="text1"/>
          <w:spacing w:val="26"/>
          <w:kern w:val="2"/>
          <w:sz w:val="72"/>
          <w:szCs w:val="20"/>
          <w:highlight w:val="none"/>
          <w14:textFill>
            <w14:solidFill>
              <w14:schemeClr w14:val="tx1"/>
            </w14:solidFill>
          </w14:textFill>
        </w:rPr>
      </w:pPr>
      <w:r>
        <w:rPr>
          <w:rFonts w:hint="eastAsia" w:cs="Times New Roman"/>
          <w:color w:val="000000" w:themeColor="text1"/>
          <w:spacing w:val="26"/>
          <w:kern w:val="2"/>
          <w:sz w:val="72"/>
          <w:szCs w:val="20"/>
          <w:highlight w:val="none"/>
          <w14:textFill>
            <w14:solidFill>
              <w14:schemeClr w14:val="tx1"/>
            </w14:solidFill>
          </w14:textFill>
        </w:rPr>
        <w:t>招标文件</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jc w:val="center"/>
        <w:rPr>
          <w:rFonts w:ascii="黑体" w:hAnsi="Arial" w:eastAsia="黑体" w:cs="Arial"/>
          <w:color w:val="000000" w:themeColor="text1"/>
          <w:sz w:val="52"/>
          <w:szCs w:val="52"/>
          <w:highlight w:val="none"/>
          <w14:textFill>
            <w14:solidFill>
              <w14:schemeClr w14:val="tx1"/>
            </w14:solidFill>
          </w14:textFill>
        </w:rPr>
      </w:pPr>
      <w:r>
        <w:rPr>
          <w:rFonts w:hint="eastAsia" w:ascii="黑体" w:hAnsi="Arial" w:eastAsia="黑体" w:cs="Arial"/>
          <w:color w:val="000000" w:themeColor="text1"/>
          <w:sz w:val="52"/>
          <w:szCs w:val="52"/>
          <w:highlight w:val="none"/>
          <w14:textFill>
            <w14:solidFill>
              <w14:schemeClr w14:val="tx1"/>
            </w14:solidFill>
          </w14:textFill>
        </w:rPr>
        <w:t>【货物类】</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widowControl w:val="0"/>
        <w:shd w:val="clear" w:color="auto" w:fill="auto"/>
        <w:tabs>
          <w:tab w:val="clear" w:pos="426"/>
        </w:tabs>
        <w:adjustRightInd/>
        <w:snapToGrid/>
        <w:spacing w:line="300" w:lineRule="auto"/>
        <w:ind w:left="1498" w:leftChars="142" w:hanging="1200" w:hangingChars="400"/>
        <w:rPr>
          <w:rFonts w:cs="Times New Roman"/>
          <w:color w:val="000000" w:themeColor="text1"/>
          <w:kern w:val="2"/>
          <w:sz w:val="30"/>
          <w:szCs w:val="20"/>
          <w:highlight w:val="none"/>
          <w14:textFill>
            <w14:solidFill>
              <w14:schemeClr w14:val="tx1"/>
            </w14:solidFill>
          </w14:textFill>
        </w:rPr>
      </w:pPr>
      <w:r>
        <w:rPr>
          <w:rFonts w:hint="eastAsia" w:cs="Times New Roman"/>
          <w:color w:val="000000" w:themeColor="text1"/>
          <w:kern w:val="2"/>
          <w:sz w:val="30"/>
          <w:szCs w:val="20"/>
          <w:highlight w:val="none"/>
          <w14:textFill>
            <w14:solidFill>
              <w14:schemeClr w14:val="tx1"/>
            </w14:solidFill>
          </w14:textFill>
        </w:rPr>
        <w:t>项目名称：</w:t>
      </w:r>
      <w:r>
        <w:rPr>
          <w:rFonts w:hint="eastAsia" w:cs="Times New Roman"/>
          <w:color w:val="000000" w:themeColor="text1"/>
          <w:kern w:val="2"/>
          <w:sz w:val="30"/>
          <w:szCs w:val="20"/>
          <w:highlight w:val="none"/>
          <w:u w:val="single"/>
          <w14:textFill>
            <w14:solidFill>
              <w14:schemeClr w14:val="tx1"/>
            </w14:solidFill>
          </w14:textFill>
        </w:rPr>
        <w:t>监护型救护车采购</w:t>
      </w:r>
      <w:r>
        <w:rPr>
          <w:rFonts w:hint="eastAsia" w:cs="Times New Roman"/>
          <w:color w:val="000000" w:themeColor="text1"/>
          <w:kern w:val="2"/>
          <w:sz w:val="30"/>
          <w:szCs w:val="20"/>
          <w:highlight w:val="none"/>
          <w14:textFill>
            <w14:solidFill>
              <w14:schemeClr w14:val="tx1"/>
            </w14:solidFill>
          </w14:textFill>
        </w:rPr>
        <w:t xml:space="preserve">         </w:t>
      </w:r>
    </w:p>
    <w:p>
      <w:pPr>
        <w:widowControl w:val="0"/>
        <w:shd w:val="clear" w:color="auto" w:fill="auto"/>
        <w:tabs>
          <w:tab w:val="clear" w:pos="426"/>
        </w:tabs>
        <w:adjustRightInd/>
        <w:snapToGrid/>
        <w:spacing w:line="300" w:lineRule="auto"/>
        <w:ind w:left="1500" w:hanging="1500" w:hangingChars="500"/>
        <w:rPr>
          <w:rFonts w:cs="Times New Roman"/>
          <w:color w:val="000000" w:themeColor="text1"/>
          <w:kern w:val="2"/>
          <w:sz w:val="30"/>
          <w:szCs w:val="20"/>
          <w:highlight w:val="none"/>
          <w14:textFill>
            <w14:solidFill>
              <w14:schemeClr w14:val="tx1"/>
            </w14:solidFill>
          </w14:textFill>
        </w:rPr>
      </w:pPr>
    </w:p>
    <w:p>
      <w:pPr>
        <w:widowControl w:val="0"/>
        <w:shd w:val="clear" w:color="auto" w:fill="auto"/>
        <w:tabs>
          <w:tab w:val="clear" w:pos="426"/>
        </w:tabs>
        <w:adjustRightInd/>
        <w:snapToGrid/>
        <w:spacing w:line="300" w:lineRule="auto"/>
        <w:ind w:left="1498" w:leftChars="142" w:hanging="1200" w:hangingChars="400"/>
        <w:rPr>
          <w:rFonts w:cs="Times New Roman"/>
          <w:color w:val="000000" w:themeColor="text1"/>
          <w:kern w:val="2"/>
          <w:sz w:val="30"/>
          <w:szCs w:val="20"/>
          <w:highlight w:val="none"/>
          <w14:textFill>
            <w14:solidFill>
              <w14:schemeClr w14:val="tx1"/>
            </w14:solidFill>
          </w14:textFill>
        </w:rPr>
      </w:pPr>
      <w:r>
        <w:rPr>
          <w:rFonts w:hint="eastAsia" w:cs="Times New Roman"/>
          <w:color w:val="000000" w:themeColor="text1"/>
          <w:kern w:val="2"/>
          <w:sz w:val="30"/>
          <w:szCs w:val="20"/>
          <w:highlight w:val="none"/>
          <w14:textFill>
            <w14:solidFill>
              <w14:schemeClr w14:val="tx1"/>
            </w14:solidFill>
          </w14:textFill>
        </w:rPr>
        <w:t>采购人名称：</w:t>
      </w:r>
      <w:r>
        <w:rPr>
          <w:rFonts w:hint="eastAsia" w:cs="Times New Roman"/>
          <w:color w:val="000000" w:themeColor="text1"/>
          <w:kern w:val="2"/>
          <w:sz w:val="30"/>
          <w:szCs w:val="20"/>
          <w:highlight w:val="none"/>
          <w:u w:val="single"/>
          <w14:textFill>
            <w14:solidFill>
              <w14:schemeClr w14:val="tx1"/>
            </w14:solidFill>
          </w14:textFill>
        </w:rPr>
        <w:t xml:space="preserve">  深圳平乐骨伤科医院（深圳市坪山区中医院）                                                       </w:t>
      </w:r>
      <w:r>
        <w:rPr>
          <w:rFonts w:hint="eastAsia" w:cs="Times New Roman"/>
          <w:color w:val="000000" w:themeColor="text1"/>
          <w:kern w:val="2"/>
          <w:sz w:val="30"/>
          <w:szCs w:val="20"/>
          <w:highlight w:val="none"/>
          <w14:textFill>
            <w14:solidFill>
              <w14:schemeClr w14:val="tx1"/>
            </w14:solidFill>
          </w14:textFill>
        </w:rPr>
        <w:t xml:space="preserve">                                                 </w:t>
      </w:r>
    </w:p>
    <w:p>
      <w:pPr>
        <w:widowControl w:val="0"/>
        <w:shd w:val="clear" w:color="auto" w:fill="auto"/>
        <w:tabs>
          <w:tab w:val="clear" w:pos="426"/>
        </w:tabs>
        <w:adjustRightInd/>
        <w:snapToGrid/>
        <w:spacing w:line="300" w:lineRule="auto"/>
        <w:ind w:left="1500" w:hanging="1500" w:hangingChars="500"/>
        <w:rPr>
          <w:rFonts w:cs="Times New Roman"/>
          <w:color w:val="000000" w:themeColor="text1"/>
          <w:kern w:val="2"/>
          <w:sz w:val="30"/>
          <w:szCs w:val="20"/>
          <w:highlight w:val="none"/>
          <w14:textFill>
            <w14:solidFill>
              <w14:schemeClr w14:val="tx1"/>
            </w14:solidFill>
          </w14:textFill>
        </w:rPr>
      </w:pPr>
    </w:p>
    <w:p>
      <w:pPr>
        <w:widowControl w:val="0"/>
        <w:shd w:val="clear" w:color="auto" w:fill="auto"/>
        <w:tabs>
          <w:tab w:val="clear" w:pos="426"/>
        </w:tabs>
        <w:adjustRightInd/>
        <w:snapToGrid/>
        <w:spacing w:line="300" w:lineRule="auto"/>
        <w:ind w:left="1498" w:leftChars="142" w:hanging="1200" w:hangingChars="400"/>
        <w:rPr>
          <w:color w:val="000000" w:themeColor="text1"/>
          <w:highlight w:val="none"/>
          <w14:textFill>
            <w14:solidFill>
              <w14:schemeClr w14:val="tx1"/>
            </w14:solidFill>
          </w14:textFill>
        </w:rPr>
      </w:pPr>
      <w:r>
        <w:rPr>
          <w:rFonts w:hint="eastAsia" w:cs="Times New Roman"/>
          <w:color w:val="000000" w:themeColor="text1"/>
          <w:kern w:val="2"/>
          <w:sz w:val="30"/>
          <w:szCs w:val="20"/>
          <w:highlight w:val="none"/>
          <w14:textFill>
            <w14:solidFill>
              <w14:schemeClr w14:val="tx1"/>
            </w14:solidFill>
          </w14:textFill>
        </w:rPr>
        <w:t>采购代理机构名称：</w:t>
      </w:r>
      <w:r>
        <w:rPr>
          <w:rFonts w:hint="eastAsia" w:cs="Times New Roman"/>
          <w:color w:val="000000" w:themeColor="text1"/>
          <w:kern w:val="2"/>
          <w:sz w:val="30"/>
          <w:szCs w:val="20"/>
          <w:highlight w:val="none"/>
          <w:u w:val="single"/>
          <w14:textFill>
            <w14:solidFill>
              <w14:schemeClr w14:val="tx1"/>
            </w14:solidFill>
          </w14:textFill>
        </w:rPr>
        <w:t xml:space="preserve">  深圳市深水水务咨询有限公司                    </w:t>
      </w:r>
      <w:r>
        <w:rPr>
          <w:rFonts w:hint="eastAsia" w:cs="Times New Roman"/>
          <w:color w:val="000000" w:themeColor="text1"/>
          <w:kern w:val="2"/>
          <w:sz w:val="30"/>
          <w:szCs w:val="20"/>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pPr>
        <w:tabs>
          <w:tab w:val="clear" w:pos="426"/>
        </w:tabs>
        <w:jc w:val="center"/>
        <w:rPr>
          <w:b/>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color w:val="000000" w:themeColor="text1"/>
          <w:sz w:val="32"/>
          <w:szCs w:val="32"/>
          <w:highlight w:val="none"/>
          <w14:textFill>
            <w14:solidFill>
              <w14:schemeClr w14:val="tx1"/>
            </w14:solidFill>
          </w14:textFill>
        </w:rPr>
        <w:t>目      录</w:t>
      </w:r>
    </w:p>
    <w:p>
      <w:pPr>
        <w:tabs>
          <w:tab w:val="clear" w:pos="426"/>
        </w:tabs>
        <w:jc w:val="center"/>
        <w:rPr>
          <w:color w:val="000000" w:themeColor="text1"/>
          <w:sz w:val="32"/>
          <w:szCs w:val="32"/>
          <w:highlight w:val="none"/>
          <w14:textFill>
            <w14:solidFill>
              <w14:schemeClr w14:val="tx1"/>
            </w14:solidFill>
          </w14:textFill>
        </w:rPr>
      </w:pPr>
    </w:p>
    <w:p>
      <w:pPr>
        <w:pStyle w:val="36"/>
        <w:tabs>
          <w:tab w:val="right" w:leader="dot" w:pos="8788"/>
        </w:tabs>
        <w:ind w:left="105"/>
        <w:rPr>
          <w:color w:val="000000" w:themeColor="text1"/>
          <w:highlight w:val="none"/>
          <w14:textFill>
            <w14:solidFill>
              <w14:schemeClr w14:val="tx1"/>
            </w14:solidFill>
          </w14:textFill>
        </w:rPr>
      </w:pPr>
      <w:r>
        <w:rPr>
          <w:smallCaps w:val="0"/>
          <w:color w:val="000000" w:themeColor="text1"/>
          <w:highlight w:val="none"/>
          <w14:textFill>
            <w14:solidFill>
              <w14:schemeClr w14:val="tx1"/>
            </w14:solidFill>
          </w14:textFill>
        </w:rPr>
        <w:fldChar w:fldCharType="begin"/>
      </w:r>
      <w:r>
        <w:rPr>
          <w:smallCaps w:val="0"/>
          <w:color w:val="000000" w:themeColor="text1"/>
          <w:highlight w:val="none"/>
          <w14:textFill>
            <w14:solidFill>
              <w14:schemeClr w14:val="tx1"/>
            </w14:solidFill>
          </w14:textFill>
        </w:rPr>
        <w:instrText xml:space="preserve"> TOC \o "1-2" \h \z \u </w:instrText>
      </w:r>
      <w:r>
        <w:rPr>
          <w:small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"_Toc9042" </w:instrText>
      </w:r>
      <w:r>
        <w:rPr>
          <w:color w:val="000000" w:themeColor="text1"/>
          <w:highlight w:val="none"/>
          <w14:textFill>
            <w14:solidFill>
              <w14:schemeClr w14:val="tx1"/>
            </w14:solidFill>
          </w14:textFill>
        </w:rPr>
        <w:fldChar w:fldCharType="separate"/>
      </w:r>
      <w:r>
        <w:rPr>
          <w:rFonts w:hint="eastAsia"/>
          <w:color w:val="000000" w:themeColor="text1"/>
          <w:szCs w:val="30"/>
          <w:highlight w:val="none"/>
          <w14:textFill>
            <w14:solidFill>
              <w14:schemeClr w14:val="tx1"/>
            </w14:solidFill>
          </w14:textFill>
        </w:rPr>
        <w:t>警示条款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"_Toc22075"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项目关键信息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_Toc22075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"_Toc27777"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资格、符合性评审条款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"_Toc17376"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评标信息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_Toc17376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"_Toc14756"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评分细则表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_Toc14756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8788"/>
          <w:tab w:val="clear" w:pos="426"/>
          <w:tab w:val="clear" w:pos="878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"_Toc17766"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第一册  专用条款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_Toc17766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"_Toc30947"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采购公告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_Toc30947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"_Toc16465"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投标须知前附表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"_Toc20935"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第三章 </w:t>
      </w:r>
      <w:r>
        <w:rPr>
          <w:color w:val="000000" w:themeColor="text1"/>
          <w:highlight w:val="none"/>
          <w14:textFill>
            <w14:solidFill>
              <w14:schemeClr w14:val="tx1"/>
            </w14:solidFill>
          </w14:textFill>
        </w:rPr>
        <w:t>项目</w:t>
      </w:r>
      <w:r>
        <w:rPr>
          <w:rFonts w:hint="eastAsia"/>
          <w:color w:val="000000" w:themeColor="text1"/>
          <w:highlight w:val="none"/>
          <w14:textFill>
            <w14:solidFill>
              <w14:schemeClr w14:val="tx1"/>
            </w14:solidFill>
          </w14:textFill>
        </w:rPr>
        <w:t>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_Toc20935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第四章 政府采购合同的签订、履约及验收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_Toc32208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"_Toc20842"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第五章 投标文件格式、附件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8788"/>
          <w:tab w:val="clear" w:pos="426"/>
          <w:tab w:val="clear" w:pos="878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"_Toc9392"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第二册  通用条款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_Toc9392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"_Toc26645"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_Toc26645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第三章 投标文件的编制与递交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"_Toc14499"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第四章 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_Toc14499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"_Toc26959"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第五章 评标要求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"_Toc29758"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第六章 评标程序及评标方法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_Toc29758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"_Toc31626"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第七章 定标及公示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_Toc31626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第八章 公开招标失败的后续处理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_Toc12431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"_Toc10032"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第九章 合同的授予与备案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_Toc10032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tabs>
          <w:tab w:val="right" w:leader="dot" w:pos="8788"/>
        </w:tabs>
        <w:ind w:left="10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"_Toc24304"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第十章 质疑受理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_Toc24304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8788"/>
          <w:tab w:val="clear" w:pos="426"/>
          <w:tab w:val="clear" w:pos="878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"_Toc3771"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招标代理服务取费说明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_Toc3771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tabs>
          <w:tab w:val="clear" w:pos="426"/>
        </w:tabs>
        <w:rPr>
          <w:color w:val="000000" w:themeColor="text1"/>
          <w:highlight w:val="none"/>
          <w14:textFill>
            <w14:solidFill>
              <w14:schemeClr w14:val="tx1"/>
            </w14:solidFill>
          </w14:textFill>
        </w:rPr>
      </w:pPr>
      <w:r>
        <w:rPr>
          <w:smallCaps/>
          <w:color w:val="000000" w:themeColor="text1"/>
          <w:highlight w:val="none"/>
          <w14:textFill>
            <w14:solidFill>
              <w14:schemeClr w14:val="tx1"/>
            </w14:solidFill>
          </w14:textFill>
        </w:rPr>
        <w:fldChar w:fldCharType="end"/>
      </w:r>
    </w:p>
    <w:p>
      <w:pPr>
        <w:tabs>
          <w:tab w:val="clear" w:pos="426"/>
        </w:tabs>
        <w:rPr>
          <w:color w:val="000000" w:themeColor="text1"/>
          <w:highlight w:val="none"/>
          <w14:textFill>
            <w14:solidFill>
              <w14:schemeClr w14:val="tx1"/>
            </w14:solidFill>
          </w14:textFill>
        </w:rPr>
        <w:sectPr>
          <w:footerReference r:id="rId3" w:type="even"/>
          <w:pgSz w:w="11906" w:h="16838"/>
          <w:pgMar w:top="1134" w:right="1700" w:bottom="1134" w:left="1418" w:header="851" w:footer="992" w:gutter="0"/>
          <w:pgNumType w:start="0"/>
          <w:cols w:space="425" w:num="1"/>
          <w:titlePg/>
          <w:docGrid w:linePitch="462" w:charSpace="0"/>
        </w:sectPr>
      </w:pPr>
    </w:p>
    <w:p>
      <w:pPr>
        <w:pStyle w:val="33"/>
        <w:tabs>
          <w:tab w:val="clear" w:pos="426"/>
        </w:tabs>
        <w:rPr>
          <w:color w:val="000000" w:themeColor="text1"/>
          <w:sz w:val="30"/>
          <w:szCs w:val="30"/>
          <w:highlight w:val="none"/>
          <w14:textFill>
            <w14:solidFill>
              <w14:schemeClr w14:val="tx1"/>
            </w14:solidFill>
          </w14:textFill>
        </w:rPr>
      </w:pPr>
      <w:bookmarkStart w:id="0" w:name="_Toc3628653"/>
      <w:bookmarkStart w:id="1" w:name="_Toc9042"/>
      <w:bookmarkStart w:id="2" w:name="_Toc432592808"/>
      <w:r>
        <w:rPr>
          <w:rFonts w:hint="eastAsia"/>
          <w:color w:val="000000" w:themeColor="text1"/>
          <w:sz w:val="30"/>
          <w:szCs w:val="30"/>
          <w:highlight w:val="none"/>
          <w14:textFill>
            <w14:solidFill>
              <w14:schemeClr w14:val="tx1"/>
            </w14:solidFill>
          </w14:textFill>
        </w:rPr>
        <w:t>警示条款</w:t>
      </w:r>
      <w:bookmarkEnd w:id="0"/>
      <w:bookmarkEnd w:id="1"/>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（一）在采购活动中应当回避而未回避的；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（二）未按本条例规定签订、履行采购合同，造成严重后果的；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（三）隐瞒真实情况，提供虚假资料的；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（四）以非法手段排斥其他供应商参与竞争的；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（五）与其他采购参加人串通投标的；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（六）恶意投诉的；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（七）向采购项目相关人行贿或者提供其他不当利益的；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（八）阻碍、抗拒主管部门监督检查的；</w:t>
      </w:r>
    </w:p>
    <w:p>
      <w:pPr>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（九）其他违反本条例规定的行为。</w:t>
      </w:r>
    </w:p>
    <w:p>
      <w:pPr>
        <w:ind w:firstLine="560" w:firstLineChars="200"/>
        <w:rPr>
          <w:color w:val="000000" w:themeColor="text1"/>
          <w:sz w:val="28"/>
          <w:szCs w:val="28"/>
          <w:highlight w:val="none"/>
          <w14:textFill>
            <w14:solidFill>
              <w14:schemeClr w14:val="tx1"/>
            </w14:solidFill>
          </w14:textFill>
        </w:rPr>
      </w:pPr>
    </w:p>
    <w:p>
      <w:pPr>
        <w:ind w:firstLine="560" w:firstLineChars="200"/>
        <w:rPr>
          <w:color w:val="000000" w:themeColor="text1"/>
          <w:sz w:val="28"/>
          <w:szCs w:val="28"/>
          <w:highlight w:val="none"/>
          <w14:textFill>
            <w14:solidFill>
              <w14:schemeClr w14:val="tx1"/>
            </w14:solidFill>
          </w14:textFill>
        </w:rPr>
      </w:pPr>
    </w:p>
    <w:p>
      <w:pPr>
        <w:shd w:val="clear" w:color="auto" w:fill="auto"/>
        <w:tabs>
          <w:tab w:val="clear" w:pos="426"/>
        </w:tabs>
        <w:adjustRightInd/>
        <w:snapToGrid/>
        <w:spacing w:line="240" w:lineRule="auto"/>
        <w:jc w:val="left"/>
        <w:rPr>
          <w:rFonts w:ascii="Cambria" w:hAnsi="Cambria" w:cs="Times New Roman"/>
          <w:b/>
          <w:bCs/>
          <w:color w:val="000000" w:themeColor="text1"/>
          <w:kern w:val="28"/>
          <w:sz w:val="28"/>
          <w:szCs w:val="32"/>
          <w:highlight w:val="none"/>
          <w14:textFill>
            <w14:solidFill>
              <w14:schemeClr w14:val="tx1"/>
            </w14:solidFill>
          </w14:textFill>
        </w:rPr>
      </w:pPr>
      <w:r>
        <w:rPr>
          <w:rFonts w:ascii="Cambria" w:hAnsi="Cambria" w:cs="Times New Roman"/>
          <w:b/>
          <w:bCs/>
          <w:color w:val="000000" w:themeColor="text1"/>
          <w:kern w:val="28"/>
          <w:sz w:val="28"/>
          <w:szCs w:val="32"/>
          <w:highlight w:val="none"/>
          <w14:textFill>
            <w14:solidFill>
              <w14:schemeClr w14:val="tx1"/>
            </w14:solidFill>
          </w14:textFill>
        </w:rPr>
        <w:br w:type="page"/>
      </w:r>
    </w:p>
    <w:p>
      <w:pPr>
        <w:shd w:val="clear" w:color="auto" w:fill="auto"/>
        <w:tabs>
          <w:tab w:val="clear" w:pos="426"/>
        </w:tabs>
        <w:adjustRightInd/>
        <w:snapToGrid/>
        <w:spacing w:line="240" w:lineRule="auto"/>
        <w:jc w:val="left"/>
        <w:rPr>
          <w:rFonts w:ascii="Cambria" w:hAnsi="Cambria" w:cs="Times New Roman"/>
          <w:b/>
          <w:bCs/>
          <w:color w:val="000000" w:themeColor="text1"/>
          <w:kern w:val="28"/>
          <w:sz w:val="28"/>
          <w:szCs w:val="32"/>
          <w:highlight w:val="none"/>
          <w14:textFill>
            <w14:solidFill>
              <w14:schemeClr w14:val="tx1"/>
            </w14:solidFill>
          </w14:textFill>
        </w:rPr>
      </w:pPr>
    </w:p>
    <w:p>
      <w:pPr>
        <w:pStyle w:val="33"/>
        <w:tabs>
          <w:tab w:val="clear" w:pos="426"/>
        </w:tabs>
        <w:rPr>
          <w:color w:val="000000" w:themeColor="text1"/>
          <w:highlight w:val="none"/>
          <w14:textFill>
            <w14:solidFill>
              <w14:schemeClr w14:val="tx1"/>
            </w14:solidFill>
          </w14:textFill>
        </w:rPr>
      </w:pPr>
      <w:bookmarkStart w:id="3" w:name="_Toc22075"/>
      <w:bookmarkStart w:id="4" w:name="_Toc3628654"/>
      <w:r>
        <w:rPr>
          <w:rFonts w:hint="eastAsia"/>
          <w:color w:val="000000" w:themeColor="text1"/>
          <w:highlight w:val="none"/>
          <w14:textFill>
            <w14:solidFill>
              <w14:schemeClr w14:val="tx1"/>
            </w14:solidFill>
          </w14:textFill>
        </w:rPr>
        <w:t>项目关键信息</w:t>
      </w:r>
      <w:bookmarkEnd w:id="2"/>
      <w:bookmarkEnd w:id="3"/>
      <w:bookmarkEnd w:id="4"/>
    </w:p>
    <w:tbl>
      <w:tblPr>
        <w:tblStyle w:val="4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项目编号</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SSZX2019-338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项目名称</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监护型救护车采购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项目类型</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采购方式</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货币类型</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预算金额</w:t>
            </w:r>
          </w:p>
        </w:tc>
        <w:tc>
          <w:tcPr>
            <w:tcW w:w="6244" w:type="dxa"/>
            <w:vAlign w:val="center"/>
          </w:tcPr>
          <w:p>
            <w:pPr>
              <w:tabs>
                <w:tab w:val="clear" w:pos="426"/>
              </w:tabs>
              <w:adjustRightInd/>
              <w:snapToGrid/>
              <w:spacing w:line="240" w:lineRule="auto"/>
              <w:rPr>
                <w:bCs/>
                <w:color w:val="000000" w:themeColor="text1"/>
                <w:szCs w:val="21"/>
                <w:highlight w:val="none"/>
                <w14:textFill>
                  <w14:solidFill>
                    <w14:schemeClr w14:val="tx1"/>
                  </w14:solidFill>
                </w14:textFill>
              </w:rPr>
            </w:pPr>
            <w:r>
              <w:rPr>
                <w:rFonts w:hint="eastAsia" w:eastAsia="微软雅黑"/>
                <w:bCs/>
                <w:color w:val="000000" w:themeColor="text1"/>
                <w:szCs w:val="21"/>
                <w:highlight w:val="none"/>
                <w14:textFill>
                  <w14:solidFill>
                    <w14:schemeClr w14:val="tx1"/>
                  </w14:solidFill>
                </w14:textFill>
              </w:rPr>
              <w:t>¥560，000.00</w:t>
            </w:r>
            <w:r>
              <w:rPr>
                <w:rFonts w:hint="eastAsia"/>
                <w:bCs/>
                <w:color w:val="000000" w:themeColor="text1"/>
                <w:szCs w:val="21"/>
                <w:highlight w:val="none"/>
                <w14:textFill>
                  <w14:solidFill>
                    <w14:schemeClr w14:val="tx1"/>
                  </w14:solidFill>
                </w14:textFill>
              </w:rPr>
              <w:t>元（人民币伍拾陆万元整）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2284" w:type="dxa"/>
            <w:vAlign w:val="center"/>
          </w:tcPr>
          <w:p>
            <w:pPr>
              <w:tabs>
                <w:tab w:val="clear" w:pos="426"/>
              </w:tabs>
              <w:adjustRightInd/>
              <w:snapToGrid/>
              <w:spacing w:line="240" w:lineRule="auto"/>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投标保证金</w:t>
            </w:r>
          </w:p>
        </w:tc>
        <w:tc>
          <w:tcPr>
            <w:tcW w:w="6244" w:type="dxa"/>
            <w:vAlign w:val="center"/>
          </w:tcPr>
          <w:p>
            <w:pPr>
              <w:tabs>
                <w:tab w:val="clear" w:pos="426"/>
              </w:tabs>
              <w:adjustRightInd/>
              <w:snapToGrid/>
              <w:spacing w:line="240" w:lineRule="auto"/>
              <w:rPr>
                <w:snapToGrid w:val="0"/>
                <w:color w:val="000000" w:themeColor="text1"/>
                <w:szCs w:val="21"/>
                <w:highlight w:val="none"/>
                <w:u w:val="single"/>
                <w:lang w:val="zh-CN"/>
                <w14:textFill>
                  <w14:solidFill>
                    <w14:schemeClr w14:val="tx1"/>
                  </w14:solidFill>
                </w14:textFill>
              </w:rPr>
            </w:pPr>
            <w:r>
              <w:rPr>
                <w:rFonts w:hint="eastAsia"/>
                <w:color w:val="000000" w:themeColor="text1"/>
                <w:szCs w:val="21"/>
                <w:highlight w:val="none"/>
                <w14:textFill>
                  <w14:solidFill>
                    <w14:schemeClr w14:val="tx1"/>
                  </w14:solidFill>
                </w14:textFill>
              </w:rPr>
              <w:t>本项目不要求缴纳投标保证金。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评定分离</w:t>
            </w:r>
          </w:p>
        </w:tc>
        <w:tc>
          <w:tcPr>
            <w:tcW w:w="624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□是             </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评标方法</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综合评分法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定性评审法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定标方法</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自定法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抽签法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竞价法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投标人的替代方案</w:t>
            </w:r>
          </w:p>
        </w:tc>
        <w:tc>
          <w:tcPr>
            <w:tcW w:w="6244" w:type="dxa"/>
            <w:vAlign w:val="center"/>
          </w:tcPr>
          <w:p>
            <w:pPr>
              <w:tabs>
                <w:tab w:val="clear" w:pos="426"/>
              </w:tabs>
              <w:adjustRightInd/>
              <w:snapToGrid/>
              <w:spacing w:line="240" w:lineRule="auto"/>
              <w:rPr>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投标有效期</w:t>
            </w:r>
          </w:p>
        </w:tc>
        <w:tc>
          <w:tcPr>
            <w:tcW w:w="6244" w:type="dxa"/>
            <w:vAlign w:val="center"/>
          </w:tcPr>
          <w:p>
            <w:pPr>
              <w:tabs>
                <w:tab w:val="clear" w:pos="426"/>
              </w:tabs>
              <w:adjustRightInd/>
              <w:snapToGrid/>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228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履约担保金额</w:t>
            </w:r>
          </w:p>
        </w:tc>
        <w:tc>
          <w:tcPr>
            <w:tcW w:w="624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不提交</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提交</w:t>
            </w:r>
          </w:p>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担保金额：为中标价的</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 或</w:t>
            </w:r>
            <w:r>
              <w:rPr>
                <w:color w:val="000000" w:themeColor="text1"/>
                <w:highlight w:val="none"/>
                <w:u w:val="single"/>
                <w14:textFill>
                  <w14:solidFill>
                    <w14:schemeClr w14:val="tx1"/>
                  </w14:solidFill>
                </w14:textFill>
              </w:rPr>
              <w:t xml:space="preserve"> / </w:t>
            </w:r>
            <w:r>
              <w:rPr>
                <w:color w:val="000000" w:themeColor="text1"/>
                <w:highlight w:val="none"/>
                <w14:textFill>
                  <w14:solidFill>
                    <w14:schemeClr w14:val="tx1"/>
                  </w14:solidFill>
                </w14:textFill>
              </w:rPr>
              <w:t>万元</w:t>
            </w:r>
          </w:p>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担保提交时间：收到中标通知书后，并在签订合同前提交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投标文件份数</w:t>
            </w:r>
          </w:p>
        </w:tc>
        <w:tc>
          <w:tcPr>
            <w:tcW w:w="624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纸质投标文件一正本、四副本，开标信封一份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28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投标文件电子档</w:t>
            </w:r>
          </w:p>
        </w:tc>
        <w:tc>
          <w:tcPr>
            <w:tcW w:w="6244"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电子光盘一张（投标文件正本盖章后的彩色扫描件，</w:t>
            </w:r>
            <w:r>
              <w:rPr>
                <w:color w:val="000000" w:themeColor="text1"/>
                <w:highlight w:val="none"/>
                <w14:textFill>
                  <w14:solidFill>
                    <w14:schemeClr w14:val="tx1"/>
                  </w14:solidFill>
                </w14:textFill>
              </w:rPr>
              <w:t>PDF格式）</w:t>
            </w:r>
          </w:p>
        </w:tc>
      </w:tr>
    </w:tbl>
    <w:p>
      <w:pPr>
        <w:widowControl w:val="0"/>
        <w:shd w:val="clear" w:color="auto" w:fill="auto"/>
        <w:tabs>
          <w:tab w:val="clear" w:pos="426"/>
        </w:tabs>
        <w:adjustRightInd/>
        <w:snapToGrid/>
        <w:spacing w:line="240" w:lineRule="auto"/>
        <w:jc w:val="left"/>
        <w:rPr>
          <w:rFonts w:ascii="Calibri" w:hAnsi="Calibri" w:cs="Times New Roman"/>
          <w:b/>
          <w:color w:val="000000" w:themeColor="text1"/>
          <w:kern w:val="2"/>
          <w:szCs w:val="22"/>
          <w:highlight w:val="none"/>
          <w14:textFill>
            <w14:solidFill>
              <w14:schemeClr w14:val="tx1"/>
            </w14:solidFill>
          </w14:textFill>
        </w:rPr>
      </w:pPr>
    </w:p>
    <w:p>
      <w:pPr>
        <w:pStyle w:val="33"/>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5" w:name="_Toc27777"/>
      <w:r>
        <w:rPr>
          <w:rFonts w:hint="eastAsia"/>
          <w:color w:val="000000" w:themeColor="text1"/>
          <w:highlight w:val="none"/>
          <w14:textFill>
            <w14:solidFill>
              <w14:schemeClr w14:val="tx1"/>
            </w14:solidFill>
          </w14:textFill>
        </w:rPr>
        <w:t>资格、符合性评审条款</w:t>
      </w:r>
      <w:bookmarkEnd w:id="5"/>
    </w:p>
    <w:p>
      <w:pPr>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（凡有下列情形之一的，投标文件无效，投标作无效标处理</w:t>
      </w:r>
      <w:r>
        <w:rPr>
          <w:rFonts w:hint="eastAsia" w:ascii="黑体" w:eastAsia="黑体"/>
          <w:color w:val="000000" w:themeColor="text1"/>
          <w:szCs w:val="21"/>
          <w:highlight w:val="none"/>
          <w14:textFill>
            <w14:solidFill>
              <w14:schemeClr w14:val="tx1"/>
            </w14:solidFill>
          </w14:textFill>
        </w:rPr>
        <w:t>）</w:t>
      </w:r>
    </w:p>
    <w:tbl>
      <w:tblPr>
        <w:tblStyle w:val="4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64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7883"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645" w:type="dxa"/>
            <w:vAlign w:val="center"/>
          </w:tcPr>
          <w:p>
            <w:pPr>
              <w:numPr>
                <w:ilvl w:val="0"/>
                <w:numId w:val="21"/>
              </w:numPr>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投标人不具备招标资质要求，或未提交相应资质证明材料；(详见采购公告“投标人资质要求”，其中未列示的资质要求不得导致废标。)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8528"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未按招标文件所提供的样式填写</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投标函》；未按招标文件所提供的《政府采购投标及履约承诺函》进行承诺；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投标总价或分项报价高于财政预算限额（最高投标限价）；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spacing w:line="24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spacing w:line="24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投标文件载明的保修期低于招标文件规定的期限；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所投产品、工程、服务在商务、技术等方面没有实质性满足招标文件要求的；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《技术规格偏离表》填写不全、不明或不实；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645" w:type="dxa"/>
            <w:vAlign w:val="center"/>
          </w:tcPr>
          <w:p>
            <w:pPr>
              <w:widowControl w:val="0"/>
              <w:numPr>
                <w:ilvl w:val="0"/>
                <w:numId w:val="22"/>
              </w:numPr>
              <w:shd w:val="clear" w:color="auto" w:fill="auto"/>
              <w:tabs>
                <w:tab w:val="clear" w:pos="426"/>
              </w:tabs>
              <w:adjustRightInd/>
              <w:snapToGrid/>
              <w:spacing w:line="240" w:lineRule="auto"/>
              <w:ind w:left="0" w:firstLine="0"/>
              <w:jc w:val="center"/>
              <w:rPr>
                <w:color w:val="000000" w:themeColor="text1"/>
                <w:highlight w:val="none"/>
                <w14:textFill>
                  <w14:solidFill>
                    <w14:schemeClr w14:val="tx1"/>
                  </w14:solidFill>
                </w14:textFill>
              </w:rPr>
            </w:pPr>
          </w:p>
        </w:tc>
        <w:tc>
          <w:tcPr>
            <w:tcW w:w="7883" w:type="dxa"/>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法律、法规规定的属于投标无效的其他情形。</w:t>
            </w:r>
          </w:p>
        </w:tc>
      </w:tr>
    </w:tbl>
    <w:p>
      <w:pPr>
        <w:pStyle w:val="33"/>
        <w:widowControl w:val="0"/>
        <w:shd w:val="clear" w:color="auto" w:fill="auto"/>
        <w:tabs>
          <w:tab w:val="clear" w:pos="426"/>
        </w:tabs>
        <w:adjustRightInd/>
        <w:snapToGrid/>
        <w:jc w:val="both"/>
        <w:outlineLvl w:val="9"/>
        <w:rPr>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3"/>
        <w:tabs>
          <w:tab w:val="clear" w:pos="426"/>
        </w:tabs>
        <w:rPr>
          <w:color w:val="000000" w:themeColor="text1"/>
          <w:highlight w:val="none"/>
          <w14:textFill>
            <w14:solidFill>
              <w14:schemeClr w14:val="tx1"/>
            </w14:solidFill>
          </w14:textFill>
        </w:rPr>
      </w:pPr>
      <w:r>
        <w:rPr>
          <w:color w:val="000000" w:themeColor="text1"/>
          <w:sz w:val="24"/>
          <w:highlight w:val="none"/>
          <w14:textFill>
            <w14:solidFill>
              <w14:schemeClr w14:val="tx1"/>
            </w14:solidFill>
          </w14:textFill>
        </w:rPr>
        <w:br w:type="page"/>
      </w:r>
      <w:bookmarkStart w:id="6" w:name="_Toc17376"/>
      <w:bookmarkStart w:id="7" w:name="_Toc3628656"/>
      <w:bookmarkStart w:id="8" w:name="_Toc435514846"/>
      <w:r>
        <w:rPr>
          <w:color w:val="000000" w:themeColor="text1"/>
          <w:highlight w:val="none"/>
          <w14:textFill>
            <w14:solidFill>
              <w14:schemeClr w14:val="tx1"/>
            </w14:solidFill>
          </w14:textFill>
        </w:rPr>
        <w:t>评标信息</w:t>
      </w:r>
      <w:bookmarkEnd w:id="6"/>
      <w:bookmarkEnd w:id="7"/>
    </w:p>
    <w:p>
      <w:pPr>
        <w:widowControl w:val="0"/>
        <w:shd w:val="clear" w:color="auto" w:fill="auto"/>
        <w:tabs>
          <w:tab w:val="clear" w:pos="426"/>
        </w:tabs>
        <w:adjustRightInd/>
        <w:snapToGrid/>
        <w:spacing w:line="300" w:lineRule="auto"/>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1.本项目的评审办法采用：综合评分法。</w:t>
      </w:r>
      <w:r>
        <w:rPr>
          <w:rFonts w:hint="eastAsia"/>
          <w:b/>
          <w:color w:val="000000" w:themeColor="text1"/>
          <w:szCs w:val="21"/>
          <w:highlight w:val="none"/>
          <w14:textFill>
            <w14:solidFill>
              <w14:schemeClr w14:val="tx1"/>
            </w14:solidFill>
          </w14:textFill>
        </w:rPr>
        <w:t>本招标文件所述评标方法和定标方法与招标文件《通用条款</w:t>
      </w:r>
      <w:r>
        <w:rPr>
          <w:b/>
          <w:color w:val="000000" w:themeColor="text1"/>
          <w:szCs w:val="21"/>
          <w:highlight w:val="none"/>
          <w14:textFill>
            <w14:solidFill>
              <w14:schemeClr w14:val="tx1"/>
            </w14:solidFill>
          </w14:textFill>
        </w:rPr>
        <w:t>》所述不一致之处，以以下方法为准。</w:t>
      </w:r>
    </w:p>
    <w:p>
      <w:pPr>
        <w:widowControl w:val="0"/>
        <w:shd w:val="clear" w:color="auto" w:fill="auto"/>
        <w:tabs>
          <w:tab w:val="clear" w:pos="426"/>
        </w:tabs>
        <w:adjustRightInd/>
        <w:snapToGrid/>
        <w:spacing w:line="30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中标人数量为：1家。</w:t>
      </w:r>
    </w:p>
    <w:p>
      <w:pPr>
        <w:widowControl w:val="0"/>
        <w:shd w:val="clear" w:color="auto" w:fill="auto"/>
        <w:tabs>
          <w:tab w:val="clear" w:pos="426"/>
        </w:tabs>
        <w:adjustRightInd/>
        <w:snapToGrid/>
        <w:spacing w:line="30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综合评分法，是指投标文件满足招标文件全部实质性要求，且按照评审因素的量化指标评审得分最高的投标人为候选中标人的评标方法。</w:t>
      </w:r>
    </w:p>
    <w:p>
      <w:pPr>
        <w:widowControl w:val="0"/>
        <w:shd w:val="clear" w:color="auto" w:fill="auto"/>
        <w:tabs>
          <w:tab w:val="clear" w:pos="426"/>
        </w:tabs>
        <w:adjustRightInd/>
        <w:snapToGrid/>
        <w:spacing w:line="30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投标人将被推荐为候选中标人，并作出评审结论</w:t>
      </w:r>
      <w:r>
        <w:rPr>
          <w:rFonts w:hint="eastAsia"/>
          <w:bCs/>
          <w:color w:val="000000" w:themeColor="text1"/>
          <w:szCs w:val="21"/>
          <w:highlight w:val="none"/>
          <w14:textFill>
            <w14:solidFill>
              <w14:schemeClr w14:val="tx1"/>
            </w14:solidFill>
          </w14:textFill>
        </w:rPr>
        <w:t>。经采购人同意后，确定为中标人。</w:t>
      </w:r>
    </w:p>
    <w:p>
      <w:pPr>
        <w:tabs>
          <w:tab w:val="clear" w:pos="426"/>
        </w:tabs>
        <w:spacing w:line="300" w:lineRule="auto"/>
        <w:ind w:firstLine="420" w:firstLineChars="200"/>
        <w:rPr>
          <w:rFonts w:cs="Times New Roman"/>
          <w:b/>
          <w:bCs/>
          <w:color w:val="000000" w:themeColor="text1"/>
          <w:kern w:val="2"/>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候选中标人按评审后得分由高到低顺序排列；得分相同的，按投标报价由低到高顺序排列；得分且投标报价相同的，按技术指标或服务方案优劣顺序排列；排列第一名的投标人获得候选中标人推荐资格。得分且投标报价相同的且技术指标或服务方案优劣相同的，</w:t>
      </w:r>
      <w:r>
        <w:rPr>
          <w:rFonts w:cs="Times New Roman"/>
          <w:bCs/>
          <w:color w:val="000000" w:themeColor="text1"/>
          <w:kern w:val="2"/>
          <w:szCs w:val="21"/>
          <w:highlight w:val="none"/>
          <w14:textFill>
            <w14:solidFill>
              <w14:schemeClr w14:val="tx1"/>
            </w14:solidFill>
          </w14:textFill>
        </w:rPr>
        <w:t>采取随机抽取方式确定</w:t>
      </w:r>
      <w:r>
        <w:rPr>
          <w:rFonts w:hint="eastAsia" w:cs="Times New Roman"/>
          <w:bCs/>
          <w:color w:val="000000" w:themeColor="text1"/>
          <w:kern w:val="2"/>
          <w:szCs w:val="21"/>
          <w:highlight w:val="none"/>
          <w14:textFill>
            <w14:solidFill>
              <w14:schemeClr w14:val="tx1"/>
            </w14:solidFill>
          </w14:textFill>
        </w:rPr>
        <w:t>候选</w:t>
      </w:r>
      <w:r>
        <w:rPr>
          <w:rFonts w:cs="Times New Roman"/>
          <w:bCs/>
          <w:color w:val="000000" w:themeColor="text1"/>
          <w:kern w:val="2"/>
          <w:szCs w:val="21"/>
          <w:highlight w:val="none"/>
          <w14:textFill>
            <w14:solidFill>
              <w14:schemeClr w14:val="tx1"/>
            </w14:solidFill>
          </w14:textFill>
        </w:rPr>
        <w:t>中标人推荐资格</w:t>
      </w:r>
      <w:r>
        <w:rPr>
          <w:rFonts w:hint="eastAsia" w:cs="Times New Roman"/>
          <w:bCs/>
          <w:color w:val="000000" w:themeColor="text1"/>
          <w:kern w:val="2"/>
          <w:szCs w:val="21"/>
          <w:highlight w:val="none"/>
          <w14:textFill>
            <w14:solidFill>
              <w14:schemeClr w14:val="tx1"/>
            </w14:solidFill>
          </w14:textFill>
        </w:rPr>
        <w:t>。</w:t>
      </w:r>
    </w:p>
    <w:p>
      <w:pPr>
        <w:tabs>
          <w:tab w:val="clear" w:pos="426"/>
        </w:tabs>
        <w:spacing w:line="30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shd w:val="clear" w:color="auto" w:fill="auto"/>
        <w:tabs>
          <w:tab w:val="clear" w:pos="426"/>
        </w:tabs>
        <w:adjustRightInd/>
        <w:snapToGrid/>
        <w:spacing w:line="30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.价格分计算方法：</w:t>
      </w:r>
    </w:p>
    <w:p>
      <w:pPr>
        <w:tabs>
          <w:tab w:val="clear" w:pos="426"/>
        </w:tabs>
        <w:spacing w:line="30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依据《</w:t>
      </w:r>
      <w:r>
        <w:rPr>
          <w:color w:val="000000" w:themeColor="text1"/>
          <w:szCs w:val="21"/>
          <w:highlight w:val="none"/>
          <w14:textFill>
            <w14:solidFill>
              <w14:schemeClr w14:val="tx1"/>
            </w14:solidFill>
          </w14:textFill>
        </w:rPr>
        <w:t>深圳市财政委员会关于严格执行财政部87号令价格分计算规定的通知</w:t>
      </w:r>
      <w:r>
        <w:rPr>
          <w:rFonts w:hint="eastAsia"/>
          <w:color w:val="000000" w:themeColor="text1"/>
          <w:szCs w:val="21"/>
          <w:highlight w:val="none"/>
          <w14:textFill>
            <w14:solidFill>
              <w14:schemeClr w14:val="tx1"/>
            </w14:solidFill>
          </w14:textFill>
        </w:rPr>
        <w:t>》（深财购〔</w:t>
      </w:r>
      <w:r>
        <w:rPr>
          <w:color w:val="000000" w:themeColor="text1"/>
          <w:szCs w:val="21"/>
          <w:highlight w:val="none"/>
          <w14:textFill>
            <w14:solidFill>
              <w14:schemeClr w14:val="tx1"/>
            </w14:solidFill>
          </w14:textFill>
        </w:rPr>
        <w:t>2018〕33号</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政府采购货物和服务招标投标管理办法</w:t>
      </w:r>
      <w:r>
        <w:rPr>
          <w:rFonts w:hint="eastAsia"/>
          <w:color w:val="000000" w:themeColor="text1"/>
          <w:szCs w:val="21"/>
          <w:highlight w:val="none"/>
          <w14:textFill>
            <w14:solidFill>
              <w14:schemeClr w14:val="tx1"/>
            </w14:solidFill>
          </w14:textFill>
        </w:rPr>
        <w:t>》（财政部令第</w:t>
      </w:r>
      <w:r>
        <w:rPr>
          <w:color w:val="000000" w:themeColor="text1"/>
          <w:szCs w:val="21"/>
          <w:highlight w:val="none"/>
          <w14:textFill>
            <w14:solidFill>
              <w14:schemeClr w14:val="tx1"/>
            </w14:solidFill>
          </w14:textFill>
        </w:rPr>
        <w:t>87号）</w:t>
      </w:r>
      <w:r>
        <w:rPr>
          <w:rFonts w:hint="eastAsia"/>
          <w:color w:val="000000" w:themeColor="text1"/>
          <w:szCs w:val="21"/>
          <w:highlight w:val="none"/>
          <w14:textFill>
            <w14:solidFill>
              <w14:schemeClr w14:val="tx1"/>
            </w14:solidFill>
          </w14:textFill>
        </w:rPr>
        <w:t>第五十五条第六款之规定：价格分应当采用低价优先法计算，即满足招标文件要求且投标价格最低的投标报价为评标基准价，其价格分为满分。其他投标人的价格分统一按照下列公式计算：</w:t>
      </w:r>
    </w:p>
    <w:p>
      <w:pPr>
        <w:tabs>
          <w:tab w:val="clear" w:pos="426"/>
        </w:tabs>
        <w:spacing w:line="30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投标报价得分</w:t>
      </w:r>
      <w:r>
        <w:rPr>
          <w:color w:val="000000" w:themeColor="text1"/>
          <w:szCs w:val="21"/>
          <w:highlight w:val="none"/>
          <w14:textFill>
            <w14:solidFill>
              <w14:schemeClr w14:val="tx1"/>
            </w14:solidFill>
          </w14:textFill>
        </w:rPr>
        <w:t>=(评标基准价／投标报价)×100</w:t>
      </w:r>
    </w:p>
    <w:p>
      <w:pPr>
        <w:tabs>
          <w:tab w:val="clear" w:pos="426"/>
        </w:tabs>
        <w:spacing w:line="30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评标总得分＝</w:t>
      </w:r>
      <w:r>
        <w:rPr>
          <w:color w:val="000000" w:themeColor="text1"/>
          <w:szCs w:val="21"/>
          <w:highlight w:val="none"/>
          <w14:textFill>
            <w14:solidFill>
              <w14:schemeClr w14:val="tx1"/>
            </w14:solidFill>
          </w14:textFill>
        </w:rPr>
        <w:t>F1×A1＋F2×A2＋……＋Fn×An</w:t>
      </w:r>
    </w:p>
    <w:p>
      <w:pPr>
        <w:tabs>
          <w:tab w:val="clear" w:pos="426"/>
        </w:tabs>
        <w:spacing w:line="30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F1、F2……Fn分别为各项评审因素的得分；</w:t>
      </w:r>
    </w:p>
    <w:p>
      <w:pPr>
        <w:tabs>
          <w:tab w:val="clear" w:pos="426"/>
        </w:tabs>
        <w:spacing w:line="30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A1、A2、……An 分别为各项评审因素所占的权重(A1＋A2＋……＋An＝1)。</w:t>
      </w:r>
    </w:p>
    <w:p>
      <w:pPr>
        <w:tabs>
          <w:tab w:val="clear" w:pos="426"/>
        </w:tabs>
        <w:spacing w:line="30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评标过程中，不得去掉报价中的最高报价和最低报价。</w:t>
      </w:r>
    </w:p>
    <w:p>
      <w:pPr>
        <w:tabs>
          <w:tab w:val="clear" w:pos="426"/>
        </w:tabs>
        <w:spacing w:line="30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因落实政府采购政策进行价格调整的，以调整后的价格计算评标基准价和投标报价。</w:t>
      </w:r>
    </w:p>
    <w:p>
      <w:pPr>
        <w:tabs>
          <w:tab w:val="clear" w:pos="426"/>
        </w:tabs>
        <w:spacing w:line="30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在实际评标过程中，《评分细则表》中的“分值”项为各项评审因素的实际分</w:t>
      </w:r>
      <w:r>
        <w:rPr>
          <w:color w:val="000000" w:themeColor="text1"/>
          <w:szCs w:val="21"/>
          <w:highlight w:val="none"/>
          <w14:textFill>
            <w14:solidFill>
              <w14:schemeClr w14:val="tx1"/>
            </w14:solidFill>
          </w14:textFill>
        </w:rPr>
        <w:t>Sn，Sn=Fn×An，评标总得分=S1＋S2＋……＋Sn，投标报价的实际分=(评标基准价／投标报价)×100×价格权重。</w:t>
      </w:r>
    </w:p>
    <w:p>
      <w:pPr>
        <w:tabs>
          <w:tab w:val="clear" w:pos="426"/>
        </w:tabs>
        <w:spacing w:line="30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评标优惠政策</w:t>
      </w:r>
    </w:p>
    <w:p>
      <w:pPr>
        <w:tabs>
          <w:tab w:val="clear" w:pos="426"/>
        </w:tabs>
        <w:spacing w:line="30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color w:val="000000" w:themeColor="text1"/>
          <w:szCs w:val="21"/>
          <w:highlight w:val="none"/>
          <w:u w:val="single"/>
          <w14:textFill>
            <w14:solidFill>
              <w14:schemeClr w14:val="tx1"/>
            </w14:solidFill>
          </w14:textFill>
        </w:rPr>
        <w:t xml:space="preserve"> 6 </w:t>
      </w:r>
      <w:r>
        <w:rPr>
          <w:color w:val="000000" w:themeColor="text1"/>
          <w:szCs w:val="21"/>
          <w:highlight w:val="none"/>
          <w14:textFill>
            <w14:solidFill>
              <w14:schemeClr w14:val="tx1"/>
            </w14:solidFill>
          </w14:textFill>
        </w:rPr>
        <w:t>%后参与评审。对于同时属于小微企业、监狱企业或残疾人福利性</w:t>
      </w:r>
      <w:r>
        <w:rPr>
          <w:rFonts w:hint="eastAsia"/>
          <w:color w:val="000000" w:themeColor="text1"/>
          <w:szCs w:val="21"/>
          <w:highlight w:val="none"/>
          <w14:textFill>
            <w14:solidFill>
              <w14:schemeClr w14:val="tx1"/>
            </w14:solidFill>
          </w14:textFill>
        </w:rPr>
        <w:t>单位的，不重复进行投标报价扣除。如有其它政策支持因素（如鼓励创新等）需一并列出。</w:t>
      </w:r>
    </w:p>
    <w:p>
      <w:pPr>
        <w:tabs>
          <w:tab w:val="clear" w:pos="426"/>
        </w:tabs>
        <w:spacing w:line="30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3.2.联合协议中约定，小型、微型企业、残疾人福利性单位和监狱企业的协议合同金额占到联合体协议合同总金额30%以上的，可给予联合体</w:t>
      </w:r>
      <w:r>
        <w:rPr>
          <w:color w:val="000000" w:themeColor="text1"/>
          <w:szCs w:val="21"/>
          <w:highlight w:val="none"/>
          <w:u w:val="single"/>
          <w14:textFill>
            <w14:solidFill>
              <w14:schemeClr w14:val="tx1"/>
            </w14:solidFill>
          </w14:textFill>
        </w:rPr>
        <w:t xml:space="preserve"> 2 </w:t>
      </w:r>
      <w:r>
        <w:rPr>
          <w:color w:val="000000" w:themeColor="text1"/>
          <w:szCs w:val="21"/>
          <w:highlight w:val="none"/>
          <w14:textFill>
            <w14:solidFill>
              <w14:schemeClr w14:val="tx1"/>
            </w14:solidFill>
          </w14:textFill>
        </w:rPr>
        <w:t>% （请在2%-3%范围内选择）的价格扣除。</w:t>
      </w:r>
    </w:p>
    <w:p>
      <w:pPr>
        <w:tabs>
          <w:tab w:val="clear" w:pos="426"/>
        </w:tabs>
        <w:spacing w:line="30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联合体各方均为小型、微型企业和监狱企业的，联合体视同为小型、微型企业和监狱企业，均享受</w:t>
      </w:r>
      <w:r>
        <w:rPr>
          <w:rFonts w:hint="eastAsia"/>
          <w:b/>
          <w:color w:val="000000" w:themeColor="text1"/>
          <w:szCs w:val="21"/>
          <w:highlight w:val="none"/>
          <w14:textFill>
            <w14:solidFill>
              <w14:schemeClr w14:val="tx1"/>
            </w14:solidFill>
          </w14:textFill>
        </w:rPr>
        <w:t>评标优惠政策</w:t>
      </w:r>
      <w:r>
        <w:rPr>
          <w:rFonts w:hint="eastAsia"/>
          <w:color w:val="000000" w:themeColor="text1"/>
          <w:szCs w:val="21"/>
          <w:highlight w:val="none"/>
          <w14:textFill>
            <w14:solidFill>
              <w14:schemeClr w14:val="tx1"/>
            </w14:solidFill>
          </w14:textFill>
        </w:rPr>
        <w:t>第一款的优惠政策。</w:t>
      </w:r>
    </w:p>
    <w:p>
      <w:pPr>
        <w:tabs>
          <w:tab w:val="clear" w:pos="426"/>
        </w:tabs>
        <w:spacing w:line="300" w:lineRule="auto"/>
        <w:ind w:firstLine="422" w:firstLineChars="20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3.3.</w:t>
      </w:r>
      <w:r>
        <w:rPr>
          <w:rFonts w:hint="eastAsia"/>
          <w:b/>
          <w:color w:val="000000" w:themeColor="text1"/>
          <w:szCs w:val="21"/>
          <w:highlight w:val="none"/>
          <w14:textFill>
            <w14:solidFill>
              <w14:schemeClr w14:val="tx1"/>
            </w14:solidFill>
          </w14:textFill>
        </w:rPr>
        <w:t>如采购人所采购产品为政府强制采购的节能产品，投标人所投产品的品牌及型号必须为清单中有效期内产品并提供证明文件，否则其投标将被认定为投标无效。</w:t>
      </w:r>
    </w:p>
    <w:p>
      <w:pPr>
        <w:tabs>
          <w:tab w:val="clear" w:pos="426"/>
        </w:tabs>
        <w:spacing w:line="30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4.评标专家应对通过投标文件初审进入评标程序的投标文件先评技术标、再评商务标；</w:t>
      </w:r>
    </w:p>
    <w:p>
      <w:pPr>
        <w:tabs>
          <w:tab w:val="clear" w:pos="426"/>
        </w:tabs>
        <w:spacing w:line="30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5.评标专家需按招标文件规定的评审标准对投标人提交的投标文件进行评审，投标文件中与评审标准无关的内容不作为评审内容</w:t>
      </w:r>
      <w:r>
        <w:rPr>
          <w:rFonts w:hint="eastAsia"/>
          <w:color w:val="000000" w:themeColor="text1"/>
          <w:szCs w:val="21"/>
          <w:highlight w:val="none"/>
          <w14:textFill>
            <w14:solidFill>
              <w14:schemeClr w14:val="tx1"/>
            </w14:solidFill>
          </w14:textFill>
        </w:rPr>
        <w:t>。</w:t>
      </w:r>
    </w:p>
    <w:p>
      <w:pPr>
        <w:widowControl w:val="0"/>
        <w:shd w:val="clear" w:color="auto" w:fill="auto"/>
        <w:tabs>
          <w:tab w:val="clear" w:pos="426"/>
        </w:tabs>
        <w:adjustRightInd/>
        <w:snapToGrid/>
        <w:ind w:left="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评标委员会在评标时，应按照以下量化的评审因素，对各投标文件进行分析和比较：</w:t>
      </w:r>
    </w:p>
    <w:p>
      <w:pPr>
        <w:tabs>
          <w:tab w:val="clear" w:pos="426"/>
        </w:tabs>
        <w:spacing w:line="300" w:lineRule="auto"/>
        <w:ind w:firstLine="422" w:firstLineChars="200"/>
        <w:rPr>
          <w:b/>
          <w:color w:val="000000" w:themeColor="text1"/>
          <w:szCs w:val="21"/>
          <w:highlight w:val="none"/>
          <w14:textFill>
            <w14:solidFill>
              <w14:schemeClr w14:val="tx1"/>
            </w14:solidFill>
          </w14:textFill>
        </w:rPr>
      </w:pPr>
      <w:bookmarkStart w:id="9" w:name="_Hlk535523259"/>
    </w:p>
    <w:p>
      <w:pPr>
        <w:tabs>
          <w:tab w:val="clear" w:pos="426"/>
        </w:tabs>
        <w:spacing w:line="300" w:lineRule="auto"/>
        <w:ind w:firstLine="422" w:firstLineChars="200"/>
        <w:rPr>
          <w:b/>
          <w:color w:val="000000" w:themeColor="text1"/>
          <w:szCs w:val="21"/>
          <w:highlight w:val="none"/>
          <w14:textFill>
            <w14:solidFill>
              <w14:schemeClr w14:val="tx1"/>
            </w14:solidFill>
          </w14:textFill>
        </w:rPr>
      </w:pPr>
    </w:p>
    <w:p>
      <w:pPr>
        <w:tabs>
          <w:tab w:val="clear" w:pos="426"/>
        </w:tabs>
        <w:spacing w:line="300" w:lineRule="auto"/>
        <w:ind w:firstLine="422" w:firstLineChars="200"/>
        <w:rPr>
          <w:b/>
          <w:color w:val="000000" w:themeColor="text1"/>
          <w:szCs w:val="21"/>
          <w:highlight w:val="none"/>
          <w14:textFill>
            <w14:solidFill>
              <w14:schemeClr w14:val="tx1"/>
            </w14:solidFill>
          </w14:textFill>
        </w:rPr>
      </w:pPr>
    </w:p>
    <w:p>
      <w:pPr>
        <w:tabs>
          <w:tab w:val="clear" w:pos="426"/>
        </w:tabs>
        <w:spacing w:line="300" w:lineRule="auto"/>
        <w:ind w:firstLine="560" w:firstLineChars="200"/>
        <w:rPr>
          <w:color w:val="000000" w:themeColor="text1"/>
          <w:sz w:val="28"/>
          <w:szCs w:val="28"/>
          <w:highlight w:val="none"/>
          <w14:textFill>
            <w14:solidFill>
              <w14:schemeClr w14:val="tx1"/>
            </w14:solidFill>
          </w14:textFill>
        </w:rPr>
      </w:pPr>
    </w:p>
    <w:bookmarkEnd w:id="8"/>
    <w:bookmarkEnd w:id="9"/>
    <w:p>
      <w:pPr>
        <w:pStyle w:val="33"/>
        <w:widowControl w:val="0"/>
        <w:shd w:val="clear" w:color="auto" w:fill="auto"/>
        <w:tabs>
          <w:tab w:val="clear" w:pos="426"/>
        </w:tabs>
        <w:adjustRightInd/>
        <w:snapToGrid/>
        <w:outlineLvl w:val="9"/>
        <w:rPr>
          <w:rFonts w:ascii="宋体" w:hAnsi="宋体"/>
          <w:bCs w:val="0"/>
          <w:color w:val="000000" w:themeColor="text1"/>
          <w:sz w:val="24"/>
          <w:szCs w:val="24"/>
          <w:highlight w:val="none"/>
          <w14:textFill>
            <w14:solidFill>
              <w14:schemeClr w14:val="tx1"/>
            </w14:solidFill>
          </w14:textFill>
        </w:rPr>
      </w:pPr>
      <w:r>
        <w:rPr>
          <w:bCs w:val="0"/>
          <w:color w:val="000000" w:themeColor="text1"/>
          <w:sz w:val="24"/>
          <w:highlight w:val="none"/>
          <w14:textFill>
            <w14:solidFill>
              <w14:schemeClr w14:val="tx1"/>
            </w14:solidFill>
          </w14:textFill>
        </w:rPr>
        <w:br w:type="page"/>
      </w:r>
      <w:bookmarkStart w:id="10" w:name="_Toc14756"/>
      <w:r>
        <w:rPr>
          <w:rFonts w:hint="eastAsia" w:ascii="宋体" w:hAnsi="宋体"/>
          <w:bCs w:val="0"/>
          <w:color w:val="000000" w:themeColor="text1"/>
          <w:sz w:val="24"/>
          <w:szCs w:val="24"/>
          <w:highlight w:val="none"/>
          <w14:textFill>
            <w14:solidFill>
              <w14:schemeClr w14:val="tx1"/>
            </w14:solidFill>
          </w14:textFill>
        </w:rPr>
        <w:t>评分细则表</w:t>
      </w:r>
      <w:bookmarkEnd w:id="10"/>
    </w:p>
    <w:p>
      <w:pPr>
        <w:tabs>
          <w:tab w:val="clear" w:pos="426"/>
        </w:tabs>
        <w:spacing w:line="240" w:lineRule="auto"/>
        <w:rPr>
          <w:color w:val="000000" w:themeColor="text1"/>
          <w:highlight w:val="none"/>
          <w14:textFill>
            <w14:solidFill>
              <w14:schemeClr w14:val="tx1"/>
            </w14:solidFill>
          </w14:textFill>
        </w:rPr>
      </w:pPr>
      <w:bookmarkStart w:id="11" w:name="bt其他资料2"/>
      <w:bookmarkEnd w:id="11"/>
      <w:bookmarkStart w:id="12" w:name="bt合同条款及格式"/>
      <w:bookmarkEnd w:id="12"/>
      <w:bookmarkStart w:id="13" w:name="bt合同格式"/>
      <w:bookmarkEnd w:id="13"/>
      <w:bookmarkStart w:id="14" w:name="bt技术标投标文件格式"/>
      <w:bookmarkEnd w:id="14"/>
      <w:bookmarkStart w:id="15" w:name="bt投标人须知"/>
      <w:bookmarkEnd w:id="15"/>
      <w:bookmarkStart w:id="16" w:name="bt其他资料由投标人自定"/>
      <w:bookmarkEnd w:id="16"/>
      <w:bookmarkStart w:id="17" w:name="bt投标人情况介绍"/>
      <w:bookmarkEnd w:id="17"/>
      <w:bookmarkStart w:id="18" w:name="bt投标文件签署授权委托书"/>
      <w:bookmarkEnd w:id="18"/>
      <w:bookmarkStart w:id="19" w:name="bt开标一览表"/>
      <w:bookmarkEnd w:id="19"/>
      <w:bookmarkStart w:id="20" w:name="bt投标函"/>
      <w:bookmarkEnd w:id="20"/>
      <w:bookmarkStart w:id="21" w:name="bt商务标投标文件格式"/>
      <w:bookmarkEnd w:id="21"/>
      <w:bookmarkStart w:id="22" w:name="bt说明"/>
      <w:bookmarkEnd w:id="22"/>
      <w:bookmarkStart w:id="23" w:name="bt本工程承诺书"/>
      <w:bookmarkEnd w:id="23"/>
      <w:bookmarkStart w:id="24" w:name="bt合同条款"/>
      <w:bookmarkEnd w:id="24"/>
      <w:bookmarkStart w:id="25" w:name="合同格式"/>
      <w:bookmarkEnd w:id="25"/>
      <w:bookmarkStart w:id="26" w:name="bt投标报价汇总表"/>
      <w:bookmarkEnd w:id="26"/>
      <w:bookmarkStart w:id="27" w:name="bt项目管理班子配备情况"/>
      <w:bookmarkEnd w:id="27"/>
      <w:bookmarkStart w:id="28" w:name="_Toc432592812"/>
    </w:p>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w:t>
      </w:r>
    </w:p>
    <w:p>
      <w:pPr>
        <w:tabs>
          <w:tab w:val="clear" w:pos="426"/>
        </w:tabs>
        <w:spacing w:line="24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 有取值范围的，含上限值不含下限值。每一项的得分均不能超过该项最高分值。</w:t>
      </w:r>
    </w:p>
    <w:p>
      <w:pPr>
        <w:tabs>
          <w:tab w:val="clear" w:pos="426"/>
        </w:tabs>
        <w:spacing w:line="24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 缺项则该项为0分或不合格为0分。</w:t>
      </w:r>
    </w:p>
    <w:p>
      <w:pPr>
        <w:tabs>
          <w:tab w:val="clear" w:pos="426"/>
        </w:tabs>
        <w:spacing w:line="24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 价格、技术、商务部分为针对项目具体情况设置项目，累加满分为100分，固定额外加分部分为固定设置项，对涉及政策导向优先采购产品进行额外加分。</w:t>
      </w:r>
    </w:p>
    <w:p>
      <w:pPr>
        <w:tabs>
          <w:tab w:val="clear" w:pos="426"/>
        </w:tabs>
        <w:spacing w:line="240" w:lineRule="auto"/>
        <w:ind w:firstLine="424" w:firstLineChars="202"/>
        <w:rPr>
          <w:rFonts w:ascii="Arial" w:hAnsi="Arial" w:cs="Arial"/>
          <w:snapToGrid w:val="0"/>
          <w:color w:val="000000" w:themeColor="text1"/>
          <w:szCs w:val="18"/>
          <w:highlight w:val="none"/>
          <w14:textFill>
            <w14:solidFill>
              <w14:schemeClr w14:val="tx1"/>
            </w14:solidFill>
          </w14:textFill>
        </w:rPr>
      </w:pPr>
      <w:r>
        <w:rPr>
          <w:rFonts w:hint="eastAsia"/>
          <w:color w:val="000000" w:themeColor="text1"/>
          <w:highlight w:val="none"/>
          <w14:textFill>
            <w14:solidFill>
              <w14:schemeClr w14:val="tx1"/>
            </w14:solidFill>
          </w14:textFill>
        </w:rPr>
        <w:t>4. 综合以上</w:t>
      </w:r>
      <w:r>
        <w:rPr>
          <w:rFonts w:hint="eastAsia"/>
          <w:snapToGrid w:val="0"/>
          <w:color w:val="000000" w:themeColor="text1"/>
          <w:highlight w:val="none"/>
          <w14:textFill>
            <w14:solidFill>
              <w14:schemeClr w14:val="tx1"/>
            </w14:solidFill>
          </w14:textFill>
        </w:rPr>
        <w:t>分析比较，评委会将对各投标文件进行书面的量化评定，得分</w:t>
      </w:r>
      <w:r>
        <w:rPr>
          <w:rFonts w:ascii="Arial" w:hAnsi="Arial" w:cs="Arial"/>
          <w:snapToGrid w:val="0"/>
          <w:color w:val="000000" w:themeColor="text1"/>
          <w:szCs w:val="18"/>
          <w:highlight w:val="none"/>
          <w14:textFill>
            <w14:solidFill>
              <w14:schemeClr w14:val="tx1"/>
            </w14:solidFill>
          </w14:textFill>
        </w:rPr>
        <w:t>精确到小数点后两位</w:t>
      </w:r>
      <w:r>
        <w:rPr>
          <w:rFonts w:hint="eastAsia" w:ascii="Arial" w:hAnsi="Arial" w:cs="Arial"/>
          <w:snapToGrid w:val="0"/>
          <w:color w:val="000000" w:themeColor="text1"/>
          <w:szCs w:val="18"/>
          <w:highlight w:val="none"/>
          <w14:textFill>
            <w14:solidFill>
              <w14:schemeClr w14:val="tx1"/>
            </w14:solidFill>
          </w14:textFill>
        </w:rPr>
        <w:t>。</w:t>
      </w:r>
    </w:p>
    <w:p>
      <w:pPr>
        <w:tabs>
          <w:tab w:val="clear" w:pos="426"/>
        </w:tabs>
        <w:spacing w:line="240" w:lineRule="auto"/>
        <w:ind w:firstLine="424" w:firstLineChars="202"/>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5.客观评分项，所有评审专家应当统一打分分值；主观评分项，评审专家应当按照打分标准独立打分，对于单项打分低于60%或者达到100%，评审专家需要做出书面合理说明。</w:t>
      </w:r>
    </w:p>
    <w:p>
      <w:pPr>
        <w:tabs>
          <w:tab w:val="clear" w:pos="426"/>
        </w:tabs>
        <w:spacing w:line="240" w:lineRule="auto"/>
        <w:ind w:firstLine="424" w:firstLineChars="202"/>
        <w:jc w:val="left"/>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6.根据财政部《关于在政府采购活动中查询及使用信用记录有关问题的通知》（财库</w:t>
      </w:r>
      <w:r>
        <w:rPr>
          <w:rFonts w:ascii="Arial" w:hAnsi="Arial" w:cs="Arial"/>
          <w:color w:val="000000" w:themeColor="text1"/>
          <w:sz w:val="20"/>
          <w:szCs w:val="20"/>
          <w:highlight w:val="none"/>
          <w:shd w:val="clear" w:color="auto" w:fill="FFFFFF"/>
          <w14:textFill>
            <w14:solidFill>
              <w14:schemeClr w14:val="tx1"/>
            </w14:solidFill>
          </w14:textFill>
        </w:rPr>
        <w:t>〔</w:t>
      </w:r>
      <w:r>
        <w:rPr>
          <w:rFonts w:hint="eastAsia" w:ascii="Arial" w:hAnsi="Arial" w:cs="Arial"/>
          <w:color w:val="000000" w:themeColor="text1"/>
          <w:sz w:val="20"/>
          <w:szCs w:val="20"/>
          <w:highlight w:val="none"/>
          <w:shd w:val="clear" w:color="auto" w:fill="FFFFFF"/>
          <w14:textFill>
            <w14:solidFill>
              <w14:schemeClr w14:val="tx1"/>
            </w14:solidFill>
          </w14:textFill>
        </w:rPr>
        <w:t>2016</w:t>
      </w:r>
      <w:r>
        <w:rPr>
          <w:rFonts w:ascii="Arial" w:hAnsi="Arial" w:cs="Arial"/>
          <w:color w:val="000000" w:themeColor="text1"/>
          <w:sz w:val="20"/>
          <w:szCs w:val="20"/>
          <w:highlight w:val="none"/>
          <w:shd w:val="clear" w:color="auto" w:fill="FFFFFF"/>
          <w14:textFill>
            <w14:solidFill>
              <w14:schemeClr w14:val="tx1"/>
            </w14:solidFill>
          </w14:textFill>
        </w:rPr>
        <w:t>〕</w:t>
      </w:r>
      <w:r>
        <w:rPr>
          <w:rFonts w:hint="eastAsia" w:ascii="Arial" w:hAnsi="Arial" w:cs="Arial"/>
          <w:color w:val="000000" w:themeColor="text1"/>
          <w:sz w:val="20"/>
          <w:szCs w:val="20"/>
          <w:highlight w:val="none"/>
          <w:shd w:val="clear" w:color="auto" w:fill="FFFFFF"/>
          <w14:textFill>
            <w14:solidFill>
              <w14:schemeClr w14:val="tx1"/>
            </w14:solidFill>
          </w14:textFill>
        </w:rPr>
        <w:t>125号</w:t>
      </w:r>
      <w:r>
        <w:rPr>
          <w:rFonts w:hint="eastAsia"/>
          <w:bCs/>
          <w:color w:val="000000" w:themeColor="text1"/>
          <w:highlight w:val="none"/>
          <w14:textFill>
            <w14:solidFill>
              <w14:schemeClr w14:val="tx1"/>
            </w14:solidFill>
          </w14:textFill>
        </w:rPr>
        <w:t>）、《深圳市政府采购供应商诚信管理暂行办法》（深财规〔</w:t>
      </w:r>
      <w:r>
        <w:rPr>
          <w:bCs/>
          <w:color w:val="000000" w:themeColor="text1"/>
          <w:highlight w:val="none"/>
          <w14:textFill>
            <w14:solidFill>
              <w14:schemeClr w14:val="tx1"/>
            </w14:solidFill>
          </w14:textFill>
        </w:rPr>
        <w:t>2017〕8号</w:t>
      </w:r>
      <w:r>
        <w:rPr>
          <w:rFonts w:hint="eastAsia"/>
          <w:bCs/>
          <w:color w:val="000000" w:themeColor="text1"/>
          <w:highlight w:val="none"/>
          <w14:textFill>
            <w14:solidFill>
              <w14:schemeClr w14:val="tx1"/>
            </w14:solidFill>
          </w14:textFill>
        </w:rPr>
        <w:t>），供应商信用信息的查询渠道为“信用中国（</w:t>
      </w:r>
      <w:r>
        <w:rPr>
          <w:bCs/>
          <w:color w:val="000000" w:themeColor="text1"/>
          <w:highlight w:val="none"/>
          <w14:textFill>
            <w14:solidFill>
              <w14:schemeClr w14:val="tx1"/>
            </w14:solidFill>
          </w14:textFill>
        </w:rPr>
        <w:t>https://www.creditchina.gov.cn/</w:t>
      </w:r>
      <w:r>
        <w:rPr>
          <w:rFonts w:hint="eastAsia"/>
          <w:bCs/>
          <w:color w:val="000000" w:themeColor="text1"/>
          <w:highlight w:val="none"/>
          <w14:textFill>
            <w14:solidFill>
              <w14:schemeClr w14:val="tx1"/>
            </w14:solidFill>
          </w14:textFill>
        </w:rPr>
        <w:t>）”、 “中国政府采购网（</w:t>
      </w:r>
      <w:r>
        <w:rPr>
          <w:bCs/>
          <w:color w:val="000000" w:themeColor="text1"/>
          <w:highlight w:val="none"/>
          <w14:textFill>
            <w14:solidFill>
              <w14:schemeClr w14:val="tx1"/>
            </w14:solidFill>
          </w14:textFill>
        </w:rPr>
        <w:t>http://www.ccgp.gov.cn/</w:t>
      </w:r>
      <w:r>
        <w:rPr>
          <w:rFonts w:hint="eastAsia"/>
          <w:bCs/>
          <w:color w:val="000000" w:themeColor="text1"/>
          <w:highlight w:val="none"/>
          <w14:textFill>
            <w14:solidFill>
              <w14:schemeClr w14:val="tx1"/>
            </w14:solidFill>
          </w14:textFill>
        </w:rPr>
        <w:t>）”、“深圳市政府采购监管网（</w:t>
      </w:r>
      <w:r>
        <w:rPr>
          <w:bCs/>
          <w:color w:val="000000" w:themeColor="text1"/>
          <w:highlight w:val="none"/>
          <w14:textFill>
            <w14:solidFill>
              <w14:schemeClr w14:val="tx1"/>
            </w14:solidFill>
          </w14:textFill>
        </w:rPr>
        <w:t>http://www.zfcg.sz.gov.cn/</w:t>
      </w:r>
      <w:r>
        <w:rPr>
          <w:rFonts w:hint="eastAsia"/>
          <w:bCs/>
          <w:color w:val="000000" w:themeColor="text1"/>
          <w:highlight w:val="none"/>
          <w14:textFill>
            <w14:solidFill>
              <w14:schemeClr w14:val="tx1"/>
            </w14:solidFill>
          </w14:textFill>
        </w:rPr>
        <w:t>）”，相关信息以中标通知书发出前的查询结果为准。</w:t>
      </w:r>
    </w:p>
    <w:p>
      <w:pPr>
        <w:tabs>
          <w:tab w:val="clear" w:pos="426"/>
        </w:tabs>
        <w:spacing w:line="240" w:lineRule="auto"/>
        <w:ind w:firstLine="424" w:firstLineChars="202"/>
        <w:rPr>
          <w:bCs/>
          <w:color w:val="000000" w:themeColor="text1"/>
          <w:highlight w:val="none"/>
          <w14:textFill>
            <w14:solidFill>
              <w14:schemeClr w14:val="tx1"/>
            </w14:solidFill>
          </w14:textFill>
        </w:rPr>
      </w:pPr>
    </w:p>
    <w:tbl>
      <w:tblPr>
        <w:tblStyle w:val="44"/>
        <w:tblW w:w="88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502"/>
        <w:gridCol w:w="1417"/>
        <w:gridCol w:w="681"/>
        <w:gridCol w:w="882"/>
        <w:gridCol w:w="4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348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评分项</w:t>
            </w:r>
          </w:p>
        </w:tc>
        <w:tc>
          <w:tcPr>
            <w:tcW w:w="4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348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价格</w:t>
            </w:r>
          </w:p>
        </w:tc>
        <w:tc>
          <w:tcPr>
            <w:tcW w:w="4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348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技术部分</w:t>
            </w:r>
          </w:p>
        </w:tc>
        <w:tc>
          <w:tcPr>
            <w:tcW w:w="4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79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p>
        </w:tc>
        <w:tc>
          <w:tcPr>
            <w:tcW w:w="5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评分因素</w:t>
            </w:r>
          </w:p>
        </w:tc>
        <w:tc>
          <w:tcPr>
            <w:tcW w:w="6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权重</w:t>
            </w:r>
          </w:p>
        </w:tc>
        <w:tc>
          <w:tcPr>
            <w:tcW w:w="8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评分方式</w:t>
            </w:r>
          </w:p>
        </w:tc>
        <w:tc>
          <w:tcPr>
            <w:tcW w:w="45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4" w:hRule="atLeast"/>
          <w:jc w:val="center"/>
        </w:trPr>
        <w:tc>
          <w:tcPr>
            <w:tcW w:w="793" w:type="dxa"/>
            <w:vMerge w:val="continue"/>
            <w:tcBorders>
              <w:top w:val="single" w:color="auto" w:sz="4" w:space="0"/>
              <w:left w:val="single" w:color="auto" w:sz="4" w:space="0"/>
              <w:bottom w:val="single" w:color="auto" w:sz="4" w:space="0"/>
              <w:right w:val="single" w:color="auto" w:sz="4" w:space="0"/>
            </w:tcBorders>
            <w:vAlign w:val="center"/>
          </w:tcPr>
          <w:p>
            <w:pPr>
              <w:spacing w:after="160" w:line="240" w:lineRule="exact"/>
              <w:jc w:val="center"/>
              <w:rPr>
                <w:rFonts w:eastAsia="仿宋_GB2312"/>
                <w:color w:val="000000" w:themeColor="text1"/>
                <w:sz w:val="24"/>
                <w:highlight w:val="none"/>
                <w14:textFill>
                  <w14:solidFill>
                    <w14:schemeClr w14:val="tx1"/>
                  </w14:solidFill>
                </w14:textFill>
              </w:rPr>
            </w:pPr>
          </w:p>
        </w:tc>
        <w:tc>
          <w:tcPr>
            <w:tcW w:w="5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技术响应</w:t>
            </w:r>
          </w:p>
        </w:tc>
        <w:tc>
          <w:tcPr>
            <w:tcW w:w="6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8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专家评分</w:t>
            </w:r>
          </w:p>
        </w:tc>
        <w:tc>
          <w:tcPr>
            <w:tcW w:w="4593" w:type="dxa"/>
            <w:tcBorders>
              <w:top w:val="single" w:color="auto" w:sz="4" w:space="0"/>
              <w:left w:val="single" w:color="auto" w:sz="4" w:space="0"/>
              <w:bottom w:val="single" w:color="auto" w:sz="4" w:space="0"/>
              <w:right w:val="single" w:color="auto" w:sz="4" w:space="0"/>
            </w:tcBorders>
          </w:tcPr>
          <w:p>
            <w:pPr>
              <w:spacing w:line="25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投标人应如实填写《技术规格偏离表》，招标技术参数与投标产品技术参数须一一对应，并按招标文件要求在投标文件中提供相应的证明资料。评审委员会根据技术需求参数响应情况进行打分，带</w:t>
            </w:r>
            <w:r>
              <w:rPr>
                <w:rFonts w:hint="eastAsia"/>
                <w:color w:val="000000" w:themeColor="text1"/>
                <w:sz w:val="24"/>
                <w:highlight w:val="none"/>
                <w14:textFill>
                  <w14:solidFill>
                    <w14:schemeClr w14:val="tx1"/>
                  </w14:solidFill>
                </w14:textFill>
              </w:rPr>
              <w:t>▲</w:t>
            </w:r>
            <w:r>
              <w:rPr>
                <w:rFonts w:hint="eastAsia"/>
                <w:color w:val="000000" w:themeColor="text1"/>
                <w:highlight w:val="none"/>
                <w14:textFill>
                  <w14:solidFill>
                    <w14:schemeClr w14:val="tx1"/>
                  </w14:solidFill>
                </w14:textFill>
              </w:rPr>
              <w:t>的参数为最重要的参数，每负偏离一项扣2分，其他参数为一般参数，每负偏离一项扣1分，最多扣20分。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3" w:type="dxa"/>
            <w:vMerge w:val="continue"/>
            <w:tcBorders>
              <w:top w:val="single" w:color="auto" w:sz="4" w:space="0"/>
              <w:left w:val="single" w:color="auto" w:sz="4" w:space="0"/>
              <w:bottom w:val="single" w:color="auto" w:sz="4" w:space="0"/>
              <w:right w:val="single" w:color="auto" w:sz="4" w:space="0"/>
            </w:tcBorders>
            <w:vAlign w:val="center"/>
          </w:tcPr>
          <w:p>
            <w:pPr>
              <w:spacing w:after="160" w:line="240" w:lineRule="exact"/>
              <w:jc w:val="center"/>
              <w:rPr>
                <w:rFonts w:eastAsia="仿宋_GB2312"/>
                <w:color w:val="000000" w:themeColor="text1"/>
                <w:sz w:val="24"/>
                <w:highlight w:val="none"/>
                <w14:textFill>
                  <w14:solidFill>
                    <w14:schemeClr w14:val="tx1"/>
                  </w14:solidFill>
                </w14:textFill>
              </w:rPr>
            </w:pPr>
          </w:p>
        </w:tc>
        <w:tc>
          <w:tcPr>
            <w:tcW w:w="5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整体方案和技术分析理解</w:t>
            </w:r>
          </w:p>
        </w:tc>
        <w:tc>
          <w:tcPr>
            <w:tcW w:w="6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8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专家评分</w:t>
            </w:r>
          </w:p>
        </w:tc>
        <w:tc>
          <w:tcPr>
            <w:tcW w:w="4593" w:type="dxa"/>
            <w:tcBorders>
              <w:top w:val="single" w:color="auto" w:sz="4" w:space="0"/>
              <w:left w:val="single" w:color="auto" w:sz="4" w:space="0"/>
              <w:bottom w:val="single" w:color="auto" w:sz="4" w:space="0"/>
              <w:right w:val="single" w:color="auto" w:sz="4" w:space="0"/>
            </w:tcBorders>
          </w:tcPr>
          <w:p>
            <w:pPr>
              <w:spacing w:line="25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方案设计合理，产品方案设计合理，完全满足使用单位需求的得8分，产品设计方案一般，基本满足使用单位需求的得4分，产品设计方案不合理，不能满足使用单位需求的计0分。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93" w:type="dxa"/>
            <w:vMerge w:val="continue"/>
            <w:tcBorders>
              <w:top w:val="single" w:color="auto" w:sz="4" w:space="0"/>
              <w:left w:val="single" w:color="auto" w:sz="4" w:space="0"/>
              <w:bottom w:val="single" w:color="auto" w:sz="4" w:space="0"/>
              <w:right w:val="single" w:color="auto" w:sz="4" w:space="0"/>
            </w:tcBorders>
            <w:vAlign w:val="center"/>
          </w:tcPr>
          <w:p>
            <w:pPr>
              <w:spacing w:after="160" w:line="240" w:lineRule="exact"/>
              <w:jc w:val="center"/>
              <w:rPr>
                <w:rFonts w:eastAsia="仿宋_GB2312"/>
                <w:color w:val="000000" w:themeColor="text1"/>
                <w:sz w:val="24"/>
                <w:highlight w:val="none"/>
                <w14:textFill>
                  <w14:solidFill>
                    <w14:schemeClr w14:val="tx1"/>
                  </w14:solidFill>
                </w14:textFill>
              </w:rPr>
            </w:pPr>
          </w:p>
        </w:tc>
        <w:tc>
          <w:tcPr>
            <w:tcW w:w="5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布置图、效果图</w:t>
            </w:r>
          </w:p>
        </w:tc>
        <w:tc>
          <w:tcPr>
            <w:tcW w:w="6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8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专家评分</w:t>
            </w:r>
          </w:p>
        </w:tc>
        <w:tc>
          <w:tcPr>
            <w:tcW w:w="4593" w:type="dxa"/>
            <w:tcBorders>
              <w:top w:val="single" w:color="auto" w:sz="4" w:space="0"/>
              <w:left w:val="single" w:color="auto" w:sz="4" w:space="0"/>
              <w:bottom w:val="single" w:color="auto" w:sz="4" w:space="0"/>
              <w:right w:val="single" w:color="auto" w:sz="4" w:space="0"/>
            </w:tcBorders>
            <w:vAlign w:val="center"/>
          </w:tcPr>
          <w:p>
            <w:pPr>
              <w:spacing w:line="25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评标委员会根据车辆布置图、效果图质量进行评价，车辆布置合理、效果好得7分；车辆布置较为合理、效果一般得4分；车辆布置基本合理、效果一般得2分；其他不得分。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348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商务部分</w:t>
            </w:r>
          </w:p>
        </w:tc>
        <w:tc>
          <w:tcPr>
            <w:tcW w:w="4593" w:type="dxa"/>
            <w:tcBorders>
              <w:top w:val="single" w:color="auto" w:sz="4" w:space="0"/>
              <w:left w:val="single" w:color="auto" w:sz="4" w:space="0"/>
              <w:bottom w:val="single" w:color="auto" w:sz="4" w:space="0"/>
              <w:right w:val="single" w:color="auto" w:sz="4" w:space="0"/>
            </w:tcBorders>
            <w:vAlign w:val="center"/>
          </w:tcPr>
          <w:p>
            <w:pPr>
              <w:spacing w:line="25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793" w:type="dxa"/>
            <w:vMerge w:val="restart"/>
            <w:tcBorders>
              <w:top w:val="single" w:color="auto" w:sz="4" w:space="0"/>
              <w:left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p>
        </w:tc>
        <w:tc>
          <w:tcPr>
            <w:tcW w:w="5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评分因素</w:t>
            </w:r>
          </w:p>
        </w:tc>
        <w:tc>
          <w:tcPr>
            <w:tcW w:w="6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权重</w:t>
            </w:r>
          </w:p>
        </w:tc>
        <w:tc>
          <w:tcPr>
            <w:tcW w:w="8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评分方式</w:t>
            </w:r>
          </w:p>
        </w:tc>
        <w:tc>
          <w:tcPr>
            <w:tcW w:w="4593" w:type="dxa"/>
            <w:tcBorders>
              <w:top w:val="single" w:color="auto" w:sz="4" w:space="0"/>
              <w:left w:val="single" w:color="auto" w:sz="4" w:space="0"/>
              <w:bottom w:val="single" w:color="auto" w:sz="4" w:space="0"/>
              <w:right w:val="single" w:color="auto" w:sz="4" w:space="0"/>
            </w:tcBorders>
            <w:vAlign w:val="center"/>
          </w:tcPr>
          <w:p>
            <w:pPr>
              <w:spacing w:line="25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793" w:type="dxa"/>
            <w:vMerge w:val="continue"/>
            <w:tcBorders>
              <w:left w:val="single" w:color="auto" w:sz="4" w:space="0"/>
              <w:right w:val="single" w:color="auto" w:sz="4" w:space="0"/>
            </w:tcBorders>
            <w:vAlign w:val="center"/>
          </w:tcPr>
          <w:p>
            <w:pPr>
              <w:spacing w:after="160" w:line="240" w:lineRule="exact"/>
              <w:jc w:val="center"/>
              <w:rPr>
                <w:color w:val="000000" w:themeColor="text1"/>
                <w:highlight w:val="none"/>
                <w14:textFill>
                  <w14:solidFill>
                    <w14:schemeClr w14:val="tx1"/>
                  </w14:solidFill>
                </w14:textFill>
              </w:rPr>
            </w:pPr>
          </w:p>
        </w:tc>
        <w:tc>
          <w:tcPr>
            <w:tcW w:w="5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产品质量保证</w:t>
            </w:r>
          </w:p>
        </w:tc>
        <w:tc>
          <w:tcPr>
            <w:tcW w:w="6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8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专家评分</w:t>
            </w:r>
          </w:p>
        </w:tc>
        <w:tc>
          <w:tcPr>
            <w:tcW w:w="4593" w:type="dxa"/>
            <w:tcBorders>
              <w:top w:val="single" w:color="auto" w:sz="4" w:space="0"/>
              <w:left w:val="single" w:color="auto" w:sz="4" w:space="0"/>
              <w:bottom w:val="single" w:color="auto" w:sz="4" w:space="0"/>
              <w:right w:val="single" w:color="auto" w:sz="4" w:space="0"/>
            </w:tcBorders>
          </w:tcPr>
          <w:p>
            <w:pPr>
              <w:spacing w:line="25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提供制造商产品的技术专利：每提供一个产品专利得1分，满分14分。（提供相应的证书复印件，否则不计分）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793" w:type="dxa"/>
            <w:vMerge w:val="continue"/>
            <w:tcBorders>
              <w:left w:val="single" w:color="auto" w:sz="4" w:space="0"/>
              <w:right w:val="single" w:color="auto" w:sz="4" w:space="0"/>
            </w:tcBorders>
            <w:vAlign w:val="center"/>
          </w:tcPr>
          <w:p>
            <w:pPr>
              <w:spacing w:after="160" w:line="240" w:lineRule="exact"/>
              <w:jc w:val="center"/>
              <w:rPr>
                <w:color w:val="000000" w:themeColor="text1"/>
                <w:highlight w:val="none"/>
                <w14:textFill>
                  <w14:solidFill>
                    <w14:schemeClr w14:val="tx1"/>
                  </w14:solidFill>
                </w14:textFill>
              </w:rPr>
            </w:pPr>
          </w:p>
        </w:tc>
        <w:tc>
          <w:tcPr>
            <w:tcW w:w="5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维修服务机构情况</w:t>
            </w:r>
          </w:p>
        </w:tc>
        <w:tc>
          <w:tcPr>
            <w:tcW w:w="6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8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专家评分</w:t>
            </w:r>
          </w:p>
        </w:tc>
        <w:tc>
          <w:tcPr>
            <w:tcW w:w="4593"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根据投标人提供的维修服务机构情况评分。最优得6分，良得3分，中得1分，其他不得分。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3482"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综合实力部分</w:t>
            </w:r>
          </w:p>
        </w:tc>
        <w:tc>
          <w:tcPr>
            <w:tcW w:w="4593" w:type="dxa"/>
            <w:tcBorders>
              <w:top w:val="single" w:color="auto" w:sz="4" w:space="0"/>
              <w:left w:val="single" w:color="auto" w:sz="4" w:space="0"/>
              <w:bottom w:val="single" w:color="auto" w:sz="4" w:space="0"/>
              <w:right w:val="single" w:color="auto" w:sz="4" w:space="0"/>
            </w:tcBorders>
            <w:vAlign w:val="center"/>
          </w:tcPr>
          <w:p>
            <w:pPr>
              <w:spacing w:line="25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79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p>
        </w:tc>
        <w:tc>
          <w:tcPr>
            <w:tcW w:w="5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评分因素</w:t>
            </w:r>
          </w:p>
        </w:tc>
        <w:tc>
          <w:tcPr>
            <w:tcW w:w="6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权重</w:t>
            </w:r>
          </w:p>
        </w:tc>
        <w:tc>
          <w:tcPr>
            <w:tcW w:w="8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评分方式</w:t>
            </w:r>
          </w:p>
        </w:tc>
        <w:tc>
          <w:tcPr>
            <w:tcW w:w="4593" w:type="dxa"/>
            <w:tcBorders>
              <w:top w:val="single" w:color="auto" w:sz="4" w:space="0"/>
              <w:left w:val="single" w:color="auto" w:sz="4" w:space="0"/>
              <w:bottom w:val="single" w:color="auto" w:sz="4" w:space="0"/>
              <w:right w:val="single" w:color="auto" w:sz="4" w:space="0"/>
            </w:tcBorders>
            <w:vAlign w:val="center"/>
          </w:tcPr>
          <w:p>
            <w:pPr>
              <w:spacing w:line="25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p>
        </w:tc>
        <w:tc>
          <w:tcPr>
            <w:tcW w:w="5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企业综合实力</w:t>
            </w:r>
          </w:p>
        </w:tc>
        <w:tc>
          <w:tcPr>
            <w:tcW w:w="6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8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专家评分</w:t>
            </w:r>
          </w:p>
        </w:tc>
        <w:tc>
          <w:tcPr>
            <w:tcW w:w="4593" w:type="dxa"/>
            <w:tcBorders>
              <w:top w:val="single" w:color="auto" w:sz="4" w:space="0"/>
              <w:left w:val="single" w:color="auto" w:sz="4" w:space="0"/>
              <w:bottom w:val="single" w:color="auto" w:sz="4" w:space="0"/>
              <w:right w:val="single" w:color="auto" w:sz="4" w:space="0"/>
            </w:tcBorders>
          </w:tcPr>
          <w:p>
            <w:pPr>
              <w:spacing w:line="25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投标人具有有效的质量体系认证得3分；</w:t>
            </w:r>
          </w:p>
          <w:p>
            <w:pPr>
              <w:spacing w:line="25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获得国家级工业企业质量标杆得4分；</w:t>
            </w:r>
          </w:p>
          <w:p>
            <w:pPr>
              <w:spacing w:line="25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具有国家级重点实验室得4分、省级得2分；</w:t>
            </w:r>
          </w:p>
          <w:p>
            <w:pPr>
              <w:spacing w:line="25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高新技术企业证书得1分；</w:t>
            </w:r>
          </w:p>
          <w:p>
            <w:pPr>
              <w:spacing w:line="25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以上累计得分，满分12分。</w:t>
            </w:r>
          </w:p>
          <w:p>
            <w:pPr>
              <w:spacing w:line="25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提供相应的证书复印件，否则不计分。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9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p>
        </w:tc>
        <w:tc>
          <w:tcPr>
            <w:tcW w:w="50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同类项目业绩</w:t>
            </w:r>
          </w:p>
        </w:tc>
        <w:tc>
          <w:tcPr>
            <w:tcW w:w="6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8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专家评分</w:t>
            </w:r>
          </w:p>
        </w:tc>
        <w:tc>
          <w:tcPr>
            <w:tcW w:w="4593" w:type="dxa"/>
            <w:tcBorders>
              <w:top w:val="single" w:color="auto" w:sz="4" w:space="0"/>
              <w:left w:val="single" w:color="auto" w:sz="4" w:space="0"/>
              <w:bottom w:val="single" w:color="auto" w:sz="4" w:space="0"/>
              <w:right w:val="single" w:color="auto" w:sz="4" w:space="0"/>
            </w:tcBorders>
          </w:tcPr>
          <w:p>
            <w:pPr>
              <w:spacing w:line="25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2016年至今每提供一个同系列急救车合同，计1分，最高得分3分。</w:t>
            </w:r>
          </w:p>
          <w:p>
            <w:pPr>
              <w:spacing w:line="25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（提供合同复印件，否则不计分）</w:t>
            </w:r>
          </w:p>
        </w:tc>
      </w:tr>
    </w:tbl>
    <w:p>
      <w:pPr>
        <w:tabs>
          <w:tab w:val="clear" w:pos="426"/>
        </w:tabs>
        <w:spacing w:line="240" w:lineRule="auto"/>
        <w:ind w:firstLine="426" w:firstLineChars="202"/>
        <w:rPr>
          <w:rFonts w:ascii="Calibri" w:hAnsi="Calibri" w:cs="Times New Roman"/>
          <w:b/>
          <w:color w:val="000000" w:themeColor="text1"/>
          <w:kern w:val="2"/>
          <w:szCs w:val="22"/>
          <w:highlight w:val="none"/>
          <w14:textFill>
            <w14:solidFill>
              <w14:schemeClr w14:val="tx1"/>
            </w14:solidFill>
          </w14:textFill>
        </w:rPr>
      </w:pPr>
    </w:p>
    <w:p>
      <w:pPr>
        <w:tabs>
          <w:tab w:val="clear" w:pos="426"/>
        </w:tabs>
        <w:spacing w:line="240" w:lineRule="auto"/>
        <w:ind w:firstLine="424" w:firstLineChars="202"/>
        <w:rPr>
          <w:bCs/>
          <w:color w:val="000000" w:themeColor="text1"/>
          <w:highlight w:val="none"/>
          <w14:textFill>
            <w14:solidFill>
              <w14:schemeClr w14:val="tx1"/>
            </w14:solidFill>
          </w14:textFill>
        </w:rPr>
      </w:pPr>
    </w:p>
    <w:p>
      <w:pPr>
        <w:pStyle w:val="42"/>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29" w:name="_Toc17766"/>
      <w:bookmarkStart w:id="30" w:name="_Toc3628657"/>
      <w:r>
        <w:rPr>
          <w:rFonts w:hint="eastAsia"/>
          <w:color w:val="000000" w:themeColor="text1"/>
          <w:highlight w:val="none"/>
          <w14:textFill>
            <w14:solidFill>
              <w14:schemeClr w14:val="tx1"/>
            </w14:solidFill>
          </w14:textFill>
        </w:rPr>
        <w:t>第一册  专用条款</w:t>
      </w:r>
      <w:bookmarkEnd w:id="28"/>
      <w:bookmarkEnd w:id="29"/>
      <w:bookmarkEnd w:id="30"/>
    </w:p>
    <w:p>
      <w:pPr>
        <w:pStyle w:val="33"/>
        <w:tabs>
          <w:tab w:val="clear" w:pos="426"/>
        </w:tabs>
        <w:rPr>
          <w:color w:val="000000" w:themeColor="text1"/>
          <w:highlight w:val="none"/>
          <w14:textFill>
            <w14:solidFill>
              <w14:schemeClr w14:val="tx1"/>
            </w14:solidFill>
          </w14:textFill>
        </w:rPr>
      </w:pPr>
      <w:bookmarkStart w:id="31" w:name="_Toc3628658"/>
      <w:bookmarkStart w:id="32" w:name="_Toc265483798"/>
      <w:bookmarkStart w:id="33" w:name="_Toc432592813"/>
      <w:bookmarkStart w:id="34" w:name="_Toc30947"/>
      <w:r>
        <w:rPr>
          <w:rFonts w:hint="eastAsia"/>
          <w:color w:val="000000" w:themeColor="text1"/>
          <w:highlight w:val="none"/>
          <w14:textFill>
            <w14:solidFill>
              <w14:schemeClr w14:val="tx1"/>
            </w14:solidFill>
          </w14:textFill>
        </w:rPr>
        <w:t>第一章 采购公告</w:t>
      </w:r>
      <w:bookmarkEnd w:id="31"/>
      <w:bookmarkEnd w:id="32"/>
      <w:bookmarkEnd w:id="33"/>
      <w:bookmarkEnd w:id="34"/>
    </w:p>
    <w:p>
      <w:pPr>
        <w:tabs>
          <w:tab w:val="clear" w:pos="426"/>
        </w:tabs>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一、项目概况</w:t>
      </w:r>
    </w:p>
    <w:p>
      <w:pPr>
        <w:tabs>
          <w:tab w:val="clear" w:pos="426"/>
        </w:tabs>
        <w:ind w:firstLine="424" w:firstLineChars="202"/>
        <w:rPr>
          <w:color w:val="000000" w:themeColor="text1"/>
          <w:kern w:val="2"/>
          <w:highlight w:val="none"/>
          <w14:textFill>
            <w14:solidFill>
              <w14:schemeClr w14:val="tx1"/>
            </w14:solidFill>
          </w14:textFill>
        </w:rPr>
      </w:pPr>
      <w:bookmarkStart w:id="35" w:name="项目概况2"/>
      <w:r>
        <w:rPr>
          <w:rFonts w:hint="eastAsia"/>
          <w:color w:val="000000" w:themeColor="text1"/>
          <w:highlight w:val="none"/>
          <w14:textFill>
            <w14:solidFill>
              <w14:schemeClr w14:val="tx1"/>
            </w14:solidFill>
          </w14:textFill>
        </w:rPr>
        <w:t>1.项目编号：SSZX2019-338</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2.项目名称：监护型救护车采购</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3.采购人：深圳平乐骨伤科医院（深圳市坪山区中医院）</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4.采购代理机构：深圳市深水水务咨询有限公司</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5.项目地点：深圳市</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6.项目规模及特征：详</w:t>
      </w:r>
      <w:r>
        <w:rPr>
          <w:rFonts w:hint="eastAsia"/>
          <w:color w:val="000000" w:themeColor="text1"/>
          <w:kern w:val="2"/>
          <w:highlight w:val="none"/>
          <w14:textFill>
            <w14:solidFill>
              <w14:schemeClr w14:val="tx1"/>
            </w14:solidFill>
          </w14:textFill>
        </w:rPr>
        <w:t>见招标文件及采购需求</w:t>
      </w:r>
      <w:r>
        <w:rPr>
          <w:rFonts w:hint="eastAsia"/>
          <w:color w:val="000000" w:themeColor="text1"/>
          <w:highlight w:val="none"/>
          <w14:textFill>
            <w14:solidFill>
              <w14:schemeClr w14:val="tx1"/>
            </w14:solidFill>
          </w14:textFill>
        </w:rPr>
        <w:t>。</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7.资金来源：财政资金100%</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采购计划编号：/</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.采购内容：监护型救护车采购，详</w:t>
      </w:r>
      <w:r>
        <w:rPr>
          <w:rFonts w:hint="eastAsia"/>
          <w:color w:val="000000" w:themeColor="text1"/>
          <w:kern w:val="2"/>
          <w:highlight w:val="none"/>
          <w14:textFill>
            <w14:solidFill>
              <w14:schemeClr w14:val="tx1"/>
            </w14:solidFill>
          </w14:textFill>
        </w:rPr>
        <w:t>见招标文件及采购需求</w:t>
      </w:r>
      <w:r>
        <w:rPr>
          <w:rFonts w:hint="eastAsia"/>
          <w:color w:val="000000" w:themeColor="text1"/>
          <w:highlight w:val="none"/>
          <w14:textFill>
            <w14:solidFill>
              <w14:schemeClr w14:val="tx1"/>
            </w14:solidFill>
          </w14:textFill>
        </w:rPr>
        <w:t>。</w:t>
      </w:r>
    </w:p>
    <w:tbl>
      <w:tblPr>
        <w:tblStyle w:val="44"/>
        <w:tblW w:w="7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587"/>
        <w:gridCol w:w="916"/>
        <w:gridCol w:w="916"/>
        <w:gridCol w:w="916"/>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序号</w:t>
            </w:r>
          </w:p>
        </w:tc>
        <w:tc>
          <w:tcPr>
            <w:tcW w:w="2587"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货物名称</w:t>
            </w:r>
          </w:p>
        </w:tc>
        <w:tc>
          <w:tcPr>
            <w:tcW w:w="916"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数量</w:t>
            </w:r>
          </w:p>
        </w:tc>
        <w:tc>
          <w:tcPr>
            <w:tcW w:w="916"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单位</w:t>
            </w:r>
          </w:p>
        </w:tc>
        <w:tc>
          <w:tcPr>
            <w:tcW w:w="916"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备注</w:t>
            </w:r>
          </w:p>
        </w:tc>
        <w:tc>
          <w:tcPr>
            <w:tcW w:w="1683"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94" w:type="dxa"/>
            <w:vAlign w:val="center"/>
          </w:tcPr>
          <w:p>
            <w:pPr>
              <w:spacing w:line="240" w:lineRule="auto"/>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1</w:t>
            </w:r>
          </w:p>
        </w:tc>
        <w:tc>
          <w:tcPr>
            <w:tcW w:w="2587" w:type="dxa"/>
            <w:vAlign w:val="center"/>
          </w:tcPr>
          <w:p>
            <w:pPr>
              <w:spacing w:line="240" w:lineRule="auto"/>
              <w:jc w:val="center"/>
              <w:rPr>
                <w:bCs/>
                <w:color w:val="000000" w:themeColor="text1"/>
                <w:szCs w:val="21"/>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监护型救护车</w:t>
            </w:r>
          </w:p>
        </w:tc>
        <w:tc>
          <w:tcPr>
            <w:tcW w:w="916" w:type="dxa"/>
            <w:vAlign w:val="center"/>
          </w:tcPr>
          <w:p>
            <w:pPr>
              <w:spacing w:line="240" w:lineRule="auto"/>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1</w:t>
            </w:r>
          </w:p>
        </w:tc>
        <w:tc>
          <w:tcPr>
            <w:tcW w:w="916" w:type="dxa"/>
            <w:vAlign w:val="center"/>
          </w:tcPr>
          <w:p>
            <w:pPr>
              <w:spacing w:line="240" w:lineRule="auto"/>
              <w:jc w:val="center"/>
              <w:rPr>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套</w:t>
            </w:r>
          </w:p>
        </w:tc>
        <w:tc>
          <w:tcPr>
            <w:tcW w:w="916" w:type="dxa"/>
            <w:vAlign w:val="center"/>
          </w:tcPr>
          <w:p>
            <w:pPr>
              <w:spacing w:line="240" w:lineRule="auto"/>
              <w:jc w:val="center"/>
              <w:rPr>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拒绝进口</w:t>
            </w:r>
          </w:p>
        </w:tc>
        <w:tc>
          <w:tcPr>
            <w:tcW w:w="1683" w:type="dxa"/>
            <w:vAlign w:val="center"/>
          </w:tcPr>
          <w:p>
            <w:pPr>
              <w:widowControl w:val="0"/>
              <w:shd w:val="clear" w:color="auto" w:fill="auto"/>
              <w:tabs>
                <w:tab w:val="clear" w:pos="426"/>
              </w:tabs>
              <w:adjustRightInd/>
              <w:snapToGrid/>
              <w:spacing w:line="240" w:lineRule="auto"/>
              <w:jc w:val="center"/>
              <w:rPr>
                <w:rFonts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560，000.00</w:t>
            </w:r>
          </w:p>
        </w:tc>
      </w:tr>
    </w:tbl>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.采购方式：公开招标</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评标方法：综合评分法</w:t>
      </w:r>
    </w:p>
    <w:p>
      <w:pPr>
        <w:tabs>
          <w:tab w:val="clear" w:pos="426"/>
        </w:tabs>
        <w:ind w:firstLine="424" w:firstLineChars="202"/>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.交货期要求：</w:t>
      </w:r>
      <w:bookmarkEnd w:id="35"/>
      <w:r>
        <w:rPr>
          <w:rFonts w:hint="eastAsia"/>
          <w:color w:val="000000" w:themeColor="text1"/>
          <w:highlight w:val="none"/>
          <w:lang w:eastAsia="zh-CN"/>
          <w14:textFill>
            <w14:solidFill>
              <w14:schemeClr w14:val="tx1"/>
            </w14:solidFill>
          </w14:textFill>
        </w:rPr>
        <w:t>详见招标文件。</w:t>
      </w:r>
    </w:p>
    <w:p>
      <w:pPr>
        <w:tabs>
          <w:tab w:val="clear" w:pos="426"/>
        </w:tabs>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二、投标人资格要求</w:t>
      </w:r>
    </w:p>
    <w:p>
      <w:pPr>
        <w:pStyle w:val="7"/>
        <w:tabs>
          <w:tab w:val="clear" w:pos="426"/>
        </w:tabs>
        <w:ind w:firstLine="424" w:firstLineChars="202"/>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1.具有独立法人资格</w:t>
      </w:r>
      <w:r>
        <w:rPr>
          <w:rFonts w:ascii="宋体" w:hAnsi="宋体"/>
          <w:color w:val="000000" w:themeColor="text1"/>
          <w:highlight w:val="none"/>
          <w14:textFill>
            <w14:solidFill>
              <w14:schemeClr w14:val="tx1"/>
            </w14:solidFill>
          </w14:textFill>
        </w:rPr>
        <w:t>（证明文件：须提供营业执照</w:t>
      </w:r>
      <w:r>
        <w:rPr>
          <w:rFonts w:hint="eastAsia" w:ascii="宋体" w:hAnsi="宋体"/>
          <w:color w:val="000000" w:themeColor="text1"/>
          <w:highlight w:val="none"/>
          <w14:textFill>
            <w14:solidFill>
              <w14:schemeClr w14:val="tx1"/>
            </w14:solidFill>
          </w14:textFill>
        </w:rPr>
        <w:t>或法人证书</w:t>
      </w:r>
      <w:r>
        <w:rPr>
          <w:rFonts w:ascii="宋体" w:hAnsi="宋体"/>
          <w:color w:val="000000" w:themeColor="text1"/>
          <w:highlight w:val="none"/>
          <w14:textFill>
            <w14:solidFill>
              <w14:schemeClr w14:val="tx1"/>
            </w14:solidFill>
          </w14:textFill>
        </w:rPr>
        <w:t>或其他证明文件的</w:t>
      </w:r>
      <w:r>
        <w:rPr>
          <w:rFonts w:hint="eastAsia" w:ascii="宋体" w:hAnsi="宋体"/>
          <w:color w:val="000000" w:themeColor="text1"/>
          <w:highlight w:val="none"/>
          <w14:textFill>
            <w14:solidFill>
              <w14:schemeClr w14:val="tx1"/>
            </w14:solidFill>
          </w14:textFill>
        </w:rPr>
        <w:t>复印件</w:t>
      </w:r>
      <w:r>
        <w:rPr>
          <w:rFonts w:ascii="宋体" w:hAnsi="宋体"/>
          <w:color w:val="000000" w:themeColor="text1"/>
          <w:highlight w:val="none"/>
          <w14:textFill>
            <w14:solidFill>
              <w14:schemeClr w14:val="tx1"/>
            </w14:solidFill>
          </w14:textFill>
        </w:rPr>
        <w:t>并加盖投标人公章，原件中标备查</w:t>
      </w:r>
      <w:r>
        <w:rPr>
          <w:rFonts w:hint="eastAsia" w:ascii="宋体" w:hAnsi="宋体"/>
          <w:color w:val="000000" w:themeColor="text1"/>
          <w:highlight w:val="none"/>
          <w14:textFill>
            <w14:solidFill>
              <w14:schemeClr w14:val="tx1"/>
            </w14:solidFill>
          </w14:textFill>
        </w:rPr>
        <w:t>）；</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2.本项目不接受联合体投标，中标后不允许转包、分包；</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3.本项目</w:t>
      </w:r>
      <w:r>
        <w:rPr>
          <w:rFonts w:hint="eastAsia"/>
          <w:b/>
          <w:color w:val="000000" w:themeColor="text1"/>
          <w:highlight w:val="none"/>
          <w14:textFill>
            <w14:solidFill>
              <w14:schemeClr w14:val="tx1"/>
            </w14:solidFill>
          </w14:textFill>
        </w:rPr>
        <w:t>不接受</w:t>
      </w:r>
      <w:r>
        <w:rPr>
          <w:rFonts w:hint="eastAsia"/>
          <w:color w:val="000000" w:themeColor="text1"/>
          <w:highlight w:val="none"/>
          <w14:textFill>
            <w14:solidFill>
              <w14:schemeClr w14:val="tx1"/>
            </w14:solidFill>
          </w14:textFill>
        </w:rPr>
        <w:t>进口产品投标。</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参与本项目投标前三年内，在经营活动中没有重大违法记录（由供应商在《政府采购投标及履约承诺函》中作出声明）；</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参与本项目政府采购活动时不存在被有关部门禁止参与政府采购活动且在有效期内的情况（由供应商在《政府采购投标及履约承诺函》中作出声明）；</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参与本项目的供应商具备《中华人民共和国政府采购法》第二十二条第一款规定的条件（由供应商在《政府采购投标及履约承诺函》中作出声明）</w:t>
      </w:r>
      <w:r>
        <w:rPr>
          <w:rFonts w:hint="eastAsia"/>
          <w:color w:val="000000" w:themeColor="text1"/>
          <w:highlight w:val="none"/>
          <w14:textFill>
            <w14:solidFill>
              <w14:schemeClr w14:val="tx1"/>
            </w14:solidFill>
          </w14:textFill>
        </w:rPr>
        <w:t>；</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参与政府采购项目投标的供应商未被列入失信被执行人、重大税收违法案件当事人名单、政府采购严重违法失信行为记录名单（由供应商在《政府采购投标及履约承诺函》中作出声明）；</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投标人必须具有深圳市政府采购注册供应商资格（供应商注册网址http://www.szzfcg.cn，投标文件中无需提供证明材料。采购代理机构将在开标当天从供应商资料库里查询本项目所有投标人的注册状态，投标人注册状态不是“有效”的，将按资格不符合招标文件要求，作资格审查不通过处理）；</w:t>
      </w:r>
    </w:p>
    <w:p>
      <w:pPr>
        <w:tabs>
          <w:tab w:val="clear" w:pos="426"/>
        </w:tabs>
        <w:ind w:firstLine="426" w:firstLineChars="202"/>
        <w:rPr>
          <w:rFonts w:ascii="Calibri" w:hAnsi="Calibri" w:cs="Times New Roman"/>
          <w:b/>
          <w:color w:val="000000" w:themeColor="text1"/>
          <w:kern w:val="2"/>
          <w:szCs w:val="22"/>
          <w:highlight w:val="none"/>
          <w14:textFill>
            <w14:solidFill>
              <w14:schemeClr w14:val="tx1"/>
            </w14:solidFill>
          </w14:textFill>
        </w:rPr>
      </w:pPr>
    </w:p>
    <w:p>
      <w:pPr>
        <w:widowControl w:val="0"/>
        <w:shd w:val="clear" w:color="auto" w:fill="auto"/>
        <w:tabs>
          <w:tab w:val="clear" w:pos="426"/>
        </w:tabs>
        <w:adjustRightInd/>
        <w:snapToGrid/>
        <w:rPr>
          <w:rFonts w:ascii="Times New Roman" w:hAnsi="Times New Roman" w:cs="Times New Roman"/>
          <w:b/>
          <w:color w:val="000000" w:themeColor="text1"/>
          <w:kern w:val="2"/>
          <w:szCs w:val="21"/>
          <w:highlight w:val="none"/>
          <w14:textFill>
            <w14:solidFill>
              <w14:schemeClr w14:val="tx1"/>
            </w14:solidFill>
          </w14:textFill>
        </w:rPr>
      </w:pPr>
      <w:r>
        <w:rPr>
          <w:rFonts w:hint="eastAsia" w:ascii="Times New Roman" w:hAnsi="Times New Roman" w:cs="Times New Roman"/>
          <w:b/>
          <w:color w:val="000000" w:themeColor="text1"/>
          <w:kern w:val="2"/>
          <w:szCs w:val="21"/>
          <w:highlight w:val="none"/>
          <w14:textFill>
            <w14:solidFill>
              <w14:schemeClr w14:val="tx1"/>
            </w14:solidFill>
          </w14:textFill>
        </w:rPr>
        <w:t>三、获取招标文件的时间、地点、方式及招标文件售价</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.获取招标文件时间：</w:t>
      </w:r>
      <w:r>
        <w:rPr>
          <w:rFonts w:hint="eastAsia"/>
          <w:color w:val="000000" w:themeColor="text1"/>
          <w:highlight w:val="none"/>
          <w:u w:val="single"/>
          <w14:textFill>
            <w14:solidFill>
              <w14:schemeClr w14:val="tx1"/>
            </w14:solidFill>
          </w14:textFill>
        </w:rPr>
        <w:t>2019</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10</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17</w:t>
      </w:r>
      <w:r>
        <w:rPr>
          <w:rFonts w:hint="eastAsia"/>
          <w:color w:val="000000" w:themeColor="text1"/>
          <w:highlight w:val="none"/>
          <w14:textFill>
            <w14:solidFill>
              <w14:schemeClr w14:val="tx1"/>
            </w14:solidFill>
          </w14:textFill>
        </w:rPr>
        <w:t>日起至</w:t>
      </w:r>
      <w:r>
        <w:rPr>
          <w:rFonts w:hint="eastAsia"/>
          <w:color w:val="000000" w:themeColor="text1"/>
          <w:highlight w:val="none"/>
          <w:u w:val="single"/>
          <w14:textFill>
            <w14:solidFill>
              <w14:schemeClr w14:val="tx1"/>
            </w14:solidFill>
          </w14:textFill>
        </w:rPr>
        <w:t>2019</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23</w:t>
      </w:r>
      <w:r>
        <w:rPr>
          <w:rFonts w:hint="eastAsia"/>
          <w:color w:val="000000" w:themeColor="text1"/>
          <w:highlight w:val="none"/>
          <w14:textFill>
            <w14:solidFill>
              <w14:schemeClr w14:val="tx1"/>
            </w14:solidFill>
          </w14:textFill>
        </w:rPr>
        <w:t>日（节假日除外），上午</w:t>
      </w:r>
      <w:r>
        <w:rPr>
          <w:rFonts w:hint="eastAsia"/>
          <w:color w:val="000000" w:themeColor="text1"/>
          <w:highlight w:val="none"/>
          <w:u w:val="single"/>
          <w14:textFill>
            <w14:solidFill>
              <w14:schemeClr w14:val="tx1"/>
            </w14:solidFill>
          </w14:textFill>
        </w:rPr>
        <w:t xml:space="preserve"> 09:00</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11:30  </w:t>
      </w:r>
      <w:r>
        <w:rPr>
          <w:rFonts w:hint="eastAsia"/>
          <w:color w:val="000000" w:themeColor="text1"/>
          <w:highlight w:val="none"/>
          <w14:textFill>
            <w14:solidFill>
              <w14:schemeClr w14:val="tx1"/>
            </w14:solidFill>
          </w14:textFill>
        </w:rPr>
        <w:t>，下午</w:t>
      </w:r>
      <w:r>
        <w:rPr>
          <w:rFonts w:hint="eastAsia"/>
          <w:color w:val="000000" w:themeColor="text1"/>
          <w:highlight w:val="none"/>
          <w:u w:val="single"/>
          <w14:textFill>
            <w14:solidFill>
              <w14:schemeClr w14:val="tx1"/>
            </w14:solidFill>
          </w14:textFill>
        </w:rPr>
        <w:t>14:00</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17:30（</w:t>
      </w:r>
      <w:r>
        <w:rPr>
          <w:rFonts w:hint="eastAsia"/>
          <w:color w:val="000000" w:themeColor="text1"/>
          <w:highlight w:val="none"/>
          <w14:textFill>
            <w14:solidFill>
              <w14:schemeClr w14:val="tx1"/>
            </w14:solidFill>
          </w14:textFill>
        </w:rPr>
        <w:t>北京时间）。</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.获取招标文件地点：深圳市罗湖区布吉路1028号中设广场B座307。</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.获取招标文件方式：现场购买或邮购。</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.招标文件售价：每套人民币5</w:t>
      </w:r>
      <w:r>
        <w:rPr>
          <w:color w:val="000000" w:themeColor="text1"/>
          <w:highlight w:val="none"/>
          <w14:textFill>
            <w14:solidFill>
              <w14:schemeClr w14:val="tx1"/>
            </w14:solidFill>
          </w14:textFill>
        </w:rPr>
        <w:t>00</w:t>
      </w:r>
      <w:r>
        <w:rPr>
          <w:rFonts w:hint="eastAsia"/>
          <w:color w:val="000000" w:themeColor="text1"/>
          <w:highlight w:val="none"/>
          <w14:textFill>
            <w14:solidFill>
              <w14:schemeClr w14:val="tx1"/>
            </w14:solidFill>
          </w14:textFill>
        </w:rPr>
        <w:t>元</w:t>
      </w:r>
      <w:r>
        <w:rPr>
          <w:rFonts w:hint="eastAsia"/>
          <w:b/>
          <w:color w:val="000000" w:themeColor="text1"/>
          <w:highlight w:val="none"/>
          <w14:textFill>
            <w14:solidFill>
              <w14:schemeClr w14:val="tx1"/>
            </w14:solidFill>
          </w14:textFill>
        </w:rPr>
        <w:t>（现金）</w:t>
      </w:r>
      <w:r>
        <w:rPr>
          <w:rFonts w:hint="eastAsia"/>
          <w:color w:val="000000" w:themeColor="text1"/>
          <w:highlight w:val="none"/>
          <w14:textFill>
            <w14:solidFill>
              <w14:schemeClr w14:val="tx1"/>
            </w14:solidFill>
          </w14:textFill>
        </w:rPr>
        <w:t>；若邮购，每份加收人民币</w:t>
      </w:r>
      <w:r>
        <w:rPr>
          <w:color w:val="000000" w:themeColor="text1"/>
          <w:highlight w:val="none"/>
          <w14:textFill>
            <w14:solidFill>
              <w14:schemeClr w14:val="tx1"/>
            </w14:solidFill>
          </w14:textFill>
        </w:rPr>
        <w:t>50元</w:t>
      </w:r>
      <w:r>
        <w:rPr>
          <w:rFonts w:hint="eastAsia"/>
          <w:color w:val="000000" w:themeColor="text1"/>
          <w:highlight w:val="none"/>
          <w14:textFill>
            <w14:solidFill>
              <w14:schemeClr w14:val="tx1"/>
            </w14:solidFill>
          </w14:textFill>
        </w:rPr>
        <w:t>。招标文件售后不退。</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5.现场报名时提交以下资料：</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（1）投标人的营业执照复印件；</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（2）法人代表证明书原件、授权委托书原件、被授权委托人身份证复印件、被授权委托人联系方式</w:t>
      </w:r>
      <w:r>
        <w:rPr>
          <w:rFonts w:hint="eastAsia"/>
          <w:b/>
          <w:color w:val="000000" w:themeColor="text1"/>
          <w:highlight w:val="none"/>
          <w14:textFill>
            <w14:solidFill>
              <w14:schemeClr w14:val="tx1"/>
            </w14:solidFill>
          </w14:textFill>
        </w:rPr>
        <w:t>（电话、邮箱）</w:t>
      </w:r>
      <w:r>
        <w:rPr>
          <w:rFonts w:hint="eastAsia"/>
          <w:color w:val="000000" w:themeColor="text1"/>
          <w:highlight w:val="none"/>
          <w14:textFill>
            <w14:solidFill>
              <w14:schemeClr w14:val="tx1"/>
            </w14:solidFill>
          </w14:textFill>
        </w:rPr>
        <w:t>；</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3）投标人的增值税发票开票（信息）资料；</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以上资料均需加盖公章。</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如需邮购，请于办理汇款手续后，快递上述报名资料、汇款凭证至采购代理机构。</w:t>
      </w:r>
    </w:p>
    <w:p>
      <w:pPr>
        <w:widowControl w:val="0"/>
        <w:shd w:val="clear" w:color="auto" w:fill="auto"/>
        <w:tabs>
          <w:tab w:val="clear" w:pos="426"/>
        </w:tabs>
        <w:adjustRightInd/>
        <w:snapToGrid/>
        <w:rPr>
          <w:rFonts w:ascii="Times New Roman" w:hAnsi="Times New Roman" w:cs="Times New Roman"/>
          <w:b/>
          <w:color w:val="000000" w:themeColor="text1"/>
          <w:kern w:val="2"/>
          <w:szCs w:val="21"/>
          <w:highlight w:val="none"/>
          <w14:textFill>
            <w14:solidFill>
              <w14:schemeClr w14:val="tx1"/>
            </w14:solidFill>
          </w14:textFill>
        </w:rPr>
      </w:pPr>
      <w:r>
        <w:rPr>
          <w:rFonts w:hint="eastAsia" w:ascii="Times New Roman" w:hAnsi="Times New Roman" w:cs="Times New Roman"/>
          <w:b/>
          <w:color w:val="000000" w:themeColor="text1"/>
          <w:kern w:val="2"/>
          <w:szCs w:val="21"/>
          <w:highlight w:val="none"/>
          <w14:textFill>
            <w14:solidFill>
              <w14:schemeClr w14:val="tx1"/>
            </w14:solidFill>
          </w14:textFill>
        </w:rPr>
        <w:t>四、投标截止时间、开标时间及地点</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.递交投标文件时间：</w:t>
      </w:r>
      <w:r>
        <w:rPr>
          <w:rFonts w:hint="eastAsia"/>
          <w:color w:val="000000" w:themeColor="text1"/>
          <w:highlight w:val="none"/>
          <w:u w:val="single"/>
          <w14:textFill>
            <w14:solidFill>
              <w14:schemeClr w14:val="tx1"/>
            </w14:solidFill>
          </w14:textFill>
        </w:rPr>
        <w:t xml:space="preserve"> 2019</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28</w:t>
      </w:r>
      <w:r>
        <w:rPr>
          <w:rFonts w:hint="eastAsia"/>
          <w:color w:val="000000" w:themeColor="text1"/>
          <w:highlight w:val="none"/>
          <w14:textFill>
            <w14:solidFill>
              <w14:schemeClr w14:val="tx1"/>
            </w14:solidFill>
          </w14:textFill>
        </w:rPr>
        <w:t xml:space="preserve">日 </w:t>
      </w:r>
      <w:r>
        <w:rPr>
          <w:rFonts w:hint="eastAsia"/>
          <w:color w:val="000000" w:themeColor="text1"/>
          <w:highlight w:val="none"/>
          <w:u w:val="single"/>
          <w:lang w:val="en-US" w:eastAsia="zh-CN"/>
          <w14:textFill>
            <w14:solidFill>
              <w14:schemeClr w14:val="tx1"/>
            </w14:solidFill>
          </w14:textFill>
        </w:rPr>
        <w:t>14</w:t>
      </w:r>
      <w:r>
        <w:rPr>
          <w:rFonts w:hint="eastAsia"/>
          <w:color w:val="000000" w:themeColor="text1"/>
          <w:highlight w:val="none"/>
          <w:u w:val="single"/>
          <w14:textFill>
            <w14:solidFill>
              <w14:schemeClr w14:val="tx1"/>
            </w14:solidFill>
          </w14:textFill>
        </w:rPr>
        <w:t>:00</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09:30</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.投标截止及开标时间：</w:t>
      </w:r>
      <w:r>
        <w:rPr>
          <w:rFonts w:hint="eastAsia"/>
          <w:color w:val="000000" w:themeColor="text1"/>
          <w:highlight w:val="none"/>
          <w:u w:val="single"/>
          <w14:textFill>
            <w14:solidFill>
              <w14:schemeClr w14:val="tx1"/>
            </w14:solidFill>
          </w14:textFill>
        </w:rPr>
        <w:t>2019</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lang w:val="en-US" w:eastAsia="zh-CN"/>
          <w14:textFill>
            <w14:solidFill>
              <w14:schemeClr w14:val="tx1"/>
            </w14:solidFill>
          </w14:textFill>
        </w:rPr>
        <w:t>10</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28</w:t>
      </w:r>
      <w:r>
        <w:rPr>
          <w:rFonts w:hint="eastAsia"/>
          <w:color w:val="000000" w:themeColor="text1"/>
          <w:highlight w:val="none"/>
          <w14:textFill>
            <w14:solidFill>
              <w14:schemeClr w14:val="tx1"/>
            </w14:solidFill>
          </w14:textFill>
        </w:rPr>
        <w:t>日</w:t>
      </w:r>
      <w:r>
        <w:rPr>
          <w:rFonts w:hint="eastAsia"/>
          <w:color w:val="000000" w:themeColor="text1"/>
          <w:highlight w:val="none"/>
          <w:u w:val="single"/>
          <w:lang w:val="en-US" w:eastAsia="zh-CN"/>
          <w14:textFill>
            <w14:solidFill>
              <w14:schemeClr w14:val="tx1"/>
            </w14:solidFill>
          </w14:textFill>
        </w:rPr>
        <w:t>14</w:t>
      </w:r>
      <w:r>
        <w:rPr>
          <w:rFonts w:hint="eastAsia"/>
          <w:color w:val="000000" w:themeColor="text1"/>
          <w:highlight w:val="none"/>
          <w14:textFill>
            <w14:solidFill>
              <w14:schemeClr w14:val="tx1"/>
            </w14:solidFill>
          </w14:textFill>
        </w:rPr>
        <w:t>时</w:t>
      </w:r>
      <w:r>
        <w:rPr>
          <w:rFonts w:hint="eastAsia"/>
          <w:color w:val="000000" w:themeColor="text1"/>
          <w:highlight w:val="none"/>
          <w:u w:val="single"/>
          <w14:textFill>
            <w14:solidFill>
              <w14:schemeClr w14:val="tx1"/>
            </w14:solidFill>
          </w14:textFill>
        </w:rPr>
        <w:t xml:space="preserve"> 30 </w:t>
      </w:r>
      <w:r>
        <w:rPr>
          <w:rFonts w:hint="eastAsia"/>
          <w:color w:val="000000" w:themeColor="text1"/>
          <w:highlight w:val="none"/>
          <w14:textFill>
            <w14:solidFill>
              <w14:schemeClr w14:val="tx1"/>
            </w14:solidFill>
          </w14:textFill>
        </w:rPr>
        <w:t>分</w:t>
      </w:r>
    </w:p>
    <w:p>
      <w:pPr>
        <w:tabs>
          <w:tab w:val="clear" w:pos="426"/>
        </w:tabs>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.开标地点：深圳市罗湖区布吉路1028号中设广场B座307开标室。</w:t>
      </w:r>
    </w:p>
    <w:p>
      <w:pPr>
        <w:widowControl w:val="0"/>
        <w:shd w:val="clear" w:color="auto" w:fill="auto"/>
        <w:tabs>
          <w:tab w:val="clear" w:pos="426"/>
        </w:tabs>
        <w:adjustRightInd/>
        <w:snapToGrid/>
        <w:rPr>
          <w:rFonts w:ascii="Times New Roman" w:hAnsi="Times New Roman" w:cs="Times New Roman"/>
          <w:b/>
          <w:color w:val="000000" w:themeColor="text1"/>
          <w:kern w:val="2"/>
          <w:szCs w:val="21"/>
          <w:highlight w:val="none"/>
          <w14:textFill>
            <w14:solidFill>
              <w14:schemeClr w14:val="tx1"/>
            </w14:solidFill>
          </w14:textFill>
        </w:rPr>
      </w:pPr>
      <w:r>
        <w:rPr>
          <w:rFonts w:hint="eastAsia" w:ascii="Times New Roman" w:hAnsi="Times New Roman" w:cs="Times New Roman"/>
          <w:b/>
          <w:color w:val="000000" w:themeColor="text1"/>
          <w:kern w:val="2"/>
          <w:szCs w:val="21"/>
          <w:highlight w:val="none"/>
          <w14:textFill>
            <w14:solidFill>
              <w14:schemeClr w14:val="tx1"/>
            </w14:solidFill>
          </w14:textFill>
        </w:rPr>
        <w:t>五、答疑事项</w:t>
      </w:r>
    </w:p>
    <w:p>
      <w:pPr>
        <w:tabs>
          <w:tab w:val="clear" w:pos="426"/>
        </w:tabs>
        <w:ind w:firstLine="424" w:firstLineChars="202"/>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1.本项目实行网下纸质答疑，凡对招标文件有任何疑问的（包括认为招标文件的技术指标或参数存在排他性或歧视性条款），请投标人于</w:t>
      </w:r>
      <w:r>
        <w:rPr>
          <w:rFonts w:hint="eastAsia"/>
          <w:color w:val="000000" w:themeColor="text1"/>
          <w:highlight w:val="none"/>
          <w:u w:val="single"/>
          <w14:textFill>
            <w14:solidFill>
              <w14:schemeClr w14:val="tx1"/>
            </w14:solidFill>
          </w14:textFill>
        </w:rPr>
        <w:t>2019</w:t>
      </w:r>
      <w:r>
        <w:rPr>
          <w:color w:val="000000" w:themeColor="text1"/>
          <w:szCs w:val="21"/>
          <w:highlight w:val="none"/>
          <w14:textFill>
            <w14:solidFill>
              <w14:schemeClr w14:val="tx1"/>
            </w14:solidFill>
          </w14:textFill>
        </w:rPr>
        <w:t>年</w:t>
      </w:r>
      <w:r>
        <w:rPr>
          <w:rFonts w:hint="eastAsia"/>
          <w:color w:val="000000" w:themeColor="text1"/>
          <w:szCs w:val="21"/>
          <w:highlight w:val="none"/>
          <w:u w:val="single"/>
          <w:lang w:val="en-US" w:eastAsia="zh-CN"/>
          <w14:textFill>
            <w14:solidFill>
              <w14:schemeClr w14:val="tx1"/>
            </w14:solidFill>
          </w14:textFill>
        </w:rPr>
        <w:t>10</w:t>
      </w:r>
      <w:r>
        <w:rPr>
          <w:color w:val="000000" w:themeColor="text1"/>
          <w:szCs w:val="21"/>
          <w:highlight w:val="none"/>
          <w14:textFill>
            <w14:solidFill>
              <w14:schemeClr w14:val="tx1"/>
            </w14:solidFill>
          </w14:textFill>
        </w:rPr>
        <w:t>月</w:t>
      </w:r>
      <w:r>
        <w:rPr>
          <w:rFonts w:hint="eastAsia"/>
          <w:color w:val="000000" w:themeColor="text1"/>
          <w:szCs w:val="21"/>
          <w:highlight w:val="none"/>
          <w:u w:val="single"/>
          <w:lang w:val="en-US" w:eastAsia="zh-CN"/>
          <w14:textFill>
            <w14:solidFill>
              <w14:schemeClr w14:val="tx1"/>
            </w14:solidFill>
          </w14:textFill>
        </w:rPr>
        <w:t>25</w:t>
      </w:r>
      <w:r>
        <w:rPr>
          <w:color w:val="000000" w:themeColor="text1"/>
          <w:szCs w:val="21"/>
          <w:highlight w:val="none"/>
          <w14:textFill>
            <w14:solidFill>
              <w14:schemeClr w14:val="tx1"/>
            </w14:solidFill>
          </w14:textFill>
        </w:rPr>
        <w:t>日 17:30前，根据《深圳经济特区政府采购条例》第六章、《深圳市经济特区政府采购条例实施细则》第六章及深圳市政府采购中心网页http://www.cgzx.sz.gov.cn/zxfw/</w:t>
      </w:r>
      <w:r>
        <w:rPr>
          <w:rFonts w:hint="eastAsia"/>
          <w:color w:val="000000" w:themeColor="text1"/>
          <w:szCs w:val="21"/>
          <w:highlight w:val="none"/>
          <w14:textFill>
            <w14:solidFill>
              <w14:schemeClr w14:val="tx1"/>
            </w14:solidFill>
          </w14:textFill>
        </w:rPr>
        <w:t>mx</w:t>
      </w:r>
      <w:r>
        <w:rPr>
          <w:color w:val="000000" w:themeColor="text1"/>
          <w:szCs w:val="21"/>
          <w:highlight w:val="none"/>
          <w14:textFill>
            <w14:solidFill>
              <w14:schemeClr w14:val="tx1"/>
            </w14:solidFill>
          </w14:textFill>
        </w:rPr>
        <w:t>gys/zyzn/所发布的有关质疑的指引及要求填写质疑函件，并将质疑函件以及相关质疑内容的证明材料原件送达深圳市深水水务咨询有限公司，逾期不受理。</w:t>
      </w:r>
    </w:p>
    <w:p>
      <w:pPr>
        <w:tabs>
          <w:tab w:val="clear" w:pos="426"/>
        </w:tabs>
        <w:ind w:firstLine="424" w:firstLineChars="202"/>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pPr>
        <w:tabs>
          <w:tab w:val="clear" w:pos="426"/>
        </w:tabs>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六、相关信息</w:t>
      </w:r>
    </w:p>
    <w:tbl>
      <w:tblPr>
        <w:tblStyle w:val="44"/>
        <w:tblW w:w="796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514"/>
        <w:gridCol w:w="64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7964" w:type="dxa"/>
            <w:gridSpan w:val="2"/>
            <w:tcBorders>
              <w:top w:val="double" w:color="auto" w:sz="4" w:space="0"/>
              <w:left w:val="double" w:color="auto" w:sz="4" w:space="0"/>
              <w:bottom w:val="single" w:color="auto" w:sz="8" w:space="0"/>
              <w:right w:val="double" w:color="auto" w:sz="4" w:space="0"/>
            </w:tcBorders>
            <w:tcMar>
              <w:left w:w="108" w:type="dxa"/>
              <w:right w:w="108" w:type="dxa"/>
            </w:tcMar>
            <w:vAlign w:val="center"/>
          </w:tcPr>
          <w:p>
            <w:pPr>
              <w:pStyle w:val="40"/>
              <w:jc w:val="center"/>
              <w:rPr>
                <w:color w:val="000000" w:themeColor="text1"/>
                <w:highlight w:val="none"/>
                <w14:textFill>
                  <w14:solidFill>
                    <w14:schemeClr w14:val="tx1"/>
                  </w14:solidFill>
                </w14:textFill>
              </w:rPr>
            </w:pPr>
            <w:r>
              <w:rPr>
                <w:rStyle w:val="48"/>
                <w:rFonts w:hint="eastAsia"/>
                <w:color w:val="000000" w:themeColor="text1"/>
                <w:sz w:val="20"/>
                <w:szCs w:val="20"/>
                <w:highlight w:val="none"/>
                <w14:textFill>
                  <w14:solidFill>
                    <w14:schemeClr w14:val="tx1"/>
                  </w14:solidFill>
                </w14:textFill>
              </w:rPr>
              <w:t>联系表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交易实施机构</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深圳市深水水务咨询有限公司</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深圳市罗湖区布吉路1028号中设广场B座307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联系电话</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0755-25160321 ，13925205100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邮箱</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244868795@qq.com</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邮政编码</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518118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相关网址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深圳市深水水务咨询有限公司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"http://www.szsszx.com"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http://www.szsszx.com</w:t>
            </w:r>
            <w:r>
              <w:rPr>
                <w:rFonts w:hint="eastAsia"/>
                <w:color w:val="000000" w:themeColor="text1"/>
                <w:highlight w:val="none"/>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采购单位</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深圳平乐骨伤科医院（深圳市坪山区中医院）</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张工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0" w:hRule="atLeast"/>
        </w:trPr>
        <w:tc>
          <w:tcPr>
            <w:tcW w:w="1514" w:type="dxa"/>
            <w:tcBorders>
              <w:top w:val="nil"/>
              <w:left w:val="double" w:color="auto" w:sz="4" w:space="0"/>
              <w:bottom w:val="single" w:color="auto" w:sz="8" w:space="0"/>
              <w:right w:val="single" w:color="auto" w:sz="8" w:space="0"/>
            </w:tcBorders>
            <w:tcMar>
              <w:left w:w="108" w:type="dxa"/>
              <w:right w:w="108" w:type="dxa"/>
            </w:tcMar>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单位地址</w:t>
            </w:r>
          </w:p>
        </w:tc>
        <w:tc>
          <w:tcPr>
            <w:tcW w:w="6450" w:type="dxa"/>
            <w:tcBorders>
              <w:top w:val="nil"/>
              <w:left w:val="nil"/>
              <w:bottom w:val="single" w:color="auto" w:sz="8" w:space="0"/>
              <w:right w:val="double" w:color="auto" w:sz="4" w:space="0"/>
            </w:tcBorders>
            <w:tcMar>
              <w:left w:w="108" w:type="dxa"/>
              <w:right w:w="108" w:type="dxa"/>
            </w:tcMar>
            <w:vAlign w:val="center"/>
          </w:tcPr>
          <w:p>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13923723697</w:t>
            </w:r>
          </w:p>
        </w:tc>
      </w:tr>
    </w:tbl>
    <w:p>
      <w:pPr>
        <w:pStyle w:val="20"/>
        <w:rPr>
          <w:color w:val="000000" w:themeColor="text1"/>
          <w:highlight w:val="none"/>
          <w14:textFill>
            <w14:solidFill>
              <w14:schemeClr w14:val="tx1"/>
            </w14:solidFill>
          </w14:textFill>
        </w:rPr>
      </w:pPr>
    </w:p>
    <w:p>
      <w:pPr>
        <w:widowControl w:val="0"/>
        <w:shd w:val="clear" w:color="auto" w:fill="auto"/>
        <w:tabs>
          <w:tab w:val="clear" w:pos="426"/>
        </w:tabs>
        <w:adjustRightInd/>
        <w:snapToGrid/>
        <w:rPr>
          <w:rFonts w:ascii="Times New Roman" w:hAnsi="Times New Roman" w:cs="Times New Roman"/>
          <w:b/>
          <w:color w:val="000000" w:themeColor="text1"/>
          <w:kern w:val="2"/>
          <w:szCs w:val="21"/>
          <w:highlight w:val="none"/>
          <w14:textFill>
            <w14:solidFill>
              <w14:schemeClr w14:val="tx1"/>
            </w14:solidFill>
          </w14:textFill>
        </w:rPr>
      </w:pPr>
      <w:r>
        <w:rPr>
          <w:rFonts w:hint="eastAsia" w:ascii="Times New Roman" w:hAnsi="Times New Roman" w:cs="Times New Roman"/>
          <w:b/>
          <w:color w:val="000000" w:themeColor="text1"/>
          <w:kern w:val="2"/>
          <w:szCs w:val="21"/>
          <w:highlight w:val="none"/>
          <w14:textFill>
            <w14:solidFill>
              <w14:schemeClr w14:val="tx1"/>
            </w14:solidFill>
          </w14:textFill>
        </w:rPr>
        <w:t>七、采购文件</w:t>
      </w:r>
    </w:p>
    <w:p>
      <w:pPr>
        <w:tabs>
          <w:tab w:val="clear" w:pos="426"/>
        </w:tabs>
        <w:ind w:firstLine="363" w:firstLineChars="202"/>
        <w:rPr>
          <w:rStyle w:val="55"/>
          <w:rFonts w:hint="default"/>
          <w:color w:val="000000" w:themeColor="text1"/>
          <w:highlight w:val="none"/>
          <w14:textFill>
            <w14:solidFill>
              <w14:schemeClr w14:val="tx1"/>
            </w14:solidFill>
          </w14:textFill>
        </w:rPr>
      </w:pPr>
      <w:r>
        <w:rPr>
          <w:rStyle w:val="55"/>
          <w:rFonts w:hint="default"/>
          <w:color w:val="000000" w:themeColor="text1"/>
          <w:highlight w:val="none"/>
          <w14:textFill>
            <w14:solidFill>
              <w14:schemeClr w14:val="tx1"/>
            </w14:solidFill>
          </w14:textFill>
        </w:rPr>
        <w:t>-点此下载-</w:t>
      </w:r>
    </w:p>
    <w:p>
      <w:pPr>
        <w:tabs>
          <w:tab w:val="clear" w:pos="426"/>
        </w:tabs>
        <w:ind w:firstLine="424" w:firstLineChars="202"/>
        <w:rPr>
          <w:color w:val="000000" w:themeColor="text1"/>
          <w:highlight w:val="none"/>
          <w14:textFill>
            <w14:solidFill>
              <w14:schemeClr w14:val="tx1"/>
            </w14:solidFill>
          </w14:textFill>
        </w:rPr>
      </w:pPr>
    </w:p>
    <w:p>
      <w:pPr>
        <w:tabs>
          <w:tab w:val="clear" w:pos="426"/>
        </w:tabs>
        <w:ind w:firstLine="424" w:firstLineChars="202"/>
        <w:rPr>
          <w:strike/>
          <w:color w:val="000000" w:themeColor="text1"/>
          <w:highlight w:val="none"/>
          <w14:textFill>
            <w14:solidFill>
              <w14:schemeClr w14:val="tx1"/>
            </w14:solidFill>
          </w14:textFill>
        </w:rPr>
      </w:pPr>
    </w:p>
    <w:p>
      <w:pPr>
        <w:pStyle w:val="33"/>
        <w:tabs>
          <w:tab w:val="clear" w:pos="426"/>
        </w:tabs>
        <w:rPr>
          <w:color w:val="000000" w:themeColor="text1"/>
          <w:highlight w:val="none"/>
          <w14:textFill>
            <w14:solidFill>
              <w14:schemeClr w14:val="tx1"/>
            </w14:solidFill>
          </w14:textFill>
        </w:rPr>
        <w:sectPr>
          <w:headerReference r:id="rId5" w:type="first"/>
          <w:footerReference r:id="rId7" w:type="first"/>
          <w:headerReference r:id="rId4" w:type="default"/>
          <w:footerReference r:id="rId6" w:type="default"/>
          <w:pgSz w:w="11906" w:h="16838"/>
          <w:pgMar w:top="1134" w:right="1134" w:bottom="1134" w:left="1418" w:header="851" w:footer="992" w:gutter="0"/>
          <w:cols w:space="425" w:num="1"/>
          <w:titlePg/>
          <w:docGrid w:linePitch="462" w:charSpace="0"/>
        </w:sectPr>
      </w:pPr>
      <w:bookmarkStart w:id="36" w:name="_Toc432592814"/>
      <w:bookmarkStart w:id="37" w:name="_Toc3628659"/>
    </w:p>
    <w:p>
      <w:pPr>
        <w:pStyle w:val="33"/>
        <w:tabs>
          <w:tab w:val="clear" w:pos="426"/>
        </w:tabs>
        <w:rPr>
          <w:color w:val="000000" w:themeColor="text1"/>
          <w:highlight w:val="none"/>
          <w14:textFill>
            <w14:solidFill>
              <w14:schemeClr w14:val="tx1"/>
            </w14:solidFill>
          </w14:textFill>
        </w:rPr>
      </w:pPr>
      <w:bookmarkStart w:id="38" w:name="_Toc16465"/>
      <w:r>
        <w:rPr>
          <w:rFonts w:hint="eastAsia"/>
          <w:color w:val="000000" w:themeColor="text1"/>
          <w:highlight w:val="none"/>
          <w14:textFill>
            <w14:solidFill>
              <w14:schemeClr w14:val="tx1"/>
            </w14:solidFill>
          </w14:textFill>
        </w:rPr>
        <w:t xml:space="preserve">第二章 </w:t>
      </w:r>
      <w:bookmarkEnd w:id="36"/>
      <w:r>
        <w:rPr>
          <w:rFonts w:hint="eastAsia"/>
          <w:color w:val="000000" w:themeColor="text1"/>
          <w:highlight w:val="none"/>
          <w14:textFill>
            <w14:solidFill>
              <w14:schemeClr w14:val="tx1"/>
            </w14:solidFill>
          </w14:textFill>
        </w:rPr>
        <w:t>投标须知前附表</w:t>
      </w:r>
      <w:bookmarkEnd w:id="37"/>
      <w:bookmarkEnd w:id="38"/>
    </w:p>
    <w:p>
      <w:pPr>
        <w:tabs>
          <w:tab w:val="clear" w:pos="426"/>
        </w:tabs>
        <w:spacing w:line="240" w:lineRule="auto"/>
        <w:ind w:right="-174" w:rightChars="-8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说明：本表是对通用条款《投标人须知》条款的补充、修改和完善，如果有矛盾，应以本表为准。</w:t>
      </w:r>
    </w:p>
    <w:tbl>
      <w:tblPr>
        <w:tblStyle w:val="44"/>
        <w:tblW w:w="957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27"/>
        <w:gridCol w:w="719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1627"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7193"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联合体投标</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■不接受（招标文件中相关联合体规定均不适用）   □接受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踏勘现场</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■不组织。</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组织。踏勘时间：</w:t>
            </w:r>
            <w:r>
              <w:rPr>
                <w:rFonts w:hint="eastAsia"/>
                <w:color w:val="000000" w:themeColor="text1"/>
                <w:highlight w:val="none"/>
                <w:u w:val="single"/>
                <w14:textFill>
                  <w14:solidFill>
                    <w14:schemeClr w14:val="tx1"/>
                  </w14:solidFill>
                </w14:textFill>
              </w:rPr>
              <w:t>/年/月/日/ 时/分</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集合地点：</w:t>
            </w:r>
            <w:r>
              <w:rPr>
                <w:rFonts w:hint="eastAsia"/>
                <w:color w:val="000000" w:themeColor="text1"/>
                <w:highlight w:val="none"/>
                <w:u w:val="singl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投标人提出疑问截止时间</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采购文件发布之日起第7个工作日</w:t>
            </w:r>
            <w:r>
              <w:rPr>
                <w:rFonts w:hint="eastAsia"/>
                <w:color w:val="000000" w:themeColor="text1"/>
                <w:highlight w:val="none"/>
                <w:u w:val="single"/>
                <w14:textFill>
                  <w14:solidFill>
                    <w14:schemeClr w14:val="tx1"/>
                  </w14:solidFill>
                </w14:textFill>
              </w:rPr>
              <w:t>17：30</w:t>
            </w:r>
            <w:r>
              <w:rPr>
                <w:rFonts w:hint="eastAsia"/>
                <w:color w:val="000000" w:themeColor="text1"/>
                <w:highlight w:val="none"/>
                <w14:textFill>
                  <w14:solidFill>
                    <w14:schemeClr w14:val="tx1"/>
                  </w14:solidFill>
                </w14:textFill>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澄清或修补、答疑的期限</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截标3</w:t>
            </w:r>
            <w:r>
              <w:rPr>
                <w:color w:val="000000" w:themeColor="text1"/>
                <w:highlight w:val="none"/>
                <w14:textFill>
                  <w14:solidFill>
                    <w14:schemeClr w14:val="tx1"/>
                  </w14:solidFill>
                </w14:textFill>
              </w:rPr>
              <w:t>日</w:t>
            </w:r>
            <w:r>
              <w:rPr>
                <w:rFonts w:hint="eastAsia"/>
                <w:color w:val="000000" w:themeColor="text1"/>
                <w:highlight w:val="none"/>
                <w14:textFill>
                  <w14:solidFill>
                    <w14:schemeClr w14:val="tx1"/>
                  </w14:solidFill>
                </w14:textFill>
              </w:rPr>
              <w:t>前</w:t>
            </w:r>
            <w:r>
              <w:rPr>
                <w:rFonts w:hint="eastAsia"/>
                <w:color w:val="000000" w:themeColor="text1"/>
                <w:highlight w:val="none"/>
                <w:u w:val="single"/>
                <w14:textFill>
                  <w14:solidFill>
                    <w14:schemeClr w14:val="tx1"/>
                  </w14:solidFill>
                </w14:textFill>
              </w:rPr>
              <w:t>17：30</w:t>
            </w:r>
            <w:r>
              <w:rPr>
                <w:rFonts w:hint="eastAsia"/>
                <w:color w:val="000000" w:themeColor="text1"/>
                <w:highlight w:val="none"/>
                <w14:textFill>
                  <w14:solidFill>
                    <w14:schemeClr w14:val="tx1"/>
                  </w14:solidFill>
                </w14:textFill>
              </w:rPr>
              <w:t>点前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招标代理</w:t>
            </w:r>
            <w:r>
              <w:rPr>
                <w:color w:val="000000" w:themeColor="text1"/>
                <w:highlight w:val="none"/>
                <w14:textFill>
                  <w14:solidFill>
                    <w14:schemeClr w14:val="tx1"/>
                  </w14:solidFill>
                </w14:textFill>
              </w:rPr>
              <w:t>服务费</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采购代理机构以中标金额为计算基数，按《深圳市财政委员会关于规范深圳市社会采购代理机构管理有关事项的补充通知》（深财购〔</w:t>
            </w:r>
            <w:r>
              <w:rPr>
                <w:color w:val="000000" w:themeColor="text1"/>
                <w:highlight w:val="none"/>
                <w14:textFill>
                  <w14:solidFill>
                    <w14:schemeClr w14:val="tx1"/>
                  </w14:solidFill>
                </w14:textFill>
              </w:rPr>
              <w:t>2018〕27号）规定的招标代理服务费收费办法，按差额定率累进法计算，并向中标人收取。</w:t>
            </w:r>
            <w:r>
              <w:rPr>
                <w:rFonts w:hint="eastAsia"/>
                <w:color w:val="000000" w:themeColor="text1"/>
                <w:highlight w:val="none"/>
                <w14:textFill>
                  <w14:solidFill>
                    <w14:schemeClr w14:val="tx1"/>
                  </w14:solidFill>
                </w14:textFill>
              </w:rPr>
              <w:t>交易服务费采用转账的方式，账户信息如下：</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户名：深圳市深水水务咨询有限公司</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账号：</w:t>
            </w:r>
            <w:r>
              <w:rPr>
                <w:color w:val="000000" w:themeColor="text1"/>
                <w:highlight w:val="none"/>
                <w14:textFill>
                  <w14:solidFill>
                    <w14:schemeClr w14:val="tx1"/>
                  </w14:solidFill>
                </w14:textFill>
              </w:rPr>
              <w:t>4000021219200366130</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开户行：中国工商银行深圳红围支行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担保</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本项目无需缴纳保证金。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投标有效期</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90</w:t>
            </w:r>
            <w:r>
              <w:rPr>
                <w:color w:val="000000" w:themeColor="text1"/>
                <w:highlight w:val="none"/>
                <w14:textFill>
                  <w14:solidFill>
                    <w14:schemeClr w14:val="tx1"/>
                  </w14:solidFill>
                </w14:textFill>
              </w:rPr>
              <w:t>日历天（</w:t>
            </w:r>
            <w:r>
              <w:rPr>
                <w:rFonts w:hint="eastAsia"/>
                <w:color w:val="000000" w:themeColor="text1"/>
                <w:highlight w:val="none"/>
                <w14:textFill>
                  <w14:solidFill>
                    <w14:schemeClr w14:val="tx1"/>
                  </w14:solidFill>
                </w14:textFill>
              </w:rPr>
              <w:t>从投标截止之日算起</w:t>
            </w:r>
            <w:r>
              <w:rPr>
                <w:color w:val="000000" w:themeColor="text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替代方案</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■不允许          □允许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评定分离</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□是             </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评标</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p>
        </w:tc>
        <w:tc>
          <w:tcPr>
            <w:tcW w:w="7193" w:type="dxa"/>
            <w:vAlign w:val="center"/>
          </w:tcPr>
          <w:p>
            <w:pPr>
              <w:tabs>
                <w:tab w:val="clear" w:pos="426"/>
              </w:tabs>
              <w:adjustRightInd/>
              <w:snapToGrid/>
              <w:spacing w:line="240" w:lineRule="exact"/>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综合评分法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定性评审法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最低价法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w:t>
            </w:r>
            <w:r>
              <w:rPr>
                <w:color w:val="000000" w:themeColor="text1"/>
                <w:highlight w:val="none"/>
                <w14:textFill>
                  <w14:solidFill>
                    <w14:schemeClr w14:val="tx1"/>
                  </w14:solidFill>
                </w14:textFill>
              </w:rPr>
              <w:t>标</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p>
        </w:tc>
        <w:tc>
          <w:tcPr>
            <w:tcW w:w="7193" w:type="dxa"/>
            <w:vAlign w:val="center"/>
          </w:tcPr>
          <w:p>
            <w:pPr>
              <w:tabs>
                <w:tab w:val="clear" w:pos="426"/>
              </w:tabs>
              <w:adjustRightInd/>
              <w:snapToGrid/>
              <w:spacing w:line="240" w:lineRule="exact"/>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自定法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抽签法          </w:t>
            </w:r>
            <w:r>
              <w:rPr>
                <w:rFonts w:hint="eastAsia"/>
                <w:color w:val="000000" w:themeColor="text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竞价法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履约保证金</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不提交         □提交</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担保金额：为中标价的</w:t>
            </w:r>
            <w:r>
              <w:rPr>
                <w:rFonts w:hint="eastAsia"/>
                <w:color w:val="000000" w:themeColor="text1"/>
                <w:highlight w:val="none"/>
                <w:u w:val="single"/>
                <w14:textFill>
                  <w14:solidFill>
                    <w14:schemeClr w14:val="tx1"/>
                  </w14:solidFill>
                </w14:textFill>
              </w:rPr>
              <w:t xml:space="preserve"> /  </w:t>
            </w:r>
            <w:r>
              <w:rPr>
                <w:rFonts w:hint="eastAsia"/>
                <w:color w:val="000000" w:themeColor="text1"/>
                <w:highlight w:val="none"/>
                <w14:textFill>
                  <w14:solidFill>
                    <w14:schemeClr w14:val="tx1"/>
                  </w14:solidFill>
                </w14:textFill>
              </w:rPr>
              <w:t>% 或</w:t>
            </w:r>
            <w:r>
              <w:rPr>
                <w:rFonts w:hint="eastAsia"/>
                <w:color w:val="000000" w:themeColor="text1"/>
                <w:highlight w:val="none"/>
                <w:u w:val="single"/>
                <w14:textFill>
                  <w14:solidFill>
                    <w14:schemeClr w14:val="tx1"/>
                  </w14:solidFill>
                </w14:textFill>
              </w:rPr>
              <w:t xml:space="preserve"> / </w:t>
            </w:r>
            <w:r>
              <w:rPr>
                <w:rFonts w:hint="eastAsia"/>
                <w:color w:val="000000" w:themeColor="text1"/>
                <w:highlight w:val="none"/>
                <w14:textFill>
                  <w14:solidFill>
                    <w14:schemeClr w14:val="tx1"/>
                  </w14:solidFill>
                </w14:textFill>
              </w:rPr>
              <w:t>万元</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担保提交时间：收到中标通知书后，并在签订合同前提交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投标文件份数</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（1）开标信封一份；</w:t>
            </w:r>
          </w:p>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（2）纸质投标文件</w:t>
            </w:r>
            <w:r>
              <w:rPr>
                <w:color w:val="000000" w:themeColor="text1"/>
                <w:highlight w:val="none"/>
                <w:u w:val="single"/>
                <w14:textFill>
                  <w14:solidFill>
                    <w14:schemeClr w14:val="tx1"/>
                  </w14:solidFill>
                </w14:textFill>
              </w:rPr>
              <w:t>一</w:t>
            </w:r>
            <w:r>
              <w:rPr>
                <w:color w:val="000000" w:themeColor="text1"/>
                <w:highlight w:val="none"/>
                <w14:textFill>
                  <w14:solidFill>
                    <w14:schemeClr w14:val="tx1"/>
                  </w14:solidFill>
                </w14:textFill>
              </w:rPr>
              <w:t>正本，</w:t>
            </w:r>
            <w:r>
              <w:rPr>
                <w:color w:val="000000" w:themeColor="text1"/>
                <w:highlight w:val="none"/>
                <w:u w:val="single"/>
                <w14:textFill>
                  <w14:solidFill>
                    <w14:schemeClr w14:val="tx1"/>
                  </w14:solidFill>
                </w14:textFill>
              </w:rPr>
              <w:t>四</w:t>
            </w:r>
            <w:r>
              <w:rPr>
                <w:color w:val="000000" w:themeColor="text1"/>
                <w:highlight w:val="none"/>
                <w14:textFill>
                  <w14:solidFill>
                    <w14:schemeClr w14:val="tx1"/>
                  </w14:solidFill>
                </w14:textFill>
              </w:rPr>
              <w:t>副本</w:t>
            </w:r>
            <w:r>
              <w:rPr>
                <w:rFonts w:hint="eastAsia"/>
                <w:color w:val="000000" w:themeColor="text1"/>
                <w:highlight w:val="none"/>
                <w14:textFill>
                  <w14:solidFill>
                    <w14:schemeClr w14:val="tx1"/>
                  </w14:solidFill>
                </w14:textFill>
              </w:rPr>
              <w:t>，建议胶装，统一密封在一个外密封包里。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投标文件电子版</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电子光盘一张（投标文件正本盖章后的彩色扫描件，</w:t>
            </w:r>
            <w:r>
              <w:rPr>
                <w:color w:val="000000" w:themeColor="text1"/>
                <w:highlight w:val="none"/>
                <w14:textFill>
                  <w14:solidFill>
                    <w14:schemeClr w14:val="tx1"/>
                  </w14:solidFill>
                </w14:textFill>
              </w:rPr>
              <w:t>PDF格式）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750" w:type="dxa"/>
            <w:vAlign w:val="center"/>
          </w:tcPr>
          <w:p>
            <w:pPr>
              <w:tabs>
                <w:tab w:val="clear" w:pos="426"/>
              </w:tabs>
              <w:adjustRightInd/>
              <w:snapToGrid/>
              <w:spacing w:line="24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627"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财政预算限额</w:t>
            </w:r>
          </w:p>
        </w:tc>
        <w:tc>
          <w:tcPr>
            <w:tcW w:w="7193" w:type="dxa"/>
            <w:vAlign w:val="center"/>
          </w:tcPr>
          <w:p>
            <w:pPr>
              <w:tabs>
                <w:tab w:val="clear" w:pos="426"/>
              </w:tabs>
              <w:adjustRightInd/>
              <w:snapToGrid/>
              <w:spacing w:line="240" w:lineRule="exact"/>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金额：</w:t>
            </w:r>
            <w:r>
              <w:rPr>
                <w:rFonts w:hint="eastAsia"/>
                <w:b/>
                <w:color w:val="000000" w:themeColor="text1"/>
                <w:highlight w:val="none"/>
                <w:u w:val="single"/>
                <w14:textFill>
                  <w14:solidFill>
                    <w14:schemeClr w14:val="tx1"/>
                  </w14:solidFill>
                </w14:textFill>
              </w:rPr>
              <w:t>人民币 伍拾陆万元整</w:t>
            </w:r>
            <w:r>
              <w:rPr>
                <w:b/>
                <w:color w:val="000000" w:themeColor="text1"/>
                <w:highlight w:val="none"/>
                <w:u w:val="single"/>
                <w14:textFill>
                  <w14:solidFill>
                    <w14:schemeClr w14:val="tx1"/>
                  </w14:solidFill>
                </w14:textFill>
              </w:rPr>
              <w:t>（</w:t>
            </w:r>
            <w:r>
              <w:rPr>
                <w:rFonts w:hint="eastAsia" w:eastAsia="微软雅黑"/>
                <w:b/>
                <w:color w:val="000000" w:themeColor="text1"/>
                <w:highlight w:val="none"/>
                <w:u w:val="single"/>
                <w14:textFill>
                  <w14:solidFill>
                    <w14:schemeClr w14:val="tx1"/>
                  </w14:solidFill>
                </w14:textFill>
              </w:rPr>
              <w:t>¥560，000.00</w:t>
            </w:r>
            <w:r>
              <w:rPr>
                <w:rFonts w:hint="eastAsia"/>
                <w:b/>
                <w:color w:val="000000" w:themeColor="text1"/>
                <w:highlight w:val="none"/>
                <w:u w:val="single"/>
                <w14:textFill>
                  <w14:solidFill>
                    <w14:schemeClr w14:val="tx1"/>
                  </w14:solidFill>
                </w14:textFill>
              </w:rPr>
              <w:t>元</w:t>
            </w:r>
            <w:r>
              <w:rPr>
                <w:b/>
                <w:color w:val="000000" w:themeColor="text1"/>
                <w:highlight w:val="none"/>
                <w:u w:val="single"/>
                <w14:textFill>
                  <w14:solidFill>
                    <w14:schemeClr w14:val="tx1"/>
                  </w14:solidFill>
                </w14:textFill>
              </w:rPr>
              <w:t>）</w:t>
            </w:r>
            <w:r>
              <w:rPr>
                <w:rFonts w:hint="eastAsia"/>
                <w:b/>
                <w:color w:val="000000" w:themeColor="text1"/>
                <w:highlight w:val="none"/>
                <w:u w:val="single"/>
                <w14:textFill>
                  <w14:solidFill>
                    <w14:schemeClr w14:val="tx1"/>
                  </w14:solidFill>
                </w14:textFill>
              </w:rPr>
              <w:t>，</w:t>
            </w:r>
            <w:r>
              <w:rPr>
                <w:rFonts w:hint="eastAsia"/>
                <w:color w:val="000000" w:themeColor="text1"/>
                <w:highlight w:val="none"/>
                <w14:textFill>
                  <w14:solidFill>
                    <w14:schemeClr w14:val="tx1"/>
                  </w14:solidFill>
                </w14:textFill>
              </w:rPr>
              <w:t>分项预算限额详见货物清单一览表，超出财政预算限额或分项预算限额的投标文件将不被接受。</w:t>
            </w:r>
          </w:p>
        </w:tc>
      </w:tr>
    </w:tbl>
    <w:p>
      <w:pPr>
        <w:pStyle w:val="33"/>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39" w:name="_Toc20935"/>
      <w:bookmarkStart w:id="40" w:name="_Toc3628660"/>
      <w:bookmarkStart w:id="41" w:name="_Toc398220525"/>
      <w:bookmarkStart w:id="42" w:name="_Toc432592816"/>
      <w:r>
        <w:rPr>
          <w:rFonts w:hint="eastAsia"/>
          <w:color w:val="000000" w:themeColor="text1"/>
          <w:highlight w:val="none"/>
          <w14:textFill>
            <w14:solidFill>
              <w14:schemeClr w14:val="tx1"/>
            </w14:solidFill>
          </w14:textFill>
        </w:rPr>
        <w:t xml:space="preserve">第三章 </w:t>
      </w:r>
      <w:r>
        <w:rPr>
          <w:color w:val="000000" w:themeColor="text1"/>
          <w:highlight w:val="none"/>
          <w14:textFill>
            <w14:solidFill>
              <w14:schemeClr w14:val="tx1"/>
            </w14:solidFill>
          </w14:textFill>
        </w:rPr>
        <w:t>项目</w:t>
      </w:r>
      <w:r>
        <w:rPr>
          <w:rFonts w:hint="eastAsia"/>
          <w:color w:val="000000" w:themeColor="text1"/>
          <w:highlight w:val="none"/>
          <w14:textFill>
            <w14:solidFill>
              <w14:schemeClr w14:val="tx1"/>
            </w14:solidFill>
          </w14:textFill>
        </w:rPr>
        <w:t>需求</w:t>
      </w:r>
      <w:bookmarkEnd w:id="39"/>
      <w:bookmarkEnd w:id="40"/>
    </w:p>
    <w:p>
      <w:pPr>
        <w:numPr>
          <w:ilvl w:val="0"/>
          <w:numId w:val="23"/>
        </w:numPr>
        <w:adjustRightInd/>
        <w:snapToGrid/>
        <w:spacing w:before="280" w:after="290" w:line="377" w:lineRule="auto"/>
        <w:jc w:val="left"/>
        <w:outlineLvl w:val="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货物清单</w:t>
      </w:r>
      <w:r>
        <w:rPr>
          <w:rFonts w:hint="eastAsia"/>
          <w:b/>
          <w:color w:val="000000" w:themeColor="text1"/>
          <w:sz w:val="24"/>
          <w:highlight w:val="none"/>
          <w14:textFill>
            <w14:solidFill>
              <w14:schemeClr w14:val="tx1"/>
            </w14:solidFill>
          </w14:textFill>
        </w:rPr>
        <w:t>一览表</w:t>
      </w:r>
    </w:p>
    <w:p>
      <w:pPr>
        <w:widowControl w:val="0"/>
        <w:shd w:val="clear" w:color="auto" w:fill="auto"/>
        <w:tabs>
          <w:tab w:val="clear" w:pos="426"/>
        </w:tabs>
        <w:adjustRightInd/>
        <w:snapToGrid/>
        <w:spacing w:beforeLines="50" w:line="300" w:lineRule="auto"/>
        <w:ind w:firstLine="422" w:firstLineChars="200"/>
        <w:rPr>
          <w:rFonts w:cs="Times New Roman"/>
          <w:b/>
          <w:bCs/>
          <w:color w:val="000000" w:themeColor="text1"/>
          <w:kern w:val="2"/>
          <w:szCs w:val="21"/>
          <w:highlight w:val="none"/>
          <w14:textFill>
            <w14:solidFill>
              <w14:schemeClr w14:val="tx1"/>
            </w14:solidFill>
          </w14:textFill>
        </w:rPr>
      </w:pPr>
      <w:r>
        <w:rPr>
          <w:rFonts w:hint="eastAsia" w:cs="Times New Roman"/>
          <w:b/>
          <w:bCs/>
          <w:color w:val="000000" w:themeColor="text1"/>
          <w:kern w:val="2"/>
          <w:szCs w:val="21"/>
          <w:highlight w:val="none"/>
          <w14:textFill>
            <w14:solidFill>
              <w14:schemeClr w14:val="tx1"/>
            </w14:solidFill>
          </w14:textFill>
        </w:rPr>
        <w:t>（一）货物总清单</w:t>
      </w:r>
    </w:p>
    <w:tbl>
      <w:tblPr>
        <w:tblStyle w:val="44"/>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445"/>
        <w:gridCol w:w="3382"/>
        <w:gridCol w:w="651"/>
        <w:gridCol w:w="649"/>
        <w:gridCol w:w="2022"/>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04"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序号</w:t>
            </w:r>
          </w:p>
        </w:tc>
        <w:tc>
          <w:tcPr>
            <w:tcW w:w="1445"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hint="eastAsia" w:cs="Times New Roman"/>
                <w:b/>
                <w:bCs/>
                <w:color w:val="000000" w:themeColor="text1"/>
                <w:szCs w:val="21"/>
                <w:highlight w:val="none"/>
                <w14:textFill>
                  <w14:solidFill>
                    <w14:schemeClr w14:val="tx1"/>
                  </w14:solidFill>
                </w14:textFill>
              </w:rPr>
              <w:t>采购计划编号</w:t>
            </w:r>
          </w:p>
        </w:tc>
        <w:tc>
          <w:tcPr>
            <w:tcW w:w="3382" w:type="dxa"/>
            <w:vAlign w:val="center"/>
          </w:tcPr>
          <w:p>
            <w:pPr>
              <w:widowControl w:val="0"/>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货物名称</w:t>
            </w:r>
          </w:p>
        </w:tc>
        <w:tc>
          <w:tcPr>
            <w:tcW w:w="651"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数量</w:t>
            </w:r>
          </w:p>
        </w:tc>
        <w:tc>
          <w:tcPr>
            <w:tcW w:w="649"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单位</w:t>
            </w:r>
          </w:p>
        </w:tc>
        <w:tc>
          <w:tcPr>
            <w:tcW w:w="2022"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cs="Times New Roman"/>
                <w:b/>
                <w:bCs/>
                <w:color w:val="000000" w:themeColor="text1"/>
                <w:szCs w:val="21"/>
                <w:highlight w:val="none"/>
                <w14:textFill>
                  <w14:solidFill>
                    <w14:schemeClr w14:val="tx1"/>
                  </w14:solidFill>
                </w14:textFill>
              </w:rPr>
              <w:t>财政预算限额(元)</w:t>
            </w:r>
          </w:p>
        </w:tc>
        <w:tc>
          <w:tcPr>
            <w:tcW w:w="766" w:type="dxa"/>
            <w:vAlign w:val="center"/>
          </w:tcPr>
          <w:p>
            <w:pPr>
              <w:widowControl w:val="0"/>
              <w:shd w:val="clear" w:color="auto" w:fill="auto"/>
              <w:tabs>
                <w:tab w:val="clear" w:pos="426"/>
              </w:tabs>
              <w:adjustRightInd/>
              <w:snapToGrid/>
              <w:spacing w:line="240" w:lineRule="auto"/>
              <w:jc w:val="center"/>
              <w:rPr>
                <w:rFonts w:cs="Times New Roman"/>
                <w:b/>
                <w:bCs/>
                <w:color w:val="000000" w:themeColor="text1"/>
                <w:szCs w:val="21"/>
                <w:highlight w:val="none"/>
                <w14:textFill>
                  <w14:solidFill>
                    <w14:schemeClr w14:val="tx1"/>
                  </w14:solidFill>
                </w14:textFill>
              </w:rPr>
            </w:pPr>
            <w:r>
              <w:rPr>
                <w:rFonts w:hint="eastAsia" w:cs="Times New Roman"/>
                <w:b/>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604" w:type="dxa"/>
            <w:vAlign w:val="center"/>
          </w:tcPr>
          <w:p>
            <w:pPr>
              <w:spacing w:line="240" w:lineRule="auto"/>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1</w:t>
            </w:r>
          </w:p>
        </w:tc>
        <w:tc>
          <w:tcPr>
            <w:tcW w:w="1445" w:type="dxa"/>
            <w:vAlign w:val="center"/>
          </w:tcPr>
          <w:p>
            <w:pPr>
              <w:spacing w:line="240" w:lineRule="auto"/>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监护型救护车</w:t>
            </w:r>
          </w:p>
        </w:tc>
        <w:tc>
          <w:tcPr>
            <w:tcW w:w="3382" w:type="dxa"/>
            <w:vAlign w:val="center"/>
          </w:tcPr>
          <w:p>
            <w:pPr>
              <w:spacing w:line="240" w:lineRule="auto"/>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监护型救护车采购</w:t>
            </w:r>
          </w:p>
        </w:tc>
        <w:tc>
          <w:tcPr>
            <w:tcW w:w="651" w:type="dxa"/>
            <w:vAlign w:val="center"/>
          </w:tcPr>
          <w:p>
            <w:pPr>
              <w:spacing w:line="240" w:lineRule="auto"/>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1</w:t>
            </w:r>
          </w:p>
        </w:tc>
        <w:tc>
          <w:tcPr>
            <w:tcW w:w="649" w:type="dxa"/>
            <w:vAlign w:val="center"/>
          </w:tcPr>
          <w:p>
            <w:pPr>
              <w:spacing w:line="240" w:lineRule="auto"/>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套</w:t>
            </w:r>
          </w:p>
        </w:tc>
        <w:tc>
          <w:tcPr>
            <w:tcW w:w="2022" w:type="dxa"/>
            <w:vAlign w:val="center"/>
          </w:tcPr>
          <w:p>
            <w:pPr>
              <w:spacing w:line="240" w:lineRule="auto"/>
              <w:jc w:val="cente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560，000.00</w:t>
            </w:r>
          </w:p>
        </w:tc>
        <w:tc>
          <w:tcPr>
            <w:tcW w:w="766" w:type="dxa"/>
            <w:vAlign w:val="center"/>
          </w:tcPr>
          <w:p>
            <w:pPr>
              <w:widowControl w:val="0"/>
              <w:shd w:val="clear" w:color="auto" w:fill="auto"/>
              <w:tabs>
                <w:tab w:val="clear" w:pos="426"/>
              </w:tabs>
              <w:adjustRightInd/>
              <w:snapToGrid/>
              <w:spacing w:line="240" w:lineRule="auto"/>
              <w:jc w:val="center"/>
              <w:rPr>
                <w:rFonts w:cs="Times New Roman"/>
                <w:color w:val="000000" w:themeColor="text1"/>
                <w:szCs w:val="21"/>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拒绝进口</w:t>
            </w:r>
          </w:p>
        </w:tc>
      </w:tr>
    </w:tbl>
    <w:p>
      <w:pPr>
        <w:widowControl w:val="0"/>
        <w:shd w:val="clear" w:color="auto" w:fill="auto"/>
        <w:tabs>
          <w:tab w:val="clear" w:pos="426"/>
        </w:tabs>
        <w:adjustRightInd/>
        <w:snapToGrid/>
        <w:spacing w:line="240" w:lineRule="auto"/>
        <w:ind w:firstLine="420" w:firstLineChars="200"/>
        <w:rPr>
          <w:rFonts w:cs="Times New Roman"/>
          <w:bCs/>
          <w:color w:val="000000" w:themeColor="text1"/>
          <w:kern w:val="2"/>
          <w:szCs w:val="21"/>
          <w:highlight w:val="none"/>
          <w14:textFill>
            <w14:solidFill>
              <w14:schemeClr w14:val="tx1"/>
            </w14:solidFill>
          </w14:textFill>
        </w:rPr>
      </w:pPr>
      <w:r>
        <w:rPr>
          <w:rFonts w:hint="eastAsia" w:cs="Times New Roman"/>
          <w:bCs/>
          <w:color w:val="000000" w:themeColor="text1"/>
          <w:kern w:val="2"/>
          <w:szCs w:val="21"/>
          <w:highlight w:val="none"/>
          <w14:textFill>
            <w14:solidFill>
              <w14:schemeClr w14:val="tx1"/>
            </w14:solidFill>
          </w14:textFill>
        </w:rPr>
        <w:t>备注：</w:t>
      </w:r>
    </w:p>
    <w:p>
      <w:pPr>
        <w:widowControl w:val="0"/>
        <w:shd w:val="clear" w:color="auto" w:fill="auto"/>
        <w:tabs>
          <w:tab w:val="clear" w:pos="426"/>
        </w:tabs>
        <w:adjustRightInd/>
        <w:snapToGrid/>
        <w:spacing w:line="240" w:lineRule="auto"/>
        <w:ind w:firstLine="420" w:firstLineChars="200"/>
        <w:rPr>
          <w:rFonts w:cs="Times New Roman"/>
          <w:bCs/>
          <w:color w:val="000000" w:themeColor="text1"/>
          <w:kern w:val="2"/>
          <w:szCs w:val="21"/>
          <w:highlight w:val="none"/>
          <w14:textFill>
            <w14:solidFill>
              <w14:schemeClr w14:val="tx1"/>
            </w14:solidFill>
          </w14:textFill>
        </w:rPr>
      </w:pPr>
      <w:r>
        <w:rPr>
          <w:rFonts w:hint="eastAsia" w:cs="Times New Roman"/>
          <w:bCs/>
          <w:color w:val="000000" w:themeColor="text1"/>
          <w:kern w:val="2"/>
          <w:szCs w:val="21"/>
          <w:highlight w:val="none"/>
          <w14:textFill>
            <w14:solidFill>
              <w14:schemeClr w14:val="tx1"/>
            </w14:solidFill>
          </w14:textFill>
        </w:rPr>
        <w:t>1.注明“接受进口”的产品（产品名称）允许供应商选用进口产品参与投标，但不排斥国内产品。</w:t>
      </w:r>
    </w:p>
    <w:p>
      <w:pPr>
        <w:widowControl w:val="0"/>
        <w:shd w:val="clear" w:color="auto" w:fill="auto"/>
        <w:tabs>
          <w:tab w:val="clear" w:pos="426"/>
        </w:tabs>
        <w:adjustRightInd/>
        <w:snapToGrid/>
        <w:spacing w:line="240" w:lineRule="auto"/>
        <w:ind w:firstLine="420" w:firstLineChars="200"/>
        <w:rPr>
          <w:rFonts w:cs="Times New Roman"/>
          <w:bCs/>
          <w:color w:val="000000" w:themeColor="text1"/>
          <w:kern w:val="2"/>
          <w:szCs w:val="21"/>
          <w:highlight w:val="none"/>
          <w14:textFill>
            <w14:solidFill>
              <w14:schemeClr w14:val="tx1"/>
            </w14:solidFill>
          </w14:textFill>
        </w:rPr>
      </w:pPr>
      <w:r>
        <w:rPr>
          <w:rFonts w:hint="eastAsia" w:cs="Times New Roman"/>
          <w:bCs/>
          <w:color w:val="000000" w:themeColor="text1"/>
          <w:kern w:val="2"/>
          <w:szCs w:val="21"/>
          <w:highlight w:val="none"/>
          <w14:textFill>
            <w14:solidFill>
              <w14:schemeClr w14:val="tx1"/>
            </w14:solidFill>
          </w14:textFill>
        </w:rPr>
        <w:t>2.未注明“接受进口”的产品（产品名称）均不接受供应商选用进口产品参与投标。</w:t>
      </w:r>
    </w:p>
    <w:p>
      <w:pPr>
        <w:widowControl w:val="0"/>
        <w:shd w:val="clear" w:color="auto" w:fill="auto"/>
        <w:tabs>
          <w:tab w:val="clear" w:pos="426"/>
        </w:tabs>
        <w:adjustRightInd/>
        <w:snapToGrid/>
        <w:spacing w:line="240" w:lineRule="auto"/>
        <w:ind w:firstLine="420" w:firstLineChars="200"/>
        <w:rPr>
          <w:rFonts w:cs="Times New Roman"/>
          <w:bCs/>
          <w:color w:val="000000" w:themeColor="text1"/>
          <w:kern w:val="2"/>
          <w:szCs w:val="21"/>
          <w:highlight w:val="none"/>
          <w14:textFill>
            <w14:solidFill>
              <w14:schemeClr w14:val="tx1"/>
            </w14:solidFill>
          </w14:textFill>
        </w:rPr>
      </w:pPr>
      <w:r>
        <w:rPr>
          <w:rFonts w:hint="eastAsia" w:cs="Times New Roman"/>
          <w:bCs/>
          <w:color w:val="000000" w:themeColor="text1"/>
          <w:kern w:val="2"/>
          <w:szCs w:val="21"/>
          <w:highlight w:val="none"/>
          <w14:textFill>
            <w14:solidFill>
              <w14:schemeClr w14:val="tx1"/>
            </w14:solidFill>
          </w14:textFill>
        </w:rPr>
        <w:t>3.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Pr>
          <w:rFonts w:cs="Times New Roman"/>
          <w:bCs/>
          <w:color w:val="000000" w:themeColor="text1"/>
          <w:kern w:val="2"/>
          <w:szCs w:val="21"/>
          <w:highlight w:val="none"/>
          <w14:textFill>
            <w14:solidFill>
              <w14:schemeClr w14:val="tx1"/>
            </w14:solidFill>
          </w14:textFill>
        </w:rPr>
        <w:t>2007〕119 号文和财办库〔2008〕248 号文的相关规定为准。</w:t>
      </w:r>
    </w:p>
    <w:p>
      <w:pPr>
        <w:widowControl w:val="0"/>
        <w:shd w:val="clear" w:color="auto" w:fill="auto"/>
        <w:tabs>
          <w:tab w:val="clear" w:pos="426"/>
        </w:tabs>
        <w:adjustRightInd/>
        <w:snapToGrid/>
        <w:spacing w:line="240" w:lineRule="auto"/>
        <w:ind w:firstLine="420" w:firstLineChars="200"/>
        <w:rPr>
          <w:rFonts w:cs="Times New Roman"/>
          <w:bCs/>
          <w:color w:val="000000" w:themeColor="text1"/>
          <w:kern w:val="2"/>
          <w:szCs w:val="21"/>
          <w:highlight w:val="none"/>
          <w14:textFill>
            <w14:solidFill>
              <w14:schemeClr w14:val="tx1"/>
            </w14:solidFill>
          </w14:textFill>
        </w:rPr>
      </w:pPr>
      <w:r>
        <w:rPr>
          <w:rFonts w:hint="eastAsia" w:cs="Times New Roman"/>
          <w:bCs/>
          <w:color w:val="000000" w:themeColor="text1"/>
          <w:kern w:val="2"/>
          <w:szCs w:val="21"/>
          <w:highlight w:val="none"/>
          <w14:textFill>
            <w14:solidFill>
              <w14:schemeClr w14:val="tx1"/>
            </w14:solidFill>
          </w14:textFill>
        </w:rPr>
        <w:t>4.本项目的核心产品详见货物清单一览表。当多家投标人提供的核心产品品牌相同的，按一家投标人计算。根据《政府采购货物和服务招标投标管理办法》（中华人民共和国财政部令第</w:t>
      </w:r>
      <w:r>
        <w:rPr>
          <w:rFonts w:cs="Times New Roman"/>
          <w:bCs/>
          <w:color w:val="000000" w:themeColor="text1"/>
          <w:kern w:val="2"/>
          <w:szCs w:val="21"/>
          <w:highlight w:val="none"/>
          <w14:textFill>
            <w14:solidFill>
              <w14:schemeClr w14:val="tx1"/>
            </w14:solidFill>
          </w14:textFill>
        </w:rPr>
        <w:t>87号）第三十一条相关规定：非单一产品采购项目，采购人应当根据采购项目技术构成、产品价格比重等合理确定核心产品，提供核心产品为相同品牌且通过资格审查、符合性审查的不同投标人，按一家投标人计算，评审后得分最高的同品牌投标人获得中标人推荐资格；评审得分相同的，采取随机抽取方式确定中标人推荐资格。其他综合评分总分次之的不同品牌投标人顺推获得中标人推荐资</w:t>
      </w:r>
      <w:r>
        <w:rPr>
          <w:rFonts w:hint="eastAsia" w:cs="Times New Roman"/>
          <w:bCs/>
          <w:color w:val="000000" w:themeColor="text1"/>
          <w:kern w:val="2"/>
          <w:szCs w:val="21"/>
          <w:highlight w:val="none"/>
          <w14:textFill>
            <w14:solidFill>
              <w14:schemeClr w14:val="tx1"/>
            </w14:solidFill>
          </w14:textFill>
        </w:rPr>
        <w:t>格。</w:t>
      </w:r>
    </w:p>
    <w:p>
      <w:pP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说明：1.</w:t>
      </w:r>
      <w:r>
        <w:rPr>
          <w:b/>
          <w:color w:val="000000" w:themeColor="text1"/>
          <w:szCs w:val="21"/>
          <w:highlight w:val="none"/>
          <w14:textFill>
            <w14:solidFill>
              <w14:schemeClr w14:val="tx1"/>
            </w14:solidFill>
          </w14:textFill>
        </w:rPr>
        <w:t>本表系招标文件涉及的所有实质性条款的汇总，不需要单独列表响应。请各位投标人仔细核对：确保投标文件已按照招标文件要求，在招标文件规定的投标文件格式中的对应节点进行逐一响应，不允许有任何负偏离，否则将作投标无效处理</w:t>
      </w:r>
      <w:r>
        <w:rPr>
          <w:rFonts w:hint="eastAsia"/>
          <w:b/>
          <w:color w:val="000000" w:themeColor="text1"/>
          <w:szCs w:val="21"/>
          <w:highlight w:val="none"/>
          <w14:textFill>
            <w14:solidFill>
              <w14:schemeClr w14:val="tx1"/>
            </w14:solidFill>
          </w14:textFill>
        </w:rPr>
        <w:t>。</w:t>
      </w:r>
    </w:p>
    <w:p>
      <w:pPr>
        <w:numPr>
          <w:ilvl w:val="0"/>
          <w:numId w:val="23"/>
        </w:numPr>
        <w:adjustRightInd/>
        <w:snapToGrid/>
        <w:spacing w:before="280" w:after="290" w:line="377" w:lineRule="auto"/>
        <w:jc w:val="left"/>
        <w:outlineLvl w:val="3"/>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实质性响应条款</w:t>
      </w:r>
    </w:p>
    <w:p>
      <w:pP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2.开标一览表中填写的“交货期”必须与本表的“交货期”一致。如不一致，以开标一览表填写的“交货期”为准。如开标一览表</w:t>
      </w:r>
      <w:r>
        <w:rPr>
          <w:rFonts w:hint="eastAsia"/>
          <w:b/>
          <w:color w:val="000000" w:themeColor="text1"/>
          <w:highlight w:val="none"/>
          <w14:textFill>
            <w14:solidFill>
              <w14:schemeClr w14:val="tx1"/>
            </w14:solidFill>
          </w14:textFill>
        </w:rPr>
        <w:t>载明的交货期超过招标文件规定的期限，根据《符合性审查表》要求作无效标处理。</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239"/>
        <w:gridCol w:w="6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9" w:type="dxa"/>
            <w:vAlign w:val="center"/>
          </w:tcPr>
          <w:p>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2239" w:type="dxa"/>
            <w:vAlign w:val="center"/>
          </w:tcPr>
          <w:p>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目录</w:t>
            </w:r>
          </w:p>
        </w:tc>
        <w:tc>
          <w:tcPr>
            <w:tcW w:w="6312" w:type="dxa"/>
            <w:vAlign w:val="center"/>
          </w:tcPr>
          <w:p>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9" w:type="dxa"/>
            <w:vAlign w:val="center"/>
          </w:tcPr>
          <w:p>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2239" w:type="dxa"/>
            <w:vAlign w:val="center"/>
          </w:tcPr>
          <w:p>
            <w:pPr>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关于保修期</w:t>
            </w:r>
          </w:p>
        </w:tc>
        <w:tc>
          <w:tcPr>
            <w:tcW w:w="6312" w:type="dxa"/>
            <w:vAlign w:val="center"/>
          </w:tcPr>
          <w:p>
            <w:pPr>
              <w:jc w:val="left"/>
              <w:rPr>
                <w:b/>
                <w:color w:val="000000" w:themeColor="text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w:t>
            </w:r>
            <w:r>
              <w:rPr>
                <w:rFonts w:hint="eastAsia"/>
                <w:b/>
                <w:color w:val="000000" w:themeColor="text1"/>
                <w:highlight w:val="none"/>
                <w14:textFill>
                  <w14:solidFill>
                    <w14:schemeClr w14:val="tx1"/>
                  </w14:solidFill>
                </w14:textFill>
              </w:rPr>
              <w:t>1.1底盘车辆提供不低于2年五万公里的保修标准（以先到为准）。</w:t>
            </w:r>
          </w:p>
          <w:p>
            <w:pPr>
              <w:jc w:val="left"/>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1.2改装部分提供不低于1年的保修服务。保修期内，由非人为因素引起的故障均在保修范围内，供应商完全免费提供保修服务。保修期外，供应商提供终生的维修服务，且要求相关配件及人工费用低于平均市场价格。</w:t>
            </w:r>
          </w:p>
          <w:p>
            <w:pPr>
              <w:spacing w:line="240" w:lineRule="auto"/>
              <w:rPr>
                <w:b/>
                <w:color w:val="000000" w:themeColor="text1"/>
                <w:szCs w:val="2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1.3供应商需提供至少3人/次的培训服务，确保用户方至少有2名操作人员可熟练使用。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9" w:type="dxa"/>
            <w:vAlign w:val="center"/>
          </w:tcPr>
          <w:p>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2239" w:type="dxa"/>
            <w:vAlign w:val="center"/>
          </w:tcPr>
          <w:p>
            <w:pPr>
              <w:spacing w:line="24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关于交货期</w:t>
            </w:r>
          </w:p>
        </w:tc>
        <w:tc>
          <w:tcPr>
            <w:tcW w:w="6312" w:type="dxa"/>
            <w:vAlign w:val="center"/>
          </w:tcPr>
          <w:p>
            <w:pPr>
              <w:rPr>
                <w:b/>
                <w:color w:val="000000" w:themeColor="text1"/>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合同签订后</w:t>
            </w:r>
            <w:r>
              <w:rPr>
                <w:rFonts w:hint="eastAsia" w:cs="Times New Roman"/>
                <w:color w:val="000000" w:themeColor="text1"/>
                <w:kern w:val="2"/>
                <w:szCs w:val="21"/>
                <w:highlight w:val="none"/>
                <w:lang w:val="en-US" w:eastAsia="zh-CN"/>
                <w14:textFill>
                  <w14:solidFill>
                    <w14:schemeClr w14:val="tx1"/>
                  </w14:solidFill>
                </w14:textFill>
              </w:rPr>
              <w:t>30</w:t>
            </w:r>
            <w:r>
              <w:rPr>
                <w:rFonts w:hint="eastAsia" w:cs="Times New Roman"/>
                <w:color w:val="000000" w:themeColor="text1"/>
                <w:kern w:val="2"/>
                <w:szCs w:val="21"/>
                <w:highlight w:val="none"/>
                <w14:textFill>
                  <w14:solidFill>
                    <w14:schemeClr w14:val="tx1"/>
                  </w14:solidFill>
                </w14:textFill>
              </w:rPr>
              <w:t>个</w:t>
            </w:r>
            <w:r>
              <w:rPr>
                <w:rFonts w:hint="eastAsia" w:cs="Times New Roman"/>
                <w:color w:val="000000" w:themeColor="text1"/>
                <w:kern w:val="2"/>
                <w:szCs w:val="21"/>
                <w:highlight w:val="none"/>
                <w:lang w:eastAsia="zh-CN"/>
                <w14:textFill>
                  <w14:solidFill>
                    <w14:schemeClr w14:val="tx1"/>
                  </w14:solidFill>
                </w14:textFill>
              </w:rPr>
              <w:t>日历日</w:t>
            </w:r>
            <w:r>
              <w:rPr>
                <w:rFonts w:hint="eastAsia" w:cs="Times New Roman"/>
                <w:color w:val="000000" w:themeColor="text1"/>
                <w:kern w:val="2"/>
                <w:szCs w:val="21"/>
                <w:highlight w:val="none"/>
                <w14:textFill>
                  <w14:solidFill>
                    <w14:schemeClr w14:val="tx1"/>
                  </w14:solidFill>
                </w14:textFill>
              </w:rPr>
              <w:t xml:space="preserve">内交货。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019" w:type="dxa"/>
            <w:vAlign w:val="center"/>
          </w:tcPr>
          <w:p>
            <w:pPr>
              <w:spacing w:line="240" w:lineRule="auto"/>
              <w:jc w:val="center"/>
              <w:rPr>
                <w:color w:val="000000" w:themeColor="text1"/>
                <w:szCs w:val="21"/>
                <w:highlight w:val="none"/>
                <w14:textFill>
                  <w14:solidFill>
                    <w14:schemeClr w14:val="tx1"/>
                  </w14:solidFill>
                </w14:textFill>
              </w:rPr>
            </w:pPr>
            <w:r>
              <w:rPr>
                <w:rFonts w:hint="eastAsia"/>
                <w:b/>
                <w:color w:val="000000" w:themeColor="text1"/>
                <w:highlight w:val="none"/>
                <w14:textFill>
                  <w14:solidFill>
                    <w14:schemeClr w14:val="tx1"/>
                  </w14:solidFill>
                </w14:textFill>
              </w:rPr>
              <w:t>3</w:t>
            </w:r>
          </w:p>
        </w:tc>
        <w:tc>
          <w:tcPr>
            <w:tcW w:w="2239" w:type="dxa"/>
            <w:vAlign w:val="center"/>
          </w:tcPr>
          <w:p>
            <w:pPr>
              <w:spacing w:line="240" w:lineRule="auto"/>
              <w:jc w:val="center"/>
              <w:rPr>
                <w:color w:val="000000" w:themeColor="text1"/>
                <w:szCs w:val="21"/>
                <w:highlight w:val="none"/>
                <w14:textFill>
                  <w14:solidFill>
                    <w14:schemeClr w14:val="tx1"/>
                  </w14:solidFill>
                </w14:textFill>
              </w:rPr>
            </w:pPr>
            <w:r>
              <w:rPr>
                <w:rFonts w:hint="eastAsia"/>
                <w:bCs/>
                <w:color w:val="000000" w:themeColor="text1"/>
                <w:highlight w:val="none"/>
                <w14:textFill>
                  <w14:solidFill>
                    <w14:schemeClr w14:val="tx1"/>
                  </w14:solidFill>
                </w14:textFill>
              </w:rPr>
              <w:t>付款方式</w:t>
            </w:r>
          </w:p>
        </w:tc>
        <w:tc>
          <w:tcPr>
            <w:tcW w:w="6312" w:type="dxa"/>
            <w:vAlign w:val="center"/>
          </w:tcPr>
          <w:p>
            <w:pPr>
              <w:spacing w:line="380" w:lineRule="exact"/>
              <w:jc w:val="left"/>
              <w:rPr>
                <w:color w:val="000000" w:themeColor="text1"/>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w:t>
            </w:r>
            <w:r>
              <w:rPr>
                <w:rFonts w:hint="eastAsia" w:ascii="Calibri" w:hAnsi="Calibri" w:cs="Times New Roman"/>
                <w:bCs/>
                <w:color w:val="000000" w:themeColor="text1"/>
                <w:szCs w:val="21"/>
                <w:highlight w:val="none"/>
                <w14:textFill>
                  <w14:solidFill>
                    <w14:schemeClr w14:val="tx1"/>
                  </w14:solidFill>
                </w14:textFill>
              </w:rPr>
              <w:t>签订合同后，10个工作日内</w:t>
            </w:r>
            <w:r>
              <w:rPr>
                <w:rFonts w:hint="eastAsia"/>
                <w:color w:val="000000" w:themeColor="text1"/>
                <w:szCs w:val="21"/>
                <w:highlight w:val="none"/>
                <w14:textFill>
                  <w14:solidFill>
                    <w14:schemeClr w14:val="tx1"/>
                  </w14:solidFill>
                </w14:textFill>
              </w:rPr>
              <w:t>采购方向中标人</w:t>
            </w:r>
            <w:r>
              <w:rPr>
                <w:rFonts w:hint="eastAsia" w:ascii="Calibri" w:hAnsi="Calibri" w:cs="Times New Roman"/>
                <w:bCs/>
                <w:color w:val="000000" w:themeColor="text1"/>
                <w:szCs w:val="21"/>
                <w:highlight w:val="none"/>
                <w14:textFill>
                  <w14:solidFill>
                    <w14:schemeClr w14:val="tx1"/>
                  </w14:solidFill>
                </w14:textFill>
              </w:rPr>
              <w:t>支付合同总金额的30%作为定金</w:t>
            </w:r>
            <w:r>
              <w:rPr>
                <w:rFonts w:hint="eastAsia"/>
                <w:color w:val="000000" w:themeColor="text1"/>
                <w:szCs w:val="21"/>
                <w:highlight w:val="none"/>
                <w14:textFill>
                  <w14:solidFill>
                    <w14:schemeClr w14:val="tx1"/>
                  </w14:solidFill>
                </w14:textFill>
              </w:rPr>
              <w:t xml:space="preserve">。车辆验收合格后，7个工作日内采购方向中标人支付至合同总金额的80%款项。全部货物到达交货地点，安装、调试并验收合格，采购人按合同办理支付手续支付余额。 </w:t>
            </w:r>
          </w:p>
          <w:p>
            <w:pPr>
              <w:spacing w:line="240" w:lineRule="auto"/>
              <w:rPr>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备注：具体付款方式需按深圳市坪山区财政局有关规定执行。</w:t>
            </w:r>
          </w:p>
        </w:tc>
      </w:tr>
    </w:tbl>
    <w:p>
      <w:pPr>
        <w:numPr>
          <w:ilvl w:val="0"/>
          <w:numId w:val="23"/>
        </w:numPr>
        <w:adjustRightInd/>
        <w:snapToGrid/>
        <w:spacing w:before="280" w:after="290" w:line="377" w:lineRule="auto"/>
        <w:jc w:val="left"/>
        <w:outlineLvl w:val="3"/>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具体技术要求</w:t>
      </w:r>
    </w:p>
    <w:tbl>
      <w:tblPr>
        <w:tblStyle w:val="44"/>
        <w:tblW w:w="9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900"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8108"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一、</w:t>
            </w:r>
          </w:p>
        </w:tc>
        <w:tc>
          <w:tcPr>
            <w:tcW w:w="8108" w:type="dxa"/>
            <w:vAlign w:val="center"/>
          </w:tcPr>
          <w:p>
            <w:pPr>
              <w:spacing w:line="276" w:lineRule="auto"/>
              <w:rPr>
                <w:b/>
                <w:bCs/>
                <w:color w:val="000000" w:themeColor="text1"/>
                <w:szCs w:val="21"/>
                <w:highlight w:val="none"/>
                <w14:textFill>
                  <w14:solidFill>
                    <w14:schemeClr w14:val="tx1"/>
                  </w14:solidFill>
                </w14:textFill>
              </w:rPr>
            </w:pPr>
            <w:bookmarkStart w:id="43" w:name="RANGE!A1:C84"/>
            <w:r>
              <w:rPr>
                <w:rFonts w:hint="eastAsia"/>
                <w:b/>
                <w:bCs/>
                <w:color w:val="000000" w:themeColor="text1"/>
                <w:szCs w:val="21"/>
                <w:highlight w:val="none"/>
                <w14:textFill>
                  <w14:solidFill>
                    <w14:schemeClr w14:val="tx1"/>
                  </w14:solidFill>
                </w14:textFill>
              </w:rPr>
              <w:t>底盘</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p>
        </w:tc>
        <w:tc>
          <w:tcPr>
            <w:tcW w:w="8108" w:type="dxa"/>
            <w:vAlign w:val="center"/>
          </w:tcPr>
          <w:p>
            <w:pPr>
              <w:rPr>
                <w:b/>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颜色：白色/红色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p>
        </w:tc>
        <w:tc>
          <w:tcPr>
            <w:tcW w:w="8108" w:type="dxa"/>
            <w:vAlign w:val="center"/>
          </w:tcPr>
          <w:p>
            <w:pPr>
              <w:rPr>
                <w:b/>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知名品牌</w:t>
            </w:r>
            <w:r>
              <w:rPr>
                <w:b/>
                <w:bCs/>
                <w:color w:val="000000" w:themeColor="text1"/>
                <w:szCs w:val="21"/>
                <w:highlight w:val="none"/>
                <w14:textFill>
                  <w14:solidFill>
                    <w14:schemeClr w14:val="tx1"/>
                  </w14:solidFill>
                </w14:textFill>
              </w:rPr>
              <w:t>汽油整车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p>
        </w:tc>
        <w:tc>
          <w:tcPr>
            <w:tcW w:w="8108" w:type="dxa"/>
            <w:vAlign w:val="center"/>
          </w:tcPr>
          <w:p>
            <w:pPr>
              <w:rPr>
                <w:b/>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尺寸和质量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3.1</w:t>
            </w:r>
          </w:p>
        </w:tc>
        <w:tc>
          <w:tcPr>
            <w:tcW w:w="8108"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轴距</w:t>
            </w:r>
            <w:r>
              <w:rPr>
                <w:color w:val="000000" w:themeColor="text1"/>
                <w:szCs w:val="21"/>
                <w:highlight w:val="none"/>
                <w14:textFill>
                  <w14:solidFill>
                    <w14:schemeClr w14:val="tx1"/>
                  </w14:solidFill>
                </w14:textFill>
              </w:rPr>
              <w:t>mm</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3430-3600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3.2</w:t>
            </w:r>
          </w:p>
        </w:tc>
        <w:tc>
          <w:tcPr>
            <w:tcW w:w="8108"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转弯直径</w:t>
            </w:r>
            <w:r>
              <w:rPr>
                <w:color w:val="000000" w:themeColor="text1"/>
                <w:szCs w:val="21"/>
                <w:highlight w:val="none"/>
                <w14:textFill>
                  <w14:solidFill>
                    <w14:schemeClr w14:val="tx1"/>
                  </w14:solidFill>
                </w14:textFill>
              </w:rPr>
              <w:t>m</w:t>
            </w:r>
            <w:r>
              <w:rPr>
                <w:rFonts w:hint="eastAsia"/>
                <w:color w:val="000000" w:themeColor="text1"/>
                <w:szCs w:val="21"/>
                <w:highlight w:val="none"/>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.2</w:t>
            </w:r>
          </w:p>
        </w:tc>
        <w:tc>
          <w:tcPr>
            <w:tcW w:w="8108"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车体尺寸</w:t>
            </w:r>
            <w:r>
              <w:rPr>
                <w:color w:val="000000" w:themeColor="text1"/>
                <w:szCs w:val="21"/>
                <w:highlight w:val="none"/>
                <w14:textFill>
                  <w14:solidFill>
                    <w14:schemeClr w14:val="tx1"/>
                  </w14:solidFill>
                </w14:textFill>
              </w:rPr>
              <w:t>mm</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5330×1930×2280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.3</w:t>
            </w:r>
          </w:p>
        </w:tc>
        <w:tc>
          <w:tcPr>
            <w:tcW w:w="8108"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抢救舱尺寸</w:t>
            </w:r>
            <w:r>
              <w:rPr>
                <w:color w:val="000000" w:themeColor="text1"/>
                <w:szCs w:val="21"/>
                <w:highlight w:val="none"/>
                <w14:textFill>
                  <w14:solidFill>
                    <w14:schemeClr w14:val="tx1"/>
                  </w14:solidFill>
                </w14:textFill>
              </w:rPr>
              <w:t>mm</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2700×1650×1700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.4</w:t>
            </w:r>
          </w:p>
        </w:tc>
        <w:tc>
          <w:tcPr>
            <w:tcW w:w="8108"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满载总质量</w:t>
            </w:r>
            <w:r>
              <w:rPr>
                <w:color w:val="000000" w:themeColor="text1"/>
                <w:szCs w:val="21"/>
                <w:highlight w:val="none"/>
                <w14:textFill>
                  <w14:solidFill>
                    <w14:schemeClr w14:val="tx1"/>
                  </w14:solidFill>
                </w14:textFill>
              </w:rPr>
              <w:t>kg</w:t>
            </w:r>
            <w:r>
              <w:rPr>
                <w:rFonts w:hint="eastAsia"/>
                <w:color w:val="000000" w:themeColor="text1"/>
                <w:szCs w:val="21"/>
                <w:highlight w:val="none"/>
                <w14:textFill>
                  <w14:solidFill>
                    <w14:schemeClr w14:val="tx1"/>
                  </w14:solidFill>
                </w14:textFill>
              </w:rPr>
              <w:t>：≥310</w:t>
            </w:r>
            <w:r>
              <w:rPr>
                <w:color w:val="000000" w:themeColor="text1"/>
                <w:szCs w:val="21"/>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.5</w:t>
            </w:r>
          </w:p>
        </w:tc>
        <w:tc>
          <w:tcPr>
            <w:tcW w:w="8108"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整备质量</w:t>
            </w:r>
            <w:r>
              <w:rPr>
                <w:color w:val="000000" w:themeColor="text1"/>
                <w:szCs w:val="21"/>
                <w:highlight w:val="none"/>
                <w14:textFill>
                  <w14:solidFill>
                    <w14:schemeClr w14:val="tx1"/>
                  </w14:solidFill>
                </w14:textFill>
              </w:rPr>
              <w:t>kg</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.6</w:t>
            </w:r>
          </w:p>
        </w:tc>
        <w:tc>
          <w:tcPr>
            <w:tcW w:w="8108"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▲驱动方式：后轮驱动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w:t>
            </w:r>
          </w:p>
        </w:tc>
        <w:tc>
          <w:tcPr>
            <w:tcW w:w="8108" w:type="dxa"/>
            <w:vAlign w:val="center"/>
          </w:tcPr>
          <w:p>
            <w:pPr>
              <w:rPr>
                <w:b/>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汽油发动机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p>
        </w:tc>
        <w:tc>
          <w:tcPr>
            <w:tcW w:w="8108"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工作方式：汽油发动机、涡轮增压、缸内直喷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p>
        </w:tc>
        <w:tc>
          <w:tcPr>
            <w:tcW w:w="8108"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排气量：≥1.990L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p>
        </w:tc>
        <w:tc>
          <w:tcPr>
            <w:tcW w:w="8108"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▲排放标准：国六排放标准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p>
        </w:tc>
        <w:tc>
          <w:tcPr>
            <w:tcW w:w="8108"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额定功率</w:t>
            </w:r>
            <w:r>
              <w:rPr>
                <w:color w:val="000000" w:themeColor="text1"/>
                <w:szCs w:val="21"/>
                <w:highlight w:val="none"/>
                <w14:textFill>
                  <w14:solidFill>
                    <w14:schemeClr w14:val="tx1"/>
                  </w14:solidFill>
                </w14:textFill>
              </w:rPr>
              <w:t>kw/rpm</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155/5500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p>
        </w:tc>
        <w:tc>
          <w:tcPr>
            <w:tcW w:w="8108"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最大扭力</w:t>
            </w:r>
            <w:r>
              <w:rPr>
                <w:color w:val="000000" w:themeColor="text1"/>
                <w:szCs w:val="21"/>
                <w:highlight w:val="none"/>
                <w14:textFill>
                  <w14:solidFill>
                    <w14:schemeClr w14:val="tx1"/>
                  </w14:solidFill>
                </w14:textFill>
              </w:rPr>
              <w:t>Nm/rpm</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350/1250-4000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w:t>
            </w:r>
          </w:p>
        </w:tc>
        <w:tc>
          <w:tcPr>
            <w:tcW w:w="8108" w:type="dxa"/>
            <w:vAlign w:val="center"/>
          </w:tcPr>
          <w:p>
            <w:pPr>
              <w:rPr>
                <w:b/>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电气系统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1</w:t>
            </w:r>
          </w:p>
        </w:tc>
        <w:tc>
          <w:tcPr>
            <w:tcW w:w="8108"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发电机</w:t>
            </w:r>
            <w:r>
              <w:rPr>
                <w:color w:val="000000" w:themeColor="text1"/>
                <w:szCs w:val="21"/>
                <w:highlight w:val="none"/>
                <w14:textFill>
                  <w14:solidFill>
                    <w14:schemeClr w14:val="tx1"/>
                  </w14:solidFill>
                </w14:textFill>
              </w:rPr>
              <w:t>V/A</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14/150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蓄电池</w:t>
            </w:r>
            <w:r>
              <w:rPr>
                <w:color w:val="000000" w:themeColor="text1"/>
                <w:szCs w:val="21"/>
                <w:highlight w:val="none"/>
                <w14:textFill>
                  <w14:solidFill>
                    <w14:schemeClr w14:val="tx1"/>
                  </w14:solidFill>
                </w14:textFill>
              </w:rPr>
              <w:t>V/Ah</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p>
        </w:tc>
        <w:tc>
          <w:tcPr>
            <w:tcW w:w="8108"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变速器：7G-TRONIC PLUS 7速自动变速箱增强版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p>
        </w:tc>
        <w:tc>
          <w:tcPr>
            <w:tcW w:w="8108"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制动：</w:t>
            </w:r>
            <w:r>
              <w:rPr>
                <w:rFonts w:hint="eastAsia"/>
                <w:color w:val="000000" w:themeColor="text1"/>
                <w:szCs w:val="21"/>
                <w:highlight w:val="none"/>
                <w14:textFill>
                  <w14:solidFill>
                    <w14:schemeClr w14:val="tx1"/>
                  </w14:solidFill>
                </w14:textFill>
              </w:rPr>
              <w:t>液压双回路制动并带有</w:t>
            </w:r>
            <w:r>
              <w:rPr>
                <w:color w:val="000000" w:themeColor="text1"/>
                <w:szCs w:val="21"/>
                <w:highlight w:val="none"/>
                <w14:textFill>
                  <w14:solidFill>
                    <w14:schemeClr w14:val="tx1"/>
                  </w14:solidFill>
                </w14:textFill>
              </w:rPr>
              <w:t>ABS</w:t>
            </w:r>
            <w:r>
              <w:rPr>
                <w:rFonts w:hint="eastAsia"/>
                <w:color w:val="000000" w:themeColor="text1"/>
                <w:szCs w:val="21"/>
                <w:highlight w:val="none"/>
                <w14:textFill>
                  <w14:solidFill>
                    <w14:schemeClr w14:val="tx1"/>
                  </w14:solidFill>
                </w14:textFill>
              </w:rPr>
              <w:t>防抱死制动系统。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p>
        </w:tc>
        <w:tc>
          <w:tcPr>
            <w:tcW w:w="8108"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安全系统：</w:t>
            </w:r>
            <w:r>
              <w:rPr>
                <w:color w:val="000000" w:themeColor="text1"/>
                <w:szCs w:val="21"/>
                <w:highlight w:val="none"/>
                <w14:textFill>
                  <w14:solidFill>
                    <w14:schemeClr w14:val="tx1"/>
                  </w14:solidFill>
                </w14:textFill>
              </w:rPr>
              <w:t>ESP</w:t>
            </w:r>
            <w:r>
              <w:rPr>
                <w:rFonts w:hint="eastAsia"/>
                <w:color w:val="000000" w:themeColor="text1"/>
                <w:szCs w:val="21"/>
                <w:highlight w:val="none"/>
                <w14:textFill>
                  <w14:solidFill>
                    <w14:schemeClr w14:val="tx1"/>
                  </w14:solidFill>
                </w14:textFill>
              </w:rPr>
              <w:t>车身电子稳定程序，</w:t>
            </w:r>
            <w:r>
              <w:rPr>
                <w:color w:val="000000" w:themeColor="text1"/>
                <w:szCs w:val="21"/>
                <w:highlight w:val="none"/>
                <w14:textFill>
                  <w14:solidFill>
                    <w14:schemeClr w14:val="tx1"/>
                  </w14:solidFill>
                </w14:textFill>
              </w:rPr>
              <w:t>ASR</w:t>
            </w:r>
            <w:r>
              <w:rPr>
                <w:rFonts w:hint="eastAsia"/>
                <w:color w:val="000000" w:themeColor="text1"/>
                <w:szCs w:val="21"/>
                <w:highlight w:val="none"/>
                <w14:textFill>
                  <w14:solidFill>
                    <w14:schemeClr w14:val="tx1"/>
                  </w14:solidFill>
                </w14:textFill>
              </w:rPr>
              <w:t>防侧滑系统和，</w:t>
            </w:r>
            <w:r>
              <w:rPr>
                <w:color w:val="000000" w:themeColor="text1"/>
                <w:szCs w:val="21"/>
                <w:highlight w:val="none"/>
                <w14:textFill>
                  <w14:solidFill>
                    <w14:schemeClr w14:val="tx1"/>
                  </w14:solidFill>
                </w14:textFill>
              </w:rPr>
              <w:t xml:space="preserve">EBD </w:t>
            </w:r>
            <w:r>
              <w:rPr>
                <w:rFonts w:hint="eastAsia"/>
                <w:color w:val="000000" w:themeColor="text1"/>
                <w:szCs w:val="21"/>
                <w:highlight w:val="none"/>
                <w14:textFill>
                  <w14:solidFill>
                    <w14:schemeClr w14:val="tx1"/>
                  </w14:solidFill>
                </w14:textFill>
              </w:rPr>
              <w:t>电子制动力分配系统，</w:t>
            </w:r>
            <w:r>
              <w:rPr>
                <w:color w:val="000000" w:themeColor="text1"/>
                <w:szCs w:val="21"/>
                <w:highlight w:val="none"/>
                <w14:textFill>
                  <w14:solidFill>
                    <w14:schemeClr w14:val="tx1"/>
                  </w14:solidFill>
                </w14:textFill>
              </w:rPr>
              <w:t xml:space="preserve">BAS </w:t>
            </w:r>
            <w:r>
              <w:rPr>
                <w:rFonts w:hint="eastAsia"/>
                <w:color w:val="000000" w:themeColor="text1"/>
                <w:szCs w:val="21"/>
                <w:highlight w:val="none"/>
                <w14:textFill>
                  <w14:solidFill>
                    <w14:schemeClr w14:val="tx1"/>
                  </w14:solidFill>
                </w14:textFill>
              </w:rPr>
              <w:t>制动辅助系统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w:t>
            </w:r>
          </w:p>
        </w:tc>
        <w:tc>
          <w:tcPr>
            <w:tcW w:w="8108"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驾驶室安全的转向柱，安全带张紧器，正副驾驶座双安全气囊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轮胎：</w:t>
            </w:r>
            <w:r>
              <w:rPr>
                <w:color w:val="000000" w:themeColor="text1"/>
                <w:szCs w:val="21"/>
                <w:highlight w:val="none"/>
                <w14:textFill>
                  <w14:solidFill>
                    <w14:schemeClr w14:val="tx1"/>
                  </w14:solidFill>
                </w14:textFill>
              </w:rPr>
              <w:t>235/55R17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油箱容积（</w:t>
            </w:r>
            <w:r>
              <w:rPr>
                <w:color w:val="000000" w:themeColor="text1"/>
                <w:szCs w:val="21"/>
                <w:highlight w:val="none"/>
                <w14:textFill>
                  <w14:solidFill>
                    <w14:schemeClr w14:val="tx1"/>
                  </w14:solidFill>
                </w14:textFill>
              </w:rPr>
              <w:t>L</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w:t>
            </w:r>
          </w:p>
        </w:tc>
        <w:tc>
          <w:tcPr>
            <w:tcW w:w="8108" w:type="dxa"/>
            <w:vAlign w:val="center"/>
          </w:tcPr>
          <w:p>
            <w:pPr>
              <w:spacing w:line="276"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医疗舱车厢右侧原厂玻璃窗,后门原厂玻璃窗,窗户上贴1/2不透明膜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四</w:t>
            </w:r>
          </w:p>
        </w:tc>
        <w:tc>
          <w:tcPr>
            <w:tcW w:w="8108"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空调及照明系统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倒车自动摄像显示屏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医疗舱原厂独立控制空调（出风</w:t>
            </w:r>
            <w:r>
              <w:rPr>
                <w:color w:val="000000" w:themeColor="text1"/>
                <w:szCs w:val="21"/>
                <w:highlight w:val="none"/>
                <w14:textFill>
                  <w14:solidFill>
                    <w14:schemeClr w14:val="tx1"/>
                  </w14:solidFill>
                </w14:textFill>
              </w:rPr>
              <w:t>口重新设计）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医疗舱安装通风系统（</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车顶外左右两侧救护车外场用LED照明灯各</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车顶尾部安装外场用LED照明灯</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Style w:val="301"/>
                <w:rFonts w:hint="eastAsia"/>
                <w:color w:val="000000" w:themeColor="text1"/>
                <w:szCs w:val="21"/>
                <w:highlight w:val="none"/>
                <w14:textFill>
                  <w14:solidFill>
                    <w14:schemeClr w14:val="tx1"/>
                  </w14:solidFill>
                </w14:textFill>
              </w:rPr>
              <w:t>医疗舱及乘员舱内2级可调亮度LED灯具照明，照明灯与车顶内饰完美结合，同时便于拆卸维修。可移动无影射灯（2盏）、计时消毒紫外光灯（1盏，经原车PSM控制，提供PSM模块逻辑编程控制图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可转动LED射灯（</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消毒紫外光灯（</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五</w:t>
            </w:r>
          </w:p>
        </w:tc>
        <w:tc>
          <w:tcPr>
            <w:tcW w:w="8108"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中央电源分配系统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智能电源管理系统（管理全车用电、自动充电、保障发动机电池随时有充足的电量启动车辆）。配套设备用高能量蓄电池。配套双路独立220V纯正弦逆变电源系统，两电路之间互为备份并可全自动智能切换，在其中一路出现故障时另一路可自动加入，每路输出功率不小于1000W，可保证医疗仪器不间断使用的供电需求。（提供制造商技术说明及实物图片，在投标文件中标明所在页码，并加盖制造商公章作为技术支持资料，未按要求提供或提供资料不齐全的，视相应技术参数响应不符合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▲驾驶室内触控式中央电器控制器，车辆启动后1</w:t>
            </w:r>
            <w:r>
              <w:rPr>
                <w:color w:val="000000" w:themeColor="text1"/>
                <w:szCs w:val="21"/>
                <w:highlight w:val="none"/>
                <w14:textFill>
                  <w14:solidFill>
                    <w14:schemeClr w14:val="tx1"/>
                  </w14:solidFill>
                </w14:textFill>
              </w:rPr>
              <w:t>0</w:t>
            </w:r>
            <w:r>
              <w:rPr>
                <w:rFonts w:hint="eastAsia"/>
                <w:color w:val="000000" w:themeColor="text1"/>
                <w:szCs w:val="21"/>
                <w:highlight w:val="none"/>
                <w14:textFill>
                  <w14:solidFill>
                    <w14:schemeClr w14:val="tx1"/>
                  </w14:solidFill>
                </w14:textFill>
              </w:rPr>
              <w:t>秒内平衡逆变器供电，逆变器稳定输出前触控面板为闪烁状态，逆变器稳定输出后为常亮状态。触控面板可直观显示双电池电压及对应显示医疗舱内病员警示状态。（提供制造商技术说明及实物图片，在投标文件中标明所在页码，并加盖制造商公章作为技术支持资料，未按要求提供或提供资料不齐全的，视相应技术参数响应不符合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p>
        </w:tc>
        <w:tc>
          <w:tcPr>
            <w:tcW w:w="8108" w:type="dxa"/>
            <w:vAlign w:val="center"/>
          </w:tcPr>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15m</w:t>
            </w:r>
            <w:r>
              <w:rPr>
                <w:rFonts w:hint="eastAsia"/>
                <w:color w:val="000000" w:themeColor="text1"/>
                <w:szCs w:val="21"/>
                <w:highlight w:val="none"/>
                <w14:textFill>
                  <w14:solidFill>
                    <w14:schemeClr w14:val="tx1"/>
                  </w14:solidFill>
                </w14:textFill>
              </w:rPr>
              <w:t>长移动电缆，连接</w:t>
            </w:r>
            <w:r>
              <w:rPr>
                <w:color w:val="000000" w:themeColor="text1"/>
                <w:szCs w:val="21"/>
                <w:highlight w:val="none"/>
                <w14:textFill>
                  <w14:solidFill>
                    <w14:schemeClr w14:val="tx1"/>
                  </w14:solidFill>
                </w14:textFill>
              </w:rPr>
              <w:t>220V/15A</w:t>
            </w:r>
            <w:r>
              <w:rPr>
                <w:rFonts w:hint="eastAsia"/>
                <w:color w:val="000000" w:themeColor="text1"/>
                <w:szCs w:val="21"/>
                <w:highlight w:val="none"/>
                <w14:textFill>
                  <w14:solidFill>
                    <w14:schemeClr w14:val="tx1"/>
                  </w14:solidFill>
                </w14:textFill>
              </w:rPr>
              <w:t>外接电源插头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p>
        </w:tc>
        <w:tc>
          <w:tcPr>
            <w:tcW w:w="8108" w:type="dxa"/>
            <w:vAlign w:val="center"/>
          </w:tcPr>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220V/15A</w:t>
            </w:r>
            <w:r>
              <w:rPr>
                <w:rFonts w:hint="eastAsia"/>
                <w:color w:val="000000" w:themeColor="text1"/>
                <w:szCs w:val="21"/>
                <w:highlight w:val="none"/>
                <w14:textFill>
                  <w14:solidFill>
                    <w14:schemeClr w14:val="tx1"/>
                  </w14:solidFill>
                </w14:textFill>
              </w:rPr>
              <w:t>防水、带防护盖的中国规格外接电源插座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医疗舱内安装3个</w:t>
            </w:r>
            <w:r>
              <w:rPr>
                <w:color w:val="000000" w:themeColor="text1"/>
                <w:szCs w:val="21"/>
                <w:highlight w:val="none"/>
                <w14:textFill>
                  <w14:solidFill>
                    <w14:schemeClr w14:val="tx1"/>
                  </w14:solidFill>
                </w14:textFill>
              </w:rPr>
              <w:t>220V</w:t>
            </w:r>
            <w:r>
              <w:rPr>
                <w:rFonts w:hint="eastAsia"/>
                <w:color w:val="000000" w:themeColor="text1"/>
                <w:szCs w:val="21"/>
                <w:highlight w:val="none"/>
                <w14:textFill>
                  <w14:solidFill>
                    <w14:schemeClr w14:val="tx1"/>
                  </w14:solidFill>
                </w14:textFill>
              </w:rPr>
              <w:t>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医疗舱安装</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个</w:t>
            </w:r>
            <w:r>
              <w:rPr>
                <w:color w:val="000000" w:themeColor="text1"/>
                <w:szCs w:val="21"/>
                <w:highlight w:val="none"/>
                <w14:textFill>
                  <w14:solidFill>
                    <w14:schemeClr w14:val="tx1"/>
                  </w14:solidFill>
                </w14:textFill>
              </w:rPr>
              <w:t>12V</w:t>
            </w:r>
            <w:r>
              <w:rPr>
                <w:rFonts w:hint="eastAsia"/>
                <w:color w:val="000000" w:themeColor="text1"/>
                <w:szCs w:val="21"/>
                <w:highlight w:val="none"/>
                <w14:textFill>
                  <w14:solidFill>
                    <w14:schemeClr w14:val="tx1"/>
                  </w14:solidFill>
                </w14:textFill>
              </w:rPr>
              <w:t>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六</w:t>
            </w:r>
          </w:p>
        </w:tc>
        <w:tc>
          <w:tcPr>
            <w:tcW w:w="8108"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紧急警报系统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驾驶室安装警报、警灯控制按扭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车顶安装警报器：标准救护车警报声（</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p>
        </w:tc>
        <w:tc>
          <w:tcPr>
            <w:tcW w:w="8108" w:type="dxa"/>
            <w:vAlign w:val="center"/>
          </w:tcPr>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w:t>
            </w:r>
            <w:r>
              <w:rPr>
                <w:rFonts w:hint="eastAsia"/>
                <w:color w:val="000000" w:themeColor="text1"/>
                <w:szCs w:val="21"/>
                <w:highlight w:val="none"/>
                <w14:textFill>
                  <w14:solidFill>
                    <w14:schemeClr w14:val="tx1"/>
                  </w14:solidFill>
                </w14:textFill>
              </w:rPr>
              <w:t>车外扩音器内置于警报器内（</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车头安装</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盏</w:t>
            </w:r>
            <w:r>
              <w:rPr>
                <w:color w:val="000000" w:themeColor="text1"/>
                <w:szCs w:val="21"/>
                <w:highlight w:val="none"/>
                <w14:textFill>
                  <w14:solidFill>
                    <w14:schemeClr w14:val="tx1"/>
                  </w14:solidFill>
                </w14:textFill>
              </w:rPr>
              <w:t>LED</w:t>
            </w:r>
            <w:r>
              <w:rPr>
                <w:rFonts w:hint="eastAsia"/>
                <w:color w:val="000000" w:themeColor="text1"/>
                <w:szCs w:val="21"/>
                <w:highlight w:val="none"/>
                <w14:textFill>
                  <w14:solidFill>
                    <w14:schemeClr w14:val="tx1"/>
                  </w14:solidFill>
                </w14:textFill>
              </w:rPr>
              <w:t>警蓝色闪灯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车顶前部安装长排警蓝色双闪灯（</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车顶后部左右安装</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盏</w:t>
            </w:r>
            <w:r>
              <w:rPr>
                <w:color w:val="000000" w:themeColor="text1"/>
                <w:szCs w:val="21"/>
                <w:highlight w:val="none"/>
                <w14:textFill>
                  <w14:solidFill>
                    <w14:schemeClr w14:val="tx1"/>
                  </w14:solidFill>
                </w14:textFill>
              </w:rPr>
              <w:t>LED</w:t>
            </w:r>
            <w:r>
              <w:rPr>
                <w:rFonts w:hint="eastAsia"/>
                <w:color w:val="000000" w:themeColor="text1"/>
                <w:szCs w:val="21"/>
                <w:highlight w:val="none"/>
                <w14:textFill>
                  <w14:solidFill>
                    <w14:schemeClr w14:val="tx1"/>
                  </w14:solidFill>
                </w14:textFill>
              </w:rPr>
              <w:t>蓝色警灯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车顶尾部安装</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盏</w:t>
            </w:r>
            <w:r>
              <w:rPr>
                <w:color w:val="000000" w:themeColor="text1"/>
                <w:szCs w:val="21"/>
                <w:highlight w:val="none"/>
                <w14:textFill>
                  <w14:solidFill>
                    <w14:schemeClr w14:val="tx1"/>
                  </w14:solidFill>
                </w14:textFill>
              </w:rPr>
              <w:t>LED</w:t>
            </w:r>
            <w:r>
              <w:rPr>
                <w:rFonts w:hint="eastAsia"/>
                <w:color w:val="000000" w:themeColor="text1"/>
                <w:szCs w:val="21"/>
                <w:highlight w:val="none"/>
                <w14:textFill>
                  <w14:solidFill>
                    <w14:schemeClr w14:val="tx1"/>
                  </w14:solidFill>
                </w14:textFill>
              </w:rPr>
              <w:t>蓝色警灯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配备警报器与原车喇叭控制互通系统，一键式连通，可由原车方向盘喇叭代替警报器按钮，从而大幅提高行车中警报器操作的安全性，一键式关闭，警报器与原车喇叭即可单独运行。（提供制造商技术说明及实物图片，在投标文件中标明所在页码，并加盖制造商公章作为技术支持资料，未按要求提供或提供资料不齐全的，视相应技术参数响应不符合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六</w:t>
            </w:r>
          </w:p>
        </w:tc>
        <w:tc>
          <w:tcPr>
            <w:tcW w:w="8108"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医疗舱内装置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p>
        </w:tc>
        <w:tc>
          <w:tcPr>
            <w:tcW w:w="8108" w:type="dxa"/>
            <w:vAlign w:val="center"/>
          </w:tcPr>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医疗舱监控硬盘录像机1套</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采用工业级嵌入式微控制器，嵌入式Linux实时操作系统、支持不少于8路，网络压缩视频输入、最大支持码流接入80Mbps接入</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IPC分辨率支持不低于12M/8M/5M/3M/1080P/1.3M/720P码流</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设备支持不少于1路VGA输出，1路HDMI输出，且支持VGA、HDMI同源输出</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★设备支持不少于1个RS232 接口、1个RS485 接口、4路报警输入接口、2路报警输出接口</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配置不少于2个内置4</w:t>
            </w:r>
            <w:r>
              <w:rPr>
                <w:color w:val="000000" w:themeColor="text1"/>
                <w:szCs w:val="21"/>
                <w:highlight w:val="none"/>
                <w14:textFill>
                  <w14:solidFill>
                    <w14:schemeClr w14:val="tx1"/>
                  </w14:solidFill>
                </w14:textFill>
              </w:rPr>
              <w:t>T</w:t>
            </w:r>
            <w:r>
              <w:rPr>
                <w:rFonts w:hint="eastAsia"/>
                <w:color w:val="000000" w:themeColor="text1"/>
                <w:szCs w:val="21"/>
                <w:highlight w:val="none"/>
                <w14:textFill>
                  <w14:solidFill>
                    <w14:schemeClr w14:val="tx1"/>
                  </w14:solidFill>
                </w14:textFill>
              </w:rPr>
              <w:t>SATA3.0硬盘</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支持秒级回放，可记录并回放设备断网前一秒的录像；</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★支持即时回放：预览界面下，单通道回放刚过去的5-60分钟的录像；</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支持切片回放，可将录像等分成4/8路 </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支持通过浏览器或客户端，以CSV文档的形式，导入导出远程设备配置。CSV文档允许用户编辑</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支持对录像的某个时间点进行添加标签，最大支持256个标签，并可进行査询；</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▲投标产品必须提供公安部型式检测报告(GB/T28181-2011），提供复印件并加盖厂商投标章</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▲提供产品彩页并加盖厂商投标章</w:t>
            </w:r>
          </w:p>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▲提供生产厂商的售后服务承诺并加盖厂商投标章</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医疗舱监控摄像头2套</w:t>
            </w:r>
          </w:p>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可输出200万(1920×1080)30fps或200万（1920*1080）@25fps，达到高分辨率实时或高帧率图像输出 支持H.265编码，压缩比高，超低码流 </w:t>
            </w:r>
          </w:p>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ACF（活动帧率控制），支持手机监控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医疗舱与抢救舱免提对讲系统、驾驶室与医疗舱安装分隔墙，分开前后车厢，分隔墙上有一个玻璃窗，窗户透明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医疗舱右侧安装可坐</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人的病员躺椅</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张，安装安全带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医疗舱左侧安装一套医药柜、器械柜的橱柜组合（汽车专用抽屉锁）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安装供氧系统一套：10升×2双瓶(钢制氧气瓶)双减压阀，一独立到墙式氧气湿化吸入器。另一个到呼吸机端子（亦可作为湿化器输出端子），固定支架及管路具有快速拆卸装置；2个氧气瓶之间具备切换装置，可根据氧气瓶压力变化，手动切换其他氧气瓶供氧；随车配备相应氧气瓶、减压阀拆卸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内饰：包括医疗舱两边的墙壁、门、车顶用轻质保温材料及阻燃、防紫外线、耐冲击的高分子复合材料、一次真空吸塑成型内饰以防变形及霉变。地板采用进口蓝灰色耐酸、碱、防火、防滑地板，四周凸起包边以防灰尘的积累及防滑，方便冲洗。折边过渡包角，避免磕碰受伤（医疗舱全部内饰不含任何木质材料）。车辆内饰防火性能应符合GB8410－1994《汽车内饰材料的燃烧特性》的要求提供检测报告复印件。投标现场提供改装材料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p>
        </w:tc>
        <w:tc>
          <w:tcPr>
            <w:tcW w:w="8108" w:type="dxa"/>
            <w:vAlign w:val="center"/>
          </w:tcPr>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车辆内饰防火性能应符合GB8410－</w:t>
            </w:r>
            <w:r>
              <w:rPr>
                <w:color w:val="000000" w:themeColor="text1"/>
                <w:szCs w:val="21"/>
                <w:highlight w:val="none"/>
                <w14:textFill>
                  <w14:solidFill>
                    <w14:schemeClr w14:val="tx1"/>
                  </w14:solidFill>
                </w14:textFill>
              </w:rPr>
              <w:t>2006</w:t>
            </w:r>
            <w:r>
              <w:rPr>
                <w:rFonts w:hint="eastAsia"/>
                <w:color w:val="000000" w:themeColor="text1"/>
                <w:szCs w:val="21"/>
                <w:highlight w:val="none"/>
                <w14:textFill>
                  <w14:solidFill>
                    <w14:schemeClr w14:val="tx1"/>
                  </w14:solidFill>
                </w14:textFill>
              </w:rPr>
              <w:t>《汽车内饰材料的燃烧特性》的要求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医疗舱安装加强型暖气机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医疗舱前侧翻转座椅（配安全带）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0</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左侧设备柜（用于安装呼吸机，心电监护除颤仪、吸引器）三层式布置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1</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医疗舱左边医疗柜子边沿高5cm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2</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医疗舱右边安装一个有盖的废物桶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3</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医疗舱顶部安装中央控制系统及一条安全扶手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4</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医疗舱顶部安装二套可折起的输液瓶悬吊装置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5</w:t>
            </w:r>
          </w:p>
        </w:tc>
        <w:tc>
          <w:tcPr>
            <w:tcW w:w="8108" w:type="dxa"/>
            <w:vAlign w:val="center"/>
          </w:tcPr>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2kg</w:t>
            </w:r>
            <w:r>
              <w:rPr>
                <w:rFonts w:hint="eastAsia"/>
                <w:color w:val="000000" w:themeColor="text1"/>
                <w:szCs w:val="21"/>
                <w:highlight w:val="none"/>
                <w14:textFill>
                  <w14:solidFill>
                    <w14:schemeClr w14:val="tx1"/>
                  </w14:solidFill>
                </w14:textFill>
              </w:rPr>
              <w:t>灭火器及支撑架（</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6</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车身腰部及顶部贴装彩带（外观按深圳地区院前急救统一标识）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7</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铝合金铲式担架1套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8</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楼梯担架1套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9</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内外科急救箱各1套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b/>
                <w:bCs/>
                <w:color w:val="000000" w:themeColor="text1"/>
                <w:sz w:val="24"/>
                <w:highlight w:val="none"/>
                <w14:textFill>
                  <w14:solidFill>
                    <w14:schemeClr w14:val="tx1"/>
                  </w14:solidFill>
                </w14:textFill>
              </w:rPr>
              <w:t>0</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订制自动上车担架底座（</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b/>
                <w:bCs/>
                <w:color w:val="000000" w:themeColor="text1"/>
                <w:sz w:val="24"/>
                <w:highlight w:val="none"/>
                <w14:textFill>
                  <w14:solidFill>
                    <w14:schemeClr w14:val="tx1"/>
                  </w14:solidFill>
                </w14:textFill>
              </w:rPr>
              <w:t>1</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自动上车担架1套：</w:t>
            </w:r>
          </w:p>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w:t>
            </w:r>
            <w:r>
              <w:rPr>
                <w:rFonts w:hint="eastAsia"/>
                <w:color w:val="000000" w:themeColor="text1"/>
                <w:szCs w:val="21"/>
                <w:highlight w:val="none"/>
                <w14:textFill>
                  <w14:solidFill>
                    <w14:schemeClr w14:val="tx1"/>
                  </w14:solidFill>
                </w14:textFill>
              </w:rPr>
              <w:t>1、可单人操控的自动折叠上下车担架</w:t>
            </w:r>
          </w:p>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w:t>
            </w:r>
            <w:r>
              <w:rPr>
                <w:rFonts w:hint="eastAsia"/>
                <w:color w:val="000000" w:themeColor="text1"/>
                <w:szCs w:val="21"/>
                <w:highlight w:val="none"/>
                <w14:textFill>
                  <w14:solidFill>
                    <w14:schemeClr w14:val="tx1"/>
                  </w14:solidFill>
                </w14:textFill>
              </w:rPr>
              <w:t>2、最舒适的担架，采用航空轮胎技术，宽轮直径≥190mm，长度≥1970mm、宽度≥570mm、自重≤32KG。</w:t>
            </w:r>
          </w:p>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w:t>
            </w:r>
            <w:r>
              <w:rPr>
                <w:rFonts w:hint="eastAsia"/>
                <w:color w:val="000000" w:themeColor="text1"/>
                <w:szCs w:val="21"/>
                <w:highlight w:val="none"/>
                <w14:textFill>
                  <w14:solidFill>
                    <w14:schemeClr w14:val="tx1"/>
                  </w14:solidFill>
                </w14:textFill>
              </w:rPr>
              <w:t>3、带有一块一次模压成型的病人固定板，安装于担架金属主体结构之上，病人床垫之下，可以避免骨折病人在转运过程中的二次伤害。</w:t>
            </w:r>
          </w:p>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w:t>
            </w:r>
            <w:r>
              <w:rPr>
                <w:rFonts w:hint="eastAsia"/>
                <w:color w:val="000000" w:themeColor="text1"/>
                <w:szCs w:val="21"/>
                <w:highlight w:val="none"/>
                <w14:textFill>
                  <w14:solidFill>
                    <w14:schemeClr w14:val="tx1"/>
                  </w14:solidFill>
                </w14:textFill>
              </w:rPr>
              <w:t>4、配置前固定器、后固定器、两段式床垫、可调节背板、安全带、后轮可调节轮锁</w:t>
            </w:r>
          </w:p>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w:t>
            </w:r>
            <w:r>
              <w:rPr>
                <w:rFonts w:hint="eastAsia"/>
                <w:color w:val="000000" w:themeColor="text1"/>
                <w:szCs w:val="21"/>
                <w:highlight w:val="none"/>
                <w14:textFill>
                  <w14:solidFill>
                    <w14:schemeClr w14:val="tx1"/>
                  </w14:solidFill>
                </w14:textFill>
              </w:rPr>
              <w:t>5、上车高度可调节，适用于450-650mm医疗舱高度的不同救护车</w:t>
            </w:r>
          </w:p>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▲6、产品需具备EN13485：2012医疗产品质量认证证书、欧盟freesales证书。投标人需出具该产品制造商或中国总代理商针对本项目的售后服务证明原件。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b/>
                <w:bCs/>
                <w:color w:val="000000" w:themeColor="text1"/>
                <w:sz w:val="24"/>
                <w:highlight w:val="none"/>
                <w14:textFill>
                  <w14:solidFill>
                    <w14:schemeClr w14:val="tx1"/>
                  </w14:solidFill>
                </w14:textFill>
              </w:rPr>
              <w:t>1</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整个医疗舱任何部分均不含木质成份的材料。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b/>
                <w:bCs/>
                <w:color w:val="000000" w:themeColor="text1"/>
                <w:sz w:val="24"/>
                <w:highlight w:val="none"/>
                <w14:textFill>
                  <w14:solidFill>
                    <w14:schemeClr w14:val="tx1"/>
                  </w14:solidFill>
                </w14:textFill>
              </w:rPr>
              <w:t>3</w:t>
            </w:r>
          </w:p>
        </w:tc>
        <w:tc>
          <w:tcPr>
            <w:tcW w:w="8108" w:type="dxa"/>
            <w:vAlign w:val="center"/>
          </w:tcPr>
          <w:p>
            <w:pPr>
              <w:spacing w:line="276" w:lineRule="auto"/>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所投车辆必须符合国家环境保护部国VI环保要求，符合深圳地区上牌要求。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00" w:type="dxa"/>
            <w:vAlign w:val="center"/>
          </w:tcPr>
          <w:p>
            <w:pPr>
              <w:spacing w:line="276"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b/>
                <w:bCs/>
                <w:color w:val="000000" w:themeColor="text1"/>
                <w:sz w:val="24"/>
                <w:highlight w:val="none"/>
                <w14:textFill>
                  <w14:solidFill>
                    <w14:schemeClr w14:val="tx1"/>
                  </w14:solidFill>
                </w14:textFill>
              </w:rPr>
              <w:t>4</w:t>
            </w:r>
          </w:p>
        </w:tc>
        <w:tc>
          <w:tcPr>
            <w:tcW w:w="8108" w:type="dxa"/>
            <w:vAlign w:val="center"/>
          </w:tcPr>
          <w:p>
            <w:pPr>
              <w:spacing w:line="276" w:lineRule="auto"/>
              <w:rPr>
                <w:b/>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所投标救护车应具备产品责任险，如因改装质量造成伤病员急救或转运过程中的事故，最高单一事故赔偿额不低于100万人民币，最大程度保障伤病员及用车单位利益，降低用车风险。（提供产品责任险投保证明，在投标文件中标明所在页码，并加盖制造商公章作为支持资料，未按要求提供或提供资料不齐全的，视相应技术参数响应不符合招标要求）</w:t>
            </w:r>
          </w:p>
        </w:tc>
      </w:tr>
    </w:tbl>
    <w:p>
      <w:pPr>
        <w:widowControl w:val="0"/>
        <w:shd w:val="clear" w:color="auto" w:fill="auto"/>
        <w:tabs>
          <w:tab w:val="clear" w:pos="426"/>
        </w:tabs>
        <w:adjustRightInd/>
        <w:snapToGrid/>
        <w:spacing w:beforeLines="50" w:line="300" w:lineRule="auto"/>
        <w:ind w:firstLine="420" w:firstLineChars="200"/>
        <w:rPr>
          <w:rFonts w:cs="Times New Roman"/>
          <w:color w:val="000000" w:themeColor="text1"/>
          <w:kern w:val="2"/>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备注：</w:t>
      </w:r>
    </w:p>
    <w:p>
      <w:pPr>
        <w:widowControl w:val="0"/>
        <w:shd w:val="clear" w:color="auto" w:fill="auto"/>
        <w:tabs>
          <w:tab w:val="clear" w:pos="426"/>
        </w:tabs>
        <w:adjustRightInd/>
        <w:snapToGrid/>
        <w:spacing w:beforeLines="50" w:line="300" w:lineRule="auto"/>
        <w:ind w:firstLine="420" w:firstLineChars="200"/>
        <w:rPr>
          <w:rFonts w:cs="Times New Roman"/>
          <w:color w:val="000000" w:themeColor="text1"/>
          <w:kern w:val="2"/>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1</w:t>
      </w:r>
      <w:r>
        <w:rPr>
          <w:rFonts w:cs="Times New Roman"/>
          <w:color w:val="000000" w:themeColor="text1"/>
          <w:kern w:val="2"/>
          <w:szCs w:val="21"/>
          <w:highlight w:val="none"/>
          <w14:textFill>
            <w14:solidFill>
              <w14:schemeClr w14:val="tx1"/>
            </w14:solidFill>
          </w14:textFill>
        </w:rPr>
        <w:t>.技术要求分为一般技术要求</w:t>
      </w:r>
      <w:r>
        <w:rPr>
          <w:rFonts w:hint="eastAsia" w:cs="Times New Roman"/>
          <w:color w:val="000000" w:themeColor="text1"/>
          <w:kern w:val="2"/>
          <w:szCs w:val="21"/>
          <w:highlight w:val="none"/>
          <w14:textFill>
            <w14:solidFill>
              <w14:schemeClr w14:val="tx1"/>
            </w14:solidFill>
          </w14:textFill>
        </w:rPr>
        <w:t>、</w:t>
      </w:r>
      <w:r>
        <w:rPr>
          <w:rFonts w:cs="Times New Roman"/>
          <w:color w:val="000000" w:themeColor="text1"/>
          <w:kern w:val="2"/>
          <w:szCs w:val="21"/>
          <w:highlight w:val="none"/>
          <w14:textFill>
            <w14:solidFill>
              <w14:schemeClr w14:val="tx1"/>
            </w14:solidFill>
          </w14:textFill>
        </w:rPr>
        <w:t>重要技术要求</w:t>
      </w:r>
      <w:r>
        <w:rPr>
          <w:rFonts w:hint="eastAsia" w:cs="Times New Roman"/>
          <w:color w:val="000000" w:themeColor="text1"/>
          <w:kern w:val="2"/>
          <w:szCs w:val="21"/>
          <w:highlight w:val="none"/>
          <w14:textFill>
            <w14:solidFill>
              <w14:schemeClr w14:val="tx1"/>
            </w14:solidFill>
          </w14:textFill>
        </w:rPr>
        <w:t>（以“▲”标注）</w:t>
      </w:r>
      <w:r>
        <w:rPr>
          <w:rFonts w:cs="Times New Roman"/>
          <w:color w:val="000000" w:themeColor="text1"/>
          <w:kern w:val="2"/>
          <w:szCs w:val="21"/>
          <w:highlight w:val="none"/>
          <w14:textFill>
            <w14:solidFill>
              <w14:schemeClr w14:val="tx1"/>
            </w14:solidFill>
          </w14:textFill>
        </w:rPr>
        <w:t>和实质性技术要求</w:t>
      </w:r>
      <w:r>
        <w:rPr>
          <w:rFonts w:hint="eastAsia" w:cs="Times New Roman"/>
          <w:color w:val="000000" w:themeColor="text1"/>
          <w:kern w:val="2"/>
          <w:szCs w:val="21"/>
          <w:highlight w:val="none"/>
          <w14:textFill>
            <w14:solidFill>
              <w14:schemeClr w14:val="tx1"/>
            </w14:solidFill>
          </w14:textFill>
        </w:rPr>
        <w:t>（以</w:t>
      </w:r>
      <w:r>
        <w:rPr>
          <w:rFonts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Cs w:val="21"/>
          <w:highlight w:val="none"/>
          <w14:textFill>
            <w14:solidFill>
              <w14:schemeClr w14:val="tx1"/>
            </w14:solidFill>
          </w14:textFill>
        </w:rPr>
        <w:t>★</w:t>
      </w:r>
      <w:r>
        <w:rPr>
          <w:rFonts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Cs w:val="21"/>
          <w:highlight w:val="none"/>
          <w14:textFill>
            <w14:solidFill>
              <w14:schemeClr w14:val="tx1"/>
            </w14:solidFill>
          </w14:textFill>
        </w:rPr>
        <w:t>标注）。一般技术要求和重要技术要求若出现不响应或负偏离，其综合评分的相关分数将予以扣减，但不作为无效标条款。实质性技术要求（以</w:t>
      </w:r>
      <w:r>
        <w:rPr>
          <w:rFonts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Cs w:val="21"/>
          <w:highlight w:val="none"/>
          <w14:textFill>
            <w14:solidFill>
              <w14:schemeClr w14:val="tx1"/>
            </w14:solidFill>
          </w14:textFill>
        </w:rPr>
        <w:t>★</w:t>
      </w:r>
      <w:r>
        <w:rPr>
          <w:rFonts w:cs="Times New Roman"/>
          <w:color w:val="000000" w:themeColor="text1"/>
          <w:kern w:val="2"/>
          <w:szCs w:val="21"/>
          <w:highlight w:val="none"/>
          <w14:textFill>
            <w14:solidFill>
              <w14:schemeClr w14:val="tx1"/>
            </w14:solidFill>
          </w14:textFill>
        </w:rPr>
        <w:t>”</w:t>
      </w:r>
      <w:r>
        <w:rPr>
          <w:rFonts w:hint="eastAsia" w:cs="Times New Roman"/>
          <w:color w:val="000000" w:themeColor="text1"/>
          <w:kern w:val="2"/>
          <w:szCs w:val="21"/>
          <w:highlight w:val="none"/>
          <w14:textFill>
            <w14:solidFill>
              <w14:schemeClr w14:val="tx1"/>
            </w14:solidFill>
          </w14:textFill>
        </w:rPr>
        <w:t>标注）若出现不响应或任何的负偏离，将导致投标无效。</w:t>
      </w:r>
    </w:p>
    <w:p>
      <w:pPr>
        <w:widowControl w:val="0"/>
        <w:shd w:val="clear" w:color="auto" w:fill="auto"/>
        <w:tabs>
          <w:tab w:val="clear" w:pos="426"/>
        </w:tabs>
        <w:adjustRightInd/>
        <w:snapToGrid/>
        <w:spacing w:beforeLines="50" w:line="300" w:lineRule="auto"/>
        <w:ind w:firstLine="420" w:firstLineChars="200"/>
        <w:rPr>
          <w:rFonts w:cs="Times New Roman"/>
          <w:color w:val="000000" w:themeColor="text1"/>
          <w:kern w:val="2"/>
          <w:szCs w:val="21"/>
          <w:highlight w:val="none"/>
          <w14:textFill>
            <w14:solidFill>
              <w14:schemeClr w14:val="tx1"/>
            </w14:solidFill>
          </w14:textFill>
        </w:rPr>
      </w:pPr>
      <w:r>
        <w:rPr>
          <w:rFonts w:cs="Times New Roman"/>
          <w:color w:val="000000" w:themeColor="text1"/>
          <w:kern w:val="2"/>
          <w:szCs w:val="21"/>
          <w:highlight w:val="none"/>
          <w14:textFill>
            <w14:solidFill>
              <w14:schemeClr w14:val="tx1"/>
            </w14:solidFill>
          </w14:textFill>
        </w:rPr>
        <w:t>2.若“招标技术要求”要求对投标产品的技术参数提供相应的证明资料，以证明投标人响应的真实性，投标人应按照招标文件的要求提供证明资料</w:t>
      </w:r>
      <w:r>
        <w:rPr>
          <w:rFonts w:hint="eastAsia" w:cs="Times New Roman"/>
          <w:color w:val="000000" w:themeColor="text1"/>
          <w:kern w:val="2"/>
          <w:szCs w:val="21"/>
          <w:highlight w:val="none"/>
          <w14:textFill>
            <w14:solidFill>
              <w14:schemeClr w14:val="tx1"/>
            </w14:solidFill>
          </w14:textFill>
        </w:rPr>
        <w:t>（例如：</w:t>
      </w:r>
      <w:r>
        <w:rPr>
          <w:rFonts w:cs="Times New Roman"/>
          <w:color w:val="000000" w:themeColor="text1"/>
          <w:kern w:val="2"/>
          <w:szCs w:val="21"/>
          <w:highlight w:val="none"/>
          <w14:textFill>
            <w14:solidFill>
              <w14:schemeClr w14:val="tx1"/>
            </w14:solidFill>
          </w14:textFill>
        </w:rPr>
        <w:t>制造商公布的产品说明书、或产品彩页、或我国政府机构出具的产品检验和核准证件等</w:t>
      </w:r>
      <w:r>
        <w:rPr>
          <w:rFonts w:hint="eastAsia" w:cs="Times New Roman"/>
          <w:color w:val="000000" w:themeColor="text1"/>
          <w:kern w:val="2"/>
          <w:szCs w:val="21"/>
          <w:highlight w:val="none"/>
          <w14:textFill>
            <w14:solidFill>
              <w14:schemeClr w14:val="tx1"/>
            </w14:solidFill>
          </w14:textFill>
        </w:rPr>
        <w:t>）</w:t>
      </w:r>
      <w:r>
        <w:rPr>
          <w:rFonts w:cs="Times New Roman"/>
          <w:color w:val="000000" w:themeColor="text1"/>
          <w:kern w:val="2"/>
          <w:szCs w:val="21"/>
          <w:highlight w:val="none"/>
          <w14:textFill>
            <w14:solidFill>
              <w14:schemeClr w14:val="tx1"/>
            </w14:solidFill>
          </w14:textFill>
        </w:rPr>
        <w:t>。投标人应在</w:t>
      </w:r>
      <w:r>
        <w:rPr>
          <w:rFonts w:hint="eastAsia" w:cs="Times New Roman"/>
          <w:color w:val="000000" w:themeColor="text1"/>
          <w:kern w:val="2"/>
          <w:szCs w:val="21"/>
          <w:highlight w:val="none"/>
          <w14:textFill>
            <w14:solidFill>
              <w14:schemeClr w14:val="tx1"/>
            </w14:solidFill>
          </w14:textFill>
        </w:rPr>
        <w:t>《技术规格偏离表》</w:t>
      </w:r>
      <w:r>
        <w:rPr>
          <w:rFonts w:cs="Times New Roman"/>
          <w:color w:val="000000" w:themeColor="text1"/>
          <w:kern w:val="2"/>
          <w:szCs w:val="21"/>
          <w:highlight w:val="none"/>
          <w14:textFill>
            <w14:solidFill>
              <w14:schemeClr w14:val="tx1"/>
            </w14:solidFill>
          </w14:textFill>
        </w:rPr>
        <w:t>"说明"一栏中列出技术参数的证明资料名称，并指明该证明资料在投标文件中的具体位置。</w:t>
      </w:r>
    </w:p>
    <w:p>
      <w:pPr>
        <w:widowControl w:val="0"/>
        <w:shd w:val="clear" w:color="auto" w:fill="auto"/>
        <w:tabs>
          <w:tab w:val="clear" w:pos="426"/>
        </w:tabs>
        <w:adjustRightInd/>
        <w:snapToGrid/>
        <w:spacing w:beforeLines="50" w:line="300" w:lineRule="auto"/>
        <w:ind w:firstLine="420" w:firstLineChars="200"/>
        <w:rPr>
          <w:rFonts w:cs="Times New Roman"/>
          <w:color w:val="000000" w:themeColor="text1"/>
          <w:kern w:val="2"/>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pPr>
        <w:widowControl w:val="0"/>
        <w:shd w:val="clear" w:color="auto" w:fill="auto"/>
        <w:tabs>
          <w:tab w:val="clear" w:pos="426"/>
        </w:tabs>
        <w:adjustRightInd/>
        <w:snapToGrid/>
        <w:spacing w:beforeLines="50" w:line="300" w:lineRule="auto"/>
        <w:ind w:firstLine="420" w:firstLineChars="200"/>
        <w:rPr>
          <w:rFonts w:cs="Times New Roman"/>
          <w:color w:val="000000" w:themeColor="text1"/>
          <w:kern w:val="2"/>
          <w:szCs w:val="21"/>
          <w:highlight w:val="none"/>
          <w14:textFill>
            <w14:solidFill>
              <w14:schemeClr w14:val="tx1"/>
            </w14:solidFill>
          </w14:textFill>
        </w:rPr>
      </w:pPr>
      <w:r>
        <w:rPr>
          <w:rFonts w:cs="Times New Roman"/>
          <w:color w:val="000000" w:themeColor="text1"/>
          <w:kern w:val="2"/>
          <w:szCs w:val="21"/>
          <w:highlight w:val="none"/>
          <w14:textFill>
            <w14:solidFill>
              <w14:schemeClr w14:val="tx1"/>
            </w14:solidFill>
          </w14:textFill>
        </w:rPr>
        <w:t>未达到以上提供要求的，评标委员会有权认定为不合格响应，其相关分数予以扣减。</w:t>
      </w:r>
    </w:p>
    <w:p>
      <w:pPr>
        <w:numPr>
          <w:ilvl w:val="0"/>
          <w:numId w:val="23"/>
        </w:numPr>
        <w:adjustRightInd/>
        <w:snapToGrid/>
        <w:spacing w:before="280" w:after="290" w:line="377" w:lineRule="auto"/>
        <w:jc w:val="left"/>
        <w:outlineLvl w:val="3"/>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报价要求</w:t>
      </w:r>
    </w:p>
    <w:p>
      <w:pPr>
        <w:widowControl w:val="0"/>
        <w:shd w:val="clear" w:color="auto" w:fill="auto"/>
        <w:tabs>
          <w:tab w:val="clear" w:pos="426"/>
        </w:tabs>
        <w:adjustRightInd/>
        <w:snapToGrid/>
        <w:spacing w:beforeLines="50" w:line="300" w:lineRule="auto"/>
        <w:ind w:firstLine="422" w:firstLineChars="200"/>
        <w:rPr>
          <w:rFonts w:cs="Times New Roman"/>
          <w:b/>
          <w:bCs/>
          <w:color w:val="000000" w:themeColor="text1"/>
          <w:kern w:val="2"/>
          <w:szCs w:val="21"/>
          <w:highlight w:val="none"/>
          <w14:textFill>
            <w14:solidFill>
              <w14:schemeClr w14:val="tx1"/>
            </w14:solidFill>
          </w14:textFill>
        </w:rPr>
      </w:pPr>
      <w:r>
        <w:rPr>
          <w:rFonts w:hint="eastAsia" w:cs="Times New Roman"/>
          <w:b/>
          <w:bCs/>
          <w:color w:val="000000" w:themeColor="text1"/>
          <w:kern w:val="2"/>
          <w:szCs w:val="21"/>
          <w:highlight w:val="none"/>
          <w14:textFill>
            <w14:solidFill>
              <w14:schemeClr w14:val="tx1"/>
            </w14:solidFill>
          </w14:textFill>
        </w:rPr>
        <w:t>1.本项目预算金额为人民币560，000.00元(大写:人民币伍拾陆万元整)</w:t>
      </w:r>
    </w:p>
    <w:p>
      <w:pPr>
        <w:numPr>
          <w:ilvl w:val="0"/>
          <w:numId w:val="23"/>
        </w:numPr>
        <w:adjustRightInd/>
        <w:snapToGrid/>
        <w:spacing w:before="280" w:after="290" w:line="377" w:lineRule="auto"/>
        <w:jc w:val="left"/>
        <w:outlineLvl w:val="3"/>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商务需求</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339"/>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Align w:val="center"/>
          </w:tcPr>
          <w:p>
            <w:pPr>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1339" w:type="dxa"/>
            <w:vAlign w:val="center"/>
          </w:tcPr>
          <w:p>
            <w:pPr>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目录</w:t>
            </w:r>
          </w:p>
        </w:tc>
        <w:tc>
          <w:tcPr>
            <w:tcW w:w="6864" w:type="dxa"/>
            <w:vAlign w:val="center"/>
          </w:tcPr>
          <w:p>
            <w:pPr>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70" w:type="dxa"/>
            <w:gridSpan w:val="3"/>
            <w:vAlign w:val="center"/>
          </w:tcPr>
          <w:p>
            <w:pPr>
              <w:spacing w:line="240" w:lineRule="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（一）保修期内售后服务要求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367" w:type="dxa"/>
            <w:vAlign w:val="center"/>
          </w:tcPr>
          <w:p>
            <w:pPr>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w:t>
            </w:r>
          </w:p>
        </w:tc>
        <w:tc>
          <w:tcPr>
            <w:tcW w:w="1339"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保修期</w:t>
            </w:r>
          </w:p>
        </w:tc>
        <w:tc>
          <w:tcPr>
            <w:tcW w:w="6864" w:type="dxa"/>
            <w:vAlign w:val="center"/>
          </w:tcPr>
          <w:p>
            <w:pPr>
              <w:jc w:val="left"/>
              <w:rPr>
                <w:b/>
                <w:color w:val="000000" w:themeColor="text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w:t>
            </w:r>
            <w:r>
              <w:rPr>
                <w:rFonts w:hint="eastAsia"/>
                <w:b/>
                <w:color w:val="000000" w:themeColor="text1"/>
                <w:highlight w:val="none"/>
                <w14:textFill>
                  <w14:solidFill>
                    <w14:schemeClr w14:val="tx1"/>
                  </w14:solidFill>
                </w14:textFill>
              </w:rPr>
              <w:t>1.1底盘车辆提供不低于2年五万公里的保修标准（以先到为准）。</w:t>
            </w:r>
          </w:p>
          <w:p>
            <w:pPr>
              <w:jc w:val="left"/>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1.2改装部分提供不低于1年的保修服务。保修期内，由非人为因素引起的故障均在保修范围内，供应商完全免费提供保修服务。保修期外，供应商提供终生的维修服务，且要求相关配件及人工费用低于平均市场价格。</w:t>
            </w:r>
          </w:p>
          <w:p>
            <w:pPr>
              <w:jc w:val="left"/>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1.3供应商需提供至少3人/次的培训服务，确保用户方至少有2名操作人员可熟练使用。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1367" w:type="dxa"/>
            <w:vAlign w:val="center"/>
          </w:tcPr>
          <w:p>
            <w:pPr>
              <w:spacing w:line="240" w:lineRule="auto"/>
              <w:jc w:val="center"/>
              <w:rPr>
                <w:b/>
                <w:color w:val="000000" w:themeColor="text1"/>
                <w:highlight w:val="none"/>
                <w14:textFill>
                  <w14:solidFill>
                    <w14:schemeClr w14:val="tx1"/>
                  </w14:solidFill>
                </w14:textFill>
              </w:rPr>
            </w:pPr>
          </w:p>
        </w:tc>
        <w:tc>
          <w:tcPr>
            <w:tcW w:w="1339"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维修响应及故障解决时间</w:t>
            </w:r>
          </w:p>
        </w:tc>
        <w:tc>
          <w:tcPr>
            <w:tcW w:w="6864" w:type="dxa"/>
            <w:vAlign w:val="center"/>
          </w:tcPr>
          <w:p>
            <w:pPr>
              <w:jc w:val="left"/>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在保修期内，一旦发生质量问题，投标人保证在接到通知24小时内进行响应。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1367" w:type="dxa"/>
            <w:vAlign w:val="center"/>
          </w:tcPr>
          <w:p>
            <w:pPr>
              <w:spacing w:line="240" w:lineRule="auto"/>
              <w:jc w:val="center"/>
              <w:rPr>
                <w:b/>
                <w:color w:val="000000" w:themeColor="text1"/>
                <w:highlight w:val="none"/>
                <w14:textFill>
                  <w14:solidFill>
                    <w14:schemeClr w14:val="tx1"/>
                  </w14:solidFill>
                </w14:textFill>
              </w:rPr>
            </w:pPr>
          </w:p>
        </w:tc>
        <w:tc>
          <w:tcPr>
            <w:tcW w:w="1339"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技术支持服务 </w:t>
            </w:r>
          </w:p>
        </w:tc>
        <w:tc>
          <w:tcPr>
            <w:tcW w:w="6864" w:type="dxa"/>
            <w:vAlign w:val="center"/>
          </w:tcPr>
          <w:p>
            <w:pPr>
              <w:jc w:val="left"/>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投标人须保持与招标人的联系，随时交流设备使用情况，成立专门工作小组为用户解决遇到的问题。服务范围包括：故障排除、车辆运行情况、帮助日常检查等。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367" w:type="dxa"/>
            <w:vAlign w:val="center"/>
          </w:tcPr>
          <w:p>
            <w:pPr>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w:t>
            </w:r>
          </w:p>
        </w:tc>
        <w:tc>
          <w:tcPr>
            <w:tcW w:w="1339" w:type="dxa"/>
            <w:vAlign w:val="center"/>
          </w:tcPr>
          <w:p>
            <w:pPr>
              <w:spacing w:line="240" w:lineRule="auto"/>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w:t>
            </w:r>
          </w:p>
        </w:tc>
        <w:tc>
          <w:tcPr>
            <w:tcW w:w="6864" w:type="dxa"/>
            <w:vAlign w:val="center"/>
          </w:tcPr>
          <w:p>
            <w:pPr>
              <w:spacing w:line="380" w:lineRule="exact"/>
              <w:jc w:val="left"/>
              <w:rPr>
                <w:b/>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投标人应按其投标文件中的承诺，进行其他售后服务工作。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70" w:type="dxa"/>
            <w:gridSpan w:val="3"/>
            <w:vAlign w:val="center"/>
          </w:tcPr>
          <w:p>
            <w:pPr>
              <w:spacing w:line="240" w:lineRule="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1367" w:type="dxa"/>
            <w:vAlign w:val="center"/>
          </w:tcPr>
          <w:p>
            <w:pPr>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w:t>
            </w:r>
          </w:p>
        </w:tc>
        <w:tc>
          <w:tcPr>
            <w:tcW w:w="1339" w:type="dxa"/>
            <w:vAlign w:val="center"/>
          </w:tcPr>
          <w:p>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关于交货</w:t>
            </w:r>
          </w:p>
        </w:tc>
        <w:tc>
          <w:tcPr>
            <w:tcW w:w="6864" w:type="dxa"/>
            <w:vAlign w:val="center"/>
          </w:tcPr>
          <w:p>
            <w:pPr>
              <w:rPr>
                <w:rFonts w:cs="Times New Roman"/>
                <w:color w:val="000000" w:themeColor="text1"/>
                <w:kern w:val="2"/>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★1.1合同签订后</w:t>
            </w:r>
            <w:r>
              <w:rPr>
                <w:rFonts w:hint="eastAsia" w:cs="Times New Roman"/>
                <w:color w:val="000000" w:themeColor="text1"/>
                <w:kern w:val="2"/>
                <w:szCs w:val="21"/>
                <w:highlight w:val="none"/>
                <w:lang w:val="en-US" w:eastAsia="zh-CN"/>
                <w14:textFill>
                  <w14:solidFill>
                    <w14:schemeClr w14:val="tx1"/>
                  </w14:solidFill>
                </w14:textFill>
              </w:rPr>
              <w:t>30</w:t>
            </w:r>
            <w:r>
              <w:rPr>
                <w:rFonts w:hint="eastAsia" w:cs="Times New Roman"/>
                <w:color w:val="000000" w:themeColor="text1"/>
                <w:kern w:val="2"/>
                <w:szCs w:val="21"/>
                <w:highlight w:val="none"/>
                <w14:textFill>
                  <w14:solidFill>
                    <w14:schemeClr w14:val="tx1"/>
                  </w14:solidFill>
                </w14:textFill>
              </w:rPr>
              <w:t>个</w:t>
            </w:r>
            <w:r>
              <w:rPr>
                <w:rFonts w:hint="eastAsia" w:cs="Times New Roman"/>
                <w:color w:val="000000" w:themeColor="text1"/>
                <w:kern w:val="2"/>
                <w:szCs w:val="21"/>
                <w:highlight w:val="none"/>
                <w:lang w:eastAsia="zh-CN"/>
                <w14:textFill>
                  <w14:solidFill>
                    <w14:schemeClr w14:val="tx1"/>
                  </w14:solidFill>
                </w14:textFill>
              </w:rPr>
              <w:t>日历日</w:t>
            </w:r>
            <w:r>
              <w:rPr>
                <w:rFonts w:hint="eastAsia" w:cs="Times New Roman"/>
                <w:color w:val="000000" w:themeColor="text1"/>
                <w:kern w:val="2"/>
                <w:szCs w:val="21"/>
                <w:highlight w:val="none"/>
                <w14:textFill>
                  <w14:solidFill>
                    <w14:schemeClr w14:val="tx1"/>
                  </w14:solidFill>
                </w14:textFill>
              </w:rPr>
              <w:t>内交货。</w:t>
            </w:r>
          </w:p>
          <w:p>
            <w:pPr>
              <w:rPr>
                <w:bCs/>
                <w:color w:val="000000" w:themeColor="text1"/>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1.</w:t>
            </w:r>
            <w:r>
              <w:rPr>
                <w:rFonts w:hint="eastAsia" w:cs="Times New Roman"/>
                <w:color w:val="000000" w:themeColor="text1"/>
                <w:kern w:val="2"/>
                <w:szCs w:val="21"/>
                <w:highlight w:val="none"/>
                <w:lang w:val="en-US" w:eastAsia="zh-CN"/>
                <w14:textFill>
                  <w14:solidFill>
                    <w14:schemeClr w14:val="tx1"/>
                  </w14:solidFill>
                </w14:textFill>
              </w:rPr>
              <w:t>2</w:t>
            </w:r>
            <w:r>
              <w:rPr>
                <w:rFonts w:hint="eastAsia" w:cs="Times New Roman"/>
                <w:color w:val="000000" w:themeColor="text1"/>
                <w:kern w:val="2"/>
                <w:szCs w:val="21"/>
                <w:highlight w:val="none"/>
                <w14:textFill>
                  <w14:solidFill>
                    <w14:schemeClr w14:val="tx1"/>
                  </w14:solidFill>
                </w14:textFill>
              </w:rPr>
              <w:t xml:space="preserve">投标人必须承担的设备运输、安装调试、验收检测和提供设备操作说明书、图纸等其他类似的义务。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atLeast"/>
        </w:trPr>
        <w:tc>
          <w:tcPr>
            <w:tcW w:w="1367" w:type="dxa"/>
            <w:vAlign w:val="center"/>
          </w:tcPr>
          <w:p>
            <w:pPr>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w:t>
            </w:r>
          </w:p>
        </w:tc>
        <w:tc>
          <w:tcPr>
            <w:tcW w:w="1339" w:type="dxa"/>
            <w:vAlign w:val="center"/>
          </w:tcPr>
          <w:p>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关于验收</w:t>
            </w:r>
          </w:p>
        </w:tc>
        <w:tc>
          <w:tcPr>
            <w:tcW w:w="6864" w:type="dxa"/>
            <w:vAlign w:val="center"/>
          </w:tcPr>
          <w:p>
            <w:pPr>
              <w:tabs>
                <w:tab w:val="left" w:pos="1260"/>
              </w:tabs>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 xml:space="preserve">2.1投标人货物经过双方检验认可后，签署验收报告，产品保修期自验收合格之日起算，由投标人提供产品保修文件。  </w:t>
            </w:r>
          </w:p>
          <w:p>
            <w:pPr>
              <w:tabs>
                <w:tab w:val="left" w:pos="1260"/>
              </w:tabs>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2.2当满足以下条件时，采购人才向中标人签发货物验收报告：a、中标人已按照合同规定提供了全部产品及完整的技术资料。b、货物符合招标文件技术规格书的要求，性能满足要求。c、货物具备产品合格证。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7" w:type="dxa"/>
            <w:vAlign w:val="center"/>
          </w:tcPr>
          <w:p>
            <w:pPr>
              <w:spacing w:line="240" w:lineRule="auto"/>
              <w:jc w:val="center"/>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3</w:t>
            </w:r>
          </w:p>
        </w:tc>
        <w:tc>
          <w:tcPr>
            <w:tcW w:w="1339" w:type="dxa"/>
            <w:vAlign w:val="center"/>
          </w:tcPr>
          <w:p>
            <w:pPr>
              <w:spacing w:line="240" w:lineRule="auto"/>
              <w:jc w:val="center"/>
              <w:rPr>
                <w:b/>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付款方式</w:t>
            </w:r>
          </w:p>
        </w:tc>
        <w:tc>
          <w:tcPr>
            <w:tcW w:w="6864" w:type="dxa"/>
            <w:vAlign w:val="center"/>
          </w:tcPr>
          <w:p>
            <w:pPr>
              <w:jc w:val="left"/>
              <w:rPr>
                <w:color w:val="000000" w:themeColor="text1"/>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w:t>
            </w:r>
            <w:r>
              <w:rPr>
                <w:rFonts w:hint="eastAsia"/>
                <w:bCs/>
                <w:color w:val="000000" w:themeColor="text1"/>
                <w:szCs w:val="21"/>
                <w:highlight w:val="none"/>
                <w14:textFill>
                  <w14:solidFill>
                    <w14:schemeClr w14:val="tx1"/>
                  </w14:solidFill>
                </w14:textFill>
              </w:rPr>
              <w:t>签订合同后，10个工作日内</w:t>
            </w:r>
            <w:r>
              <w:rPr>
                <w:rFonts w:hint="eastAsia"/>
                <w:color w:val="000000" w:themeColor="text1"/>
                <w:szCs w:val="21"/>
                <w:highlight w:val="none"/>
                <w14:textFill>
                  <w14:solidFill>
                    <w14:schemeClr w14:val="tx1"/>
                  </w14:solidFill>
                </w14:textFill>
              </w:rPr>
              <w:t>采购方向中标人</w:t>
            </w:r>
            <w:r>
              <w:rPr>
                <w:rFonts w:hint="eastAsia"/>
                <w:bCs/>
                <w:color w:val="000000" w:themeColor="text1"/>
                <w:szCs w:val="21"/>
                <w:highlight w:val="none"/>
                <w14:textFill>
                  <w14:solidFill>
                    <w14:schemeClr w14:val="tx1"/>
                  </w14:solidFill>
                </w14:textFill>
              </w:rPr>
              <w:t>支付合同总金额的30%作为定金</w:t>
            </w:r>
            <w:r>
              <w:rPr>
                <w:rFonts w:hint="eastAsia"/>
                <w:color w:val="000000" w:themeColor="text1"/>
                <w:szCs w:val="21"/>
                <w:highlight w:val="none"/>
                <w14:textFill>
                  <w14:solidFill>
                    <w14:schemeClr w14:val="tx1"/>
                  </w14:solidFill>
                </w14:textFill>
              </w:rPr>
              <w:t xml:space="preserve">。车辆验收合格后，7个工作日内采购方向中标人支付至合同总金额的80%款项。全部货物到达交货地点，安装、调试并验收合格，采购人按合同办理支付手续支付余额。 </w:t>
            </w:r>
          </w:p>
          <w:p>
            <w:pPr>
              <w:jc w:val="left"/>
              <w:rPr>
                <w:b/>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备注：具体付款方式需按深圳市坪山区财政局有关规定执行。 </w:t>
            </w:r>
          </w:p>
        </w:tc>
      </w:tr>
    </w:tbl>
    <w:p>
      <w:pPr>
        <w:widowControl w:val="0"/>
        <w:shd w:val="clear" w:color="auto" w:fill="auto"/>
        <w:tabs>
          <w:tab w:val="clear" w:pos="426"/>
        </w:tabs>
        <w:adjustRightInd/>
        <w:snapToGrid/>
        <w:spacing w:beforeLines="50" w:line="300" w:lineRule="auto"/>
        <w:ind w:firstLine="422" w:firstLineChars="200"/>
        <w:rPr>
          <w:rFonts w:cs="Times New Roman"/>
          <w:b/>
          <w:color w:val="000000" w:themeColor="text1"/>
          <w:kern w:val="2"/>
          <w:szCs w:val="21"/>
          <w:highlight w:val="none"/>
          <w14:textFill>
            <w14:solidFill>
              <w14:schemeClr w14:val="tx1"/>
            </w14:solidFill>
          </w14:textFill>
        </w:rPr>
      </w:pPr>
      <w:r>
        <w:rPr>
          <w:rFonts w:hint="eastAsia" w:cs="Times New Roman"/>
          <w:b/>
          <w:color w:val="000000" w:themeColor="text1"/>
          <w:kern w:val="2"/>
          <w:szCs w:val="21"/>
          <w:highlight w:val="none"/>
          <w14:textFill>
            <w14:solidFill>
              <w14:schemeClr w14:val="tx1"/>
            </w14:solidFill>
          </w14:textFill>
        </w:rPr>
        <w:t>备注：商务</w:t>
      </w:r>
      <w:r>
        <w:rPr>
          <w:rFonts w:cs="Times New Roman"/>
          <w:b/>
          <w:color w:val="000000" w:themeColor="text1"/>
          <w:kern w:val="2"/>
          <w:szCs w:val="21"/>
          <w:highlight w:val="none"/>
          <w14:textFill>
            <w14:solidFill>
              <w14:schemeClr w14:val="tx1"/>
            </w14:solidFill>
          </w14:textFill>
        </w:rPr>
        <w:t>要求分为一般</w:t>
      </w:r>
      <w:r>
        <w:rPr>
          <w:rFonts w:hint="eastAsia" w:cs="Times New Roman"/>
          <w:b/>
          <w:color w:val="000000" w:themeColor="text1"/>
          <w:kern w:val="2"/>
          <w:szCs w:val="21"/>
          <w:highlight w:val="none"/>
          <w14:textFill>
            <w14:solidFill>
              <w14:schemeClr w14:val="tx1"/>
            </w14:solidFill>
          </w14:textFill>
        </w:rPr>
        <w:t>商务</w:t>
      </w:r>
      <w:r>
        <w:rPr>
          <w:rFonts w:cs="Times New Roman"/>
          <w:b/>
          <w:color w:val="000000" w:themeColor="text1"/>
          <w:kern w:val="2"/>
          <w:szCs w:val="21"/>
          <w:highlight w:val="none"/>
          <w14:textFill>
            <w14:solidFill>
              <w14:schemeClr w14:val="tx1"/>
            </w14:solidFill>
          </w14:textFill>
        </w:rPr>
        <w:t>要求、重要</w:t>
      </w:r>
      <w:r>
        <w:rPr>
          <w:rFonts w:hint="eastAsia" w:cs="Times New Roman"/>
          <w:b/>
          <w:color w:val="000000" w:themeColor="text1"/>
          <w:kern w:val="2"/>
          <w:szCs w:val="21"/>
          <w:highlight w:val="none"/>
          <w14:textFill>
            <w14:solidFill>
              <w14:schemeClr w14:val="tx1"/>
            </w14:solidFill>
          </w14:textFill>
        </w:rPr>
        <w:t>商务</w:t>
      </w:r>
      <w:r>
        <w:rPr>
          <w:rFonts w:cs="Times New Roman"/>
          <w:b/>
          <w:color w:val="000000" w:themeColor="text1"/>
          <w:kern w:val="2"/>
          <w:szCs w:val="21"/>
          <w:highlight w:val="none"/>
          <w14:textFill>
            <w14:solidFill>
              <w14:schemeClr w14:val="tx1"/>
            </w14:solidFill>
          </w14:textFill>
        </w:rPr>
        <w:t>要求（以“▲”标注）和实质性</w:t>
      </w:r>
      <w:r>
        <w:rPr>
          <w:rFonts w:hint="eastAsia" w:cs="Times New Roman"/>
          <w:b/>
          <w:color w:val="000000" w:themeColor="text1"/>
          <w:kern w:val="2"/>
          <w:szCs w:val="21"/>
          <w:highlight w:val="none"/>
          <w14:textFill>
            <w14:solidFill>
              <w14:schemeClr w14:val="tx1"/>
            </w14:solidFill>
          </w14:textFill>
        </w:rPr>
        <w:t>商务</w:t>
      </w:r>
      <w:r>
        <w:rPr>
          <w:rFonts w:cs="Times New Roman"/>
          <w:b/>
          <w:color w:val="000000" w:themeColor="text1"/>
          <w:kern w:val="2"/>
          <w:szCs w:val="21"/>
          <w:highlight w:val="none"/>
          <w14:textFill>
            <w14:solidFill>
              <w14:schemeClr w14:val="tx1"/>
            </w14:solidFill>
          </w14:textFill>
        </w:rPr>
        <w:t>要求（以”★”标注）。一般商务要求和重要商务要求若出现不响应或负偏离，其综合评分的相关分数将予以扣减，但不作为投标无效条款。实质性商务要求（以”★”标注）若出现不响应或任何一项负偏离，将导致投标无效。</w:t>
      </w:r>
    </w:p>
    <w:p>
      <w:pPr>
        <w:pStyle w:val="20"/>
        <w:rPr>
          <w:color w:val="000000" w:themeColor="text1"/>
          <w:highlight w:val="none"/>
          <w14:textFill>
            <w14:solidFill>
              <w14:schemeClr w14:val="tx1"/>
            </w14:solidFill>
          </w14:textFill>
        </w:rPr>
        <w:sectPr>
          <w:pgSz w:w="11906" w:h="16838"/>
          <w:pgMar w:top="1134" w:right="1134" w:bottom="1134" w:left="1418" w:header="851" w:footer="992" w:gutter="0"/>
          <w:cols w:space="425" w:num="1"/>
          <w:titlePg/>
          <w:docGrid w:linePitch="462" w:charSpace="0"/>
        </w:sectPr>
      </w:pPr>
    </w:p>
    <w:p>
      <w:pPr>
        <w:numPr>
          <w:ilvl w:val="0"/>
          <w:numId w:val="23"/>
        </w:numPr>
        <w:adjustRightInd/>
        <w:snapToGrid/>
        <w:spacing w:before="280" w:after="290" w:line="377" w:lineRule="auto"/>
        <w:jc w:val="left"/>
        <w:outlineLvl w:val="3"/>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政策导向</w:t>
      </w:r>
    </w:p>
    <w:p>
      <w:pPr>
        <w:widowControl w:val="0"/>
        <w:shd w:val="clear" w:color="auto" w:fill="auto"/>
        <w:tabs>
          <w:tab w:val="clear" w:pos="426"/>
        </w:tabs>
        <w:adjustRightInd/>
        <w:snapToGrid/>
        <w:spacing w:beforeLines="50" w:line="300" w:lineRule="auto"/>
        <w:ind w:firstLine="420" w:firstLineChars="200"/>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1.按照《国务院办公厅关于建立政府强制采购节能产品制度的通知》（国办发〔2007〕51号）、《财政部、环保总局关于环境标志产品政府采购实施的意见》（财库[2006]90号）、《关于调整优化节能产品、环境标志产品政府采购执行机制的通知》（财库〔2019〕9号）、《中共深圳市委、深圳市人民政府关于全面推进循环经济发展的决定》（深发〔2006〕9号）等的要求，以下产品列入政府优先采购清单，我市政府采购组织实施中，在技术、服务等指标满足采购需求的前提下，优先采购以下清单范围内产品：</w:t>
      </w:r>
    </w:p>
    <w:p>
      <w:pPr>
        <w:widowControl w:val="0"/>
        <w:shd w:val="clear" w:color="auto" w:fill="auto"/>
        <w:tabs>
          <w:tab w:val="clear" w:pos="426"/>
        </w:tabs>
        <w:adjustRightInd/>
        <w:snapToGrid/>
        <w:spacing w:beforeLines="50" w:line="300" w:lineRule="auto"/>
        <w:ind w:firstLine="420" w:firstLineChars="200"/>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属于政府采购节能产品、环境标志产品实施品目清单的产品，详见中国政府采购网（</w:t>
      </w:r>
      <w:r>
        <w:rPr>
          <w:color w:val="000000" w:themeColor="text1"/>
          <w:kern w:val="2"/>
          <w:highlight w:val="none"/>
          <w14:textFill>
            <w14:solidFill>
              <w14:schemeClr w14:val="tx1"/>
            </w14:solidFill>
          </w14:textFill>
        </w:rPr>
        <w:t>http://www.ccgp.gov.cn/）。</w:t>
      </w:r>
    </w:p>
    <w:p>
      <w:pPr>
        <w:widowControl w:val="0"/>
        <w:shd w:val="clear" w:color="auto" w:fill="auto"/>
        <w:tabs>
          <w:tab w:val="clear" w:pos="426"/>
        </w:tabs>
        <w:adjustRightInd/>
        <w:snapToGrid/>
        <w:spacing w:beforeLines="50" w:line="300" w:lineRule="auto"/>
        <w:ind w:firstLine="420" w:firstLineChars="200"/>
        <w:rPr>
          <w:color w:val="000000" w:themeColor="text1"/>
          <w:kern w:val="2"/>
          <w:highlight w:val="none"/>
          <w14:textFill>
            <w14:solidFill>
              <w14:schemeClr w14:val="tx1"/>
            </w14:solidFill>
          </w14:textFill>
        </w:rPr>
      </w:pPr>
      <w:r>
        <w:rPr>
          <w:rFonts w:hint="eastAsia"/>
          <w:color w:val="000000" w:themeColor="text1"/>
          <w:kern w:val="2"/>
          <w:highlight w:val="none"/>
          <w14:textFill>
            <w14:solidFill>
              <w14:schemeClr w14:val="tx1"/>
            </w14:solidFill>
          </w14:textFill>
        </w:rPr>
        <w:t>进入以上清单范围的投标产品将在评标时获得竞争优势。</w:t>
      </w:r>
    </w:p>
    <w:p>
      <w:pPr>
        <w:widowControl w:val="0"/>
        <w:shd w:val="clear" w:color="auto" w:fill="auto"/>
        <w:tabs>
          <w:tab w:val="clear" w:pos="426"/>
        </w:tabs>
        <w:adjustRightInd/>
        <w:snapToGrid/>
        <w:spacing w:beforeLines="50" w:line="300" w:lineRule="auto"/>
        <w:ind w:firstLine="420" w:firstLineChars="200"/>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2.2014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pPr>
        <w:widowControl w:val="0"/>
        <w:shd w:val="clear" w:color="auto" w:fill="auto"/>
        <w:tabs>
          <w:tab w:val="clear" w:pos="426"/>
        </w:tabs>
        <w:adjustRightInd/>
        <w:snapToGrid/>
        <w:spacing w:beforeLines="50" w:line="300" w:lineRule="auto"/>
        <w:ind w:firstLine="420" w:firstLineChars="200"/>
        <w:rPr>
          <w:color w:val="000000" w:themeColor="text1"/>
          <w:kern w:val="2"/>
          <w:highlight w:val="none"/>
          <w14:textFill>
            <w14:solidFill>
              <w14:schemeClr w14:val="tx1"/>
            </w14:solidFill>
          </w14:textFill>
        </w:rPr>
      </w:pPr>
      <w:r>
        <w:rPr>
          <w:color w:val="000000" w:themeColor="text1"/>
          <w:kern w:val="2"/>
          <w:highlight w:val="none"/>
          <w14:textFill>
            <w14:solidFill>
              <w14:schemeClr w14:val="tx1"/>
            </w14:solidFill>
          </w14:textFill>
        </w:rPr>
        <w:t>3.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pPr>
        <w:widowControl w:val="0"/>
        <w:shd w:val="clear" w:color="auto" w:fill="auto"/>
        <w:tabs>
          <w:tab w:val="clear" w:pos="426"/>
        </w:tabs>
        <w:adjustRightInd/>
        <w:snapToGrid/>
        <w:spacing w:beforeLines="50" w:line="300" w:lineRule="auto"/>
        <w:ind w:firstLine="420" w:firstLineChars="200"/>
        <w:rPr>
          <w:color w:val="000000" w:themeColor="text1"/>
          <w:kern w:val="2"/>
          <w:highlight w:val="none"/>
          <w14:textFill>
            <w14:solidFill>
              <w14:schemeClr w14:val="tx1"/>
            </w14:solidFill>
          </w14:textFill>
        </w:rPr>
      </w:pPr>
    </w:p>
    <w:p>
      <w:pPr>
        <w:widowControl w:val="0"/>
        <w:shd w:val="clear" w:color="auto" w:fill="auto"/>
        <w:tabs>
          <w:tab w:val="clear" w:pos="426"/>
        </w:tabs>
        <w:adjustRightInd/>
        <w:snapToGrid/>
        <w:spacing w:beforeLines="50" w:line="300" w:lineRule="auto"/>
        <w:ind w:firstLine="420" w:firstLineChars="200"/>
        <w:rPr>
          <w:color w:val="000000" w:themeColor="text1"/>
          <w:kern w:val="2"/>
          <w:highlight w:val="none"/>
          <w14:textFill>
            <w14:solidFill>
              <w14:schemeClr w14:val="tx1"/>
            </w14:solidFill>
          </w14:textFill>
        </w:rPr>
      </w:pPr>
    </w:p>
    <w:p>
      <w:pPr>
        <w:pStyle w:val="33"/>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44" w:name="_Toc32208"/>
      <w:bookmarkStart w:id="45" w:name="_Toc3628661"/>
      <w:r>
        <w:rPr>
          <w:rFonts w:hint="eastAsia"/>
          <w:color w:val="000000" w:themeColor="text1"/>
          <w:highlight w:val="none"/>
          <w14:textFill>
            <w14:solidFill>
              <w14:schemeClr w14:val="tx1"/>
            </w14:solidFill>
          </w14:textFill>
        </w:rPr>
        <w:t>第四章</w:t>
      </w:r>
      <w:bookmarkEnd w:id="41"/>
      <w:bookmarkEnd w:id="42"/>
      <w:r>
        <w:rPr>
          <w:rFonts w:hint="eastAsia"/>
          <w:color w:val="000000" w:themeColor="text1"/>
          <w:highlight w:val="none"/>
          <w14:textFill>
            <w14:solidFill>
              <w14:schemeClr w14:val="tx1"/>
            </w14:solidFill>
          </w14:textFill>
        </w:rPr>
        <w:t xml:space="preserve"> 政府采购合同的签订、履约及验收</w:t>
      </w:r>
      <w:bookmarkEnd w:id="44"/>
      <w:bookmarkEnd w:id="45"/>
    </w:p>
    <w:p>
      <w:pPr>
        <w:tabs>
          <w:tab w:val="clear" w:pos="426"/>
        </w:tabs>
        <w:jc w:val="center"/>
        <w:rPr>
          <w:b/>
          <w:color w:val="000000" w:themeColor="text1"/>
          <w:sz w:val="24"/>
          <w:highlight w:val="none"/>
          <w14:textFill>
            <w14:solidFill>
              <w14:schemeClr w14:val="tx1"/>
            </w14:solidFill>
          </w14:textFill>
        </w:rPr>
      </w:pPr>
      <w:bookmarkStart w:id="46" w:name="_Toc398220526"/>
      <w:bookmarkStart w:id="47" w:name="_Toc432592818"/>
      <w:r>
        <w:rPr>
          <w:rFonts w:hint="eastAsia"/>
          <w:b/>
          <w:color w:val="000000" w:themeColor="text1"/>
          <w:sz w:val="24"/>
          <w:highlight w:val="none"/>
          <w14:textFill>
            <w14:solidFill>
              <w14:schemeClr w14:val="tx1"/>
            </w14:solidFill>
          </w14:textFill>
        </w:rPr>
        <w:t>一、重要提示</w:t>
      </w: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（一）</w:t>
      </w:r>
      <w:r>
        <w:rPr>
          <w:rFonts w:cs="Times New Roman"/>
          <w:color w:val="000000" w:themeColor="text1"/>
          <w:kern w:val="2"/>
          <w:szCs w:val="21"/>
          <w:highlight w:val="none"/>
          <w14:textFill>
            <w14:solidFill>
              <w14:schemeClr w14:val="tx1"/>
            </w14:solidFill>
          </w14:textFill>
        </w:rPr>
        <w:t xml:space="preserve"> 中标人将于中标通知书发出之日起十个工作日内，按照招标文件和投标文件内容与采购单位签订书面合同，合同书应采用本招标文件规定的合同样本；</w:t>
      </w: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（二）</w:t>
      </w:r>
      <w:r>
        <w:rPr>
          <w:rFonts w:cs="Times New Roman"/>
          <w:color w:val="000000" w:themeColor="text1"/>
          <w:kern w:val="2"/>
          <w:szCs w:val="21"/>
          <w:highlight w:val="none"/>
          <w14:textFill>
            <w14:solidFill>
              <w14:schemeClr w14:val="tx1"/>
            </w14:solidFill>
          </w14:textFill>
        </w:rPr>
        <w:t xml:space="preserve"> 中标人应当按照合同约定履行义务，完成中标项目，不得将中标项目转让（转包）给他人；</w:t>
      </w: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（三）</w:t>
      </w:r>
      <w:r>
        <w:rPr>
          <w:rFonts w:cs="Times New Roman"/>
          <w:color w:val="000000" w:themeColor="text1"/>
          <w:kern w:val="2"/>
          <w:szCs w:val="21"/>
          <w:highlight w:val="none"/>
          <w14:textFill>
            <w14:solidFill>
              <w14:schemeClr w14:val="tx1"/>
            </w14:solidFill>
          </w14:textFill>
        </w:rPr>
        <w:t xml:space="preserve"> 采购人与中标人签订的合同必须遵守本招标文件的合同条件，并且不得更改合同条件。</w:t>
      </w: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（四）</w:t>
      </w:r>
      <w:r>
        <w:rPr>
          <w:rFonts w:cs="Times New Roman"/>
          <w:color w:val="000000" w:themeColor="text1"/>
          <w:kern w:val="2"/>
          <w:szCs w:val="21"/>
          <w:highlight w:val="none"/>
          <w14:textFill>
            <w14:solidFill>
              <w14:schemeClr w14:val="tx1"/>
            </w14:solidFill>
          </w14:textFill>
        </w:rPr>
        <w:t xml:space="preserve"> 采购人与中标人应于合同签订之日起10日内，由采购人或委托中标人将采购合同副本抄送政府集中采购机构备案。</w:t>
      </w: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（五）</w:t>
      </w:r>
      <w:r>
        <w:rPr>
          <w:rFonts w:cs="Times New Roman"/>
          <w:color w:val="000000" w:themeColor="text1"/>
          <w:kern w:val="2"/>
          <w:szCs w:val="21"/>
          <w:highlight w:val="none"/>
          <w14:textFill>
            <w14:solidFill>
              <w14:schemeClr w14:val="tx1"/>
            </w14:solidFill>
          </w14:textFill>
        </w:rPr>
        <w:t xml:space="preserve"> 《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r>
        <w:rPr>
          <w:rFonts w:cs="Times New Roman"/>
          <w:color w:val="000000" w:themeColor="text1"/>
          <w:kern w:val="2"/>
          <w:szCs w:val="21"/>
          <w:highlight w:val="none"/>
          <w14:textFill>
            <w14:solidFill>
              <w14:schemeClr w14:val="tx1"/>
            </w14:solidFill>
          </w14:textFill>
        </w:rPr>
        <w:t>1.在采购活动中应当回避而未回避的；</w:t>
      </w:r>
    </w:p>
    <w:p>
      <w:pPr>
        <w:widowControl w:val="0"/>
        <w:shd w:val="clear" w:color="auto" w:fill="auto"/>
        <w:tabs>
          <w:tab w:val="clear" w:pos="426"/>
        </w:tabs>
        <w:adjustRightInd/>
        <w:snapToGrid/>
        <w:spacing w:line="240" w:lineRule="auto"/>
        <w:ind w:firstLine="422" w:firstLineChars="200"/>
        <w:rPr>
          <w:rFonts w:cs="Times New Roman"/>
          <w:b/>
          <w:color w:val="000000" w:themeColor="text1"/>
          <w:kern w:val="2"/>
          <w:szCs w:val="21"/>
          <w:highlight w:val="none"/>
          <w14:textFill>
            <w14:solidFill>
              <w14:schemeClr w14:val="tx1"/>
            </w14:solidFill>
          </w14:textFill>
        </w:rPr>
      </w:pPr>
      <w:r>
        <w:rPr>
          <w:rFonts w:cs="Times New Roman"/>
          <w:b/>
          <w:color w:val="000000" w:themeColor="text1"/>
          <w:kern w:val="2"/>
          <w:szCs w:val="21"/>
          <w:highlight w:val="none"/>
          <w14:textFill>
            <w14:solidFill>
              <w14:schemeClr w14:val="tx1"/>
            </w14:solidFill>
          </w14:textFill>
        </w:rPr>
        <w:t>2.未按本条例规定签订、履行采购合同，造成严重后果的；</w:t>
      </w: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r>
        <w:rPr>
          <w:rFonts w:cs="Times New Roman"/>
          <w:color w:val="000000" w:themeColor="text1"/>
          <w:kern w:val="2"/>
          <w:szCs w:val="21"/>
          <w:highlight w:val="none"/>
          <w14:textFill>
            <w14:solidFill>
              <w14:schemeClr w14:val="tx1"/>
            </w14:solidFill>
          </w14:textFill>
        </w:rPr>
        <w:t>3.隐瞒真实情况，提供虚假资料的；</w:t>
      </w: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r>
        <w:rPr>
          <w:rFonts w:cs="Times New Roman"/>
          <w:color w:val="000000" w:themeColor="text1"/>
          <w:kern w:val="2"/>
          <w:szCs w:val="21"/>
          <w:highlight w:val="none"/>
          <w14:textFill>
            <w14:solidFill>
              <w14:schemeClr w14:val="tx1"/>
            </w14:solidFill>
          </w14:textFill>
        </w:rPr>
        <w:t>4.以非法手段排斥其他供应商参与竞争的；</w:t>
      </w: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r>
        <w:rPr>
          <w:rFonts w:cs="Times New Roman"/>
          <w:color w:val="000000" w:themeColor="text1"/>
          <w:kern w:val="2"/>
          <w:szCs w:val="21"/>
          <w:highlight w:val="none"/>
          <w14:textFill>
            <w14:solidFill>
              <w14:schemeClr w14:val="tx1"/>
            </w14:solidFill>
          </w14:textFill>
        </w:rPr>
        <w:t>5.与其他采购参加人串通投标的；</w:t>
      </w: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r>
        <w:rPr>
          <w:rFonts w:cs="Times New Roman"/>
          <w:color w:val="000000" w:themeColor="text1"/>
          <w:kern w:val="2"/>
          <w:szCs w:val="21"/>
          <w:highlight w:val="none"/>
          <w14:textFill>
            <w14:solidFill>
              <w14:schemeClr w14:val="tx1"/>
            </w14:solidFill>
          </w14:textFill>
        </w:rPr>
        <w:t>6.恶意投诉的；</w:t>
      </w: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r>
        <w:rPr>
          <w:rFonts w:cs="Times New Roman"/>
          <w:color w:val="000000" w:themeColor="text1"/>
          <w:kern w:val="2"/>
          <w:szCs w:val="21"/>
          <w:highlight w:val="none"/>
          <w14:textFill>
            <w14:solidFill>
              <w14:schemeClr w14:val="tx1"/>
            </w14:solidFill>
          </w14:textFill>
        </w:rPr>
        <w:t>7.向采购项目相关人行贿或者提供其他不当利益的；</w:t>
      </w: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r>
        <w:rPr>
          <w:rFonts w:cs="Times New Roman"/>
          <w:color w:val="000000" w:themeColor="text1"/>
          <w:kern w:val="2"/>
          <w:szCs w:val="21"/>
          <w:highlight w:val="none"/>
          <w14:textFill>
            <w14:solidFill>
              <w14:schemeClr w14:val="tx1"/>
            </w14:solidFill>
          </w14:textFill>
        </w:rPr>
        <w:t>8.阻碍、抗拒主管部门监督检查的；</w:t>
      </w: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r>
        <w:rPr>
          <w:rFonts w:cs="Times New Roman"/>
          <w:color w:val="000000" w:themeColor="text1"/>
          <w:kern w:val="2"/>
          <w:szCs w:val="21"/>
          <w:highlight w:val="none"/>
          <w14:textFill>
            <w14:solidFill>
              <w14:schemeClr w14:val="tx1"/>
            </w14:solidFill>
          </w14:textFill>
        </w:rPr>
        <w:t>9.其他违反本条例规定的行为。</w:t>
      </w: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（六）</w:t>
      </w:r>
      <w:r>
        <w:rPr>
          <w:rFonts w:cs="Times New Roman"/>
          <w:color w:val="000000" w:themeColor="text1"/>
          <w:kern w:val="2"/>
          <w:szCs w:val="21"/>
          <w:highlight w:val="none"/>
          <w14:textFill>
            <w14:solidFill>
              <w14:schemeClr w14:val="tx1"/>
            </w14:solidFill>
          </w14:textFill>
        </w:rPr>
        <w:t xml:space="preserve"> 供应商必须诚信投标，对项目需求进行实质性响应。采购单位（或深圳市政府采购中心）将组织聘请第三方专业机构（必要时，邀请参加本项目投标的供应商）实施项目履约验收，如未按合同履约，将按上述第（五）条规定进行处理。</w:t>
      </w: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p>
    <w:p>
      <w:pPr>
        <w:widowControl w:val="0"/>
        <w:shd w:val="clear" w:color="auto" w:fill="auto"/>
        <w:tabs>
          <w:tab w:val="clear" w:pos="426"/>
        </w:tabs>
        <w:adjustRightInd/>
        <w:snapToGrid/>
        <w:spacing w:line="240" w:lineRule="auto"/>
        <w:ind w:firstLine="420" w:firstLineChars="200"/>
        <w:rPr>
          <w:rFonts w:cs="Times New Roman"/>
          <w:color w:val="000000" w:themeColor="text1"/>
          <w:kern w:val="2"/>
          <w:szCs w:val="21"/>
          <w:highlight w:val="none"/>
          <w14:textFill>
            <w14:solidFill>
              <w14:schemeClr w14:val="tx1"/>
            </w14:solidFill>
          </w14:textFill>
        </w:rPr>
      </w:pPr>
    </w:p>
    <w:p>
      <w:pPr>
        <w:shd w:val="clear" w:color="auto" w:fill="auto"/>
        <w:tabs>
          <w:tab w:val="clear" w:pos="426"/>
        </w:tabs>
        <w:adjustRightInd/>
        <w:snapToGrid/>
        <w:spacing w:line="240" w:lineRule="auto"/>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tabs>
          <w:tab w:val="clear" w:pos="426"/>
        </w:tabs>
        <w:jc w:val="center"/>
        <w:rPr>
          <w:b/>
          <w:color w:val="000000" w:themeColor="text1"/>
          <w:sz w:val="24"/>
          <w:highlight w:val="none"/>
          <w14:textFill>
            <w14:solidFill>
              <w14:schemeClr w14:val="tx1"/>
            </w14:solidFill>
          </w14:textFill>
        </w:rPr>
      </w:pPr>
    </w:p>
    <w:p>
      <w:pPr>
        <w:tabs>
          <w:tab w:val="clear" w:pos="426"/>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二、合同条款及格式</w:t>
      </w:r>
    </w:p>
    <w:p>
      <w:pPr>
        <w:jc w:val="center"/>
        <w:rPr>
          <w:rFonts w:ascii="仿宋" w:hAnsi="仿宋" w:eastAsia="仿宋" w:cstheme="minorEastAsia"/>
          <w:b/>
          <w:color w:val="000000" w:themeColor="text1"/>
          <w:sz w:val="36"/>
          <w:szCs w:val="36"/>
          <w:highlight w:val="none"/>
          <w14:textFill>
            <w14:solidFill>
              <w14:schemeClr w14:val="tx1"/>
            </w14:solidFill>
          </w14:textFill>
        </w:rPr>
      </w:pPr>
      <w:r>
        <w:rPr>
          <w:rFonts w:hint="eastAsia" w:ascii="仿宋" w:hAnsi="仿宋" w:eastAsia="仿宋" w:cstheme="minorEastAsia"/>
          <w:b/>
          <w:color w:val="000000" w:themeColor="text1"/>
          <w:sz w:val="36"/>
          <w:szCs w:val="36"/>
          <w:highlight w:val="none"/>
          <w14:textFill>
            <w14:solidFill>
              <w14:schemeClr w14:val="tx1"/>
            </w14:solidFill>
          </w14:textFill>
        </w:rPr>
        <w:t>医用设备购销合同</w:t>
      </w:r>
    </w:p>
    <w:p>
      <w:pPr>
        <w:spacing w:line="336" w:lineRule="auto"/>
        <w:rPr>
          <w:rFonts w:ascii="仿宋" w:hAnsi="仿宋" w:eastAsia="仿宋" w:cstheme="minorEastAsia"/>
          <w:color w:val="000000" w:themeColor="text1"/>
          <w:spacing w:val="30"/>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甲方（采购人）：</w:t>
      </w:r>
    </w:p>
    <w:p>
      <w:pPr>
        <w:spacing w:line="336" w:lineRule="auto"/>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法定代表人：</w:t>
      </w:r>
    </w:p>
    <w:p>
      <w:pPr>
        <w:spacing w:line="336" w:lineRule="auto"/>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地址：</w:t>
      </w:r>
    </w:p>
    <w:p>
      <w:pPr>
        <w:spacing w:line="336" w:lineRule="auto"/>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电话：</w:t>
      </w:r>
    </w:p>
    <w:p>
      <w:pPr>
        <w:spacing w:line="336" w:lineRule="auto"/>
        <w:rPr>
          <w:rFonts w:ascii="仿宋" w:hAnsi="仿宋" w:eastAsia="仿宋" w:cstheme="minorEastAsia"/>
          <w:color w:val="000000" w:themeColor="text1"/>
          <w:sz w:val="24"/>
          <w:highlight w:val="none"/>
          <w14:textFill>
            <w14:solidFill>
              <w14:schemeClr w14:val="tx1"/>
            </w14:solidFill>
          </w14:textFill>
        </w:rPr>
      </w:pPr>
    </w:p>
    <w:p>
      <w:pPr>
        <w:spacing w:line="336" w:lineRule="auto"/>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乙方（供应商）：</w:t>
      </w:r>
    </w:p>
    <w:p>
      <w:pPr>
        <w:spacing w:line="336" w:lineRule="auto"/>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法定代表人：</w:t>
      </w:r>
    </w:p>
    <w:p>
      <w:pPr>
        <w:spacing w:line="336" w:lineRule="auto"/>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地址：</w:t>
      </w:r>
    </w:p>
    <w:p>
      <w:pPr>
        <w:spacing w:line="336" w:lineRule="auto"/>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电话：</w:t>
      </w:r>
    </w:p>
    <w:p>
      <w:pPr>
        <w:spacing w:line="336" w:lineRule="auto"/>
        <w:ind w:firstLine="480" w:firstLineChars="200"/>
        <w:rPr>
          <w:rFonts w:ascii="仿宋" w:hAnsi="仿宋" w:eastAsia="仿宋" w:cstheme="minorEastAsia"/>
          <w:color w:val="000000" w:themeColor="text1"/>
          <w:sz w:val="24"/>
          <w:highlight w:val="none"/>
          <w14:textFill>
            <w14:solidFill>
              <w14:schemeClr w14:val="tx1"/>
            </w14:solidFill>
          </w14:textFill>
        </w:rPr>
      </w:pPr>
    </w:p>
    <w:p>
      <w:pPr>
        <w:spacing w:line="336" w:lineRule="auto"/>
        <w:ind w:firstLine="480" w:firstLineChars="20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供需双方根据20</w:t>
      </w:r>
      <w:r>
        <w:rPr>
          <w:rFonts w:ascii="仿宋" w:hAnsi="仿宋" w:eastAsia="仿宋"/>
          <w:color w:val="000000" w:themeColor="text1"/>
          <w:sz w:val="24"/>
          <w:highlight w:val="none"/>
          <w14:textFill>
            <w14:solidFill>
              <w14:schemeClr w14:val="tx1"/>
            </w14:solidFill>
          </w14:textFill>
        </w:rPr>
        <w:t>××</w:t>
      </w:r>
      <w:r>
        <w:rPr>
          <w:rFonts w:hint="eastAsia" w:ascii="仿宋" w:hAnsi="仿宋" w:eastAsia="仿宋" w:cstheme="minorEastAsia"/>
          <w:color w:val="000000" w:themeColor="text1"/>
          <w:sz w:val="24"/>
          <w:highlight w:val="none"/>
          <w14:textFill>
            <w14:solidFill>
              <w14:schemeClr w14:val="tx1"/>
            </w14:solidFill>
          </w14:textFill>
        </w:rPr>
        <w:t>年</w:t>
      </w:r>
      <w:r>
        <w:rPr>
          <w:rFonts w:ascii="仿宋" w:hAnsi="仿宋" w:eastAsia="仿宋"/>
          <w:color w:val="000000" w:themeColor="text1"/>
          <w:sz w:val="24"/>
          <w:highlight w:val="none"/>
          <w14:textFill>
            <w14:solidFill>
              <w14:schemeClr w14:val="tx1"/>
            </w14:solidFill>
          </w14:textFill>
        </w:rPr>
        <w:t>××</w:t>
      </w:r>
      <w:r>
        <w:rPr>
          <w:rFonts w:hint="eastAsia" w:ascii="仿宋" w:hAnsi="仿宋" w:eastAsia="仿宋" w:cstheme="minorEastAsia"/>
          <w:color w:val="000000" w:themeColor="text1"/>
          <w:sz w:val="24"/>
          <w:highlight w:val="none"/>
          <w14:textFill>
            <w14:solidFill>
              <w14:schemeClr w14:val="tx1"/>
            </w14:solidFill>
          </w14:textFill>
        </w:rPr>
        <w:t>月</w:t>
      </w:r>
      <w:r>
        <w:rPr>
          <w:rFonts w:ascii="仿宋" w:hAnsi="仿宋" w:eastAsia="仿宋"/>
          <w:color w:val="000000" w:themeColor="text1"/>
          <w:sz w:val="24"/>
          <w:highlight w:val="none"/>
          <w14:textFill>
            <w14:solidFill>
              <w14:schemeClr w14:val="tx1"/>
            </w14:solidFill>
          </w14:textFill>
        </w:rPr>
        <w:t>××</w:t>
      </w:r>
      <w:r>
        <w:rPr>
          <w:rFonts w:hint="eastAsia" w:ascii="仿宋" w:hAnsi="仿宋" w:eastAsia="仿宋" w:cstheme="minorEastAsia"/>
          <w:color w:val="000000" w:themeColor="text1"/>
          <w:sz w:val="24"/>
          <w:highlight w:val="none"/>
          <w14:textFill>
            <w14:solidFill>
              <w14:schemeClr w14:val="tx1"/>
            </w14:solidFill>
          </w14:textFill>
        </w:rPr>
        <w:t>日（项目编号</w:t>
      </w:r>
      <w:r>
        <w:rPr>
          <w:rFonts w:hint="eastAsia" w:ascii="仿宋" w:hAnsi="仿宋" w:eastAsia="仿宋" w:cstheme="minorEastAsia"/>
          <w:bCs/>
          <w:color w:val="000000" w:themeColor="text1"/>
          <w:sz w:val="24"/>
          <w:highlight w:val="none"/>
          <w14:textFill>
            <w14:solidFill>
              <w14:schemeClr w14:val="tx1"/>
            </w14:solidFill>
          </w14:textFill>
        </w:rPr>
        <w:t>：</w:t>
      </w:r>
      <w:r>
        <w:rPr>
          <w:rFonts w:ascii="仿宋" w:hAnsi="仿宋" w:eastAsia="仿宋" w:cstheme="minorEastAsia"/>
          <w:color w:val="000000" w:themeColor="text1"/>
          <w:sz w:val="24"/>
          <w:highlight w:val="none"/>
          <w:u w:val="single"/>
          <w14:textFill>
            <w14:solidFill>
              <w14:schemeClr w14:val="tx1"/>
            </w14:solidFill>
          </w14:textFill>
        </w:rPr>
        <w:t xml:space="preserve">             </w:t>
      </w:r>
      <w:r>
        <w:rPr>
          <w:rFonts w:hint="eastAsia" w:ascii="仿宋" w:hAnsi="仿宋" w:eastAsia="仿宋" w:cstheme="minorEastAsia"/>
          <w:color w:val="000000" w:themeColor="text1"/>
          <w:sz w:val="24"/>
          <w:highlight w:val="none"/>
          <w14:textFill>
            <w14:solidFill>
              <w14:schemeClr w14:val="tx1"/>
            </w14:solidFill>
          </w14:textFill>
        </w:rPr>
        <w:t>）招标的结果和“招标文件”的要求，并经双方协调一致，达成本购销合同：</w:t>
      </w:r>
    </w:p>
    <w:p>
      <w:pPr>
        <w:spacing w:line="336" w:lineRule="auto"/>
        <w:ind w:firstLine="560"/>
        <w:jc w:val="left"/>
        <w:outlineLvl w:val="3"/>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第一条  合同标的及价款</w:t>
      </w:r>
    </w:p>
    <w:tbl>
      <w:tblPr>
        <w:tblStyle w:val="44"/>
        <w:tblW w:w="10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93"/>
        <w:gridCol w:w="1417"/>
        <w:gridCol w:w="1442"/>
        <w:gridCol w:w="709"/>
        <w:gridCol w:w="709"/>
        <w:gridCol w:w="15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709" w:type="dxa"/>
            <w:vAlign w:val="center"/>
          </w:tcPr>
          <w:p>
            <w:pPr>
              <w:spacing w:line="360" w:lineRule="exact"/>
              <w:jc w:val="center"/>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序号</w:t>
            </w:r>
          </w:p>
        </w:tc>
        <w:tc>
          <w:tcPr>
            <w:tcW w:w="1993" w:type="dxa"/>
            <w:vAlign w:val="center"/>
          </w:tcPr>
          <w:p>
            <w:pPr>
              <w:spacing w:line="360" w:lineRule="exact"/>
              <w:jc w:val="center"/>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设备名称</w:t>
            </w:r>
          </w:p>
        </w:tc>
        <w:tc>
          <w:tcPr>
            <w:tcW w:w="1417" w:type="dxa"/>
            <w:vAlign w:val="center"/>
          </w:tcPr>
          <w:p>
            <w:pPr>
              <w:spacing w:line="360" w:lineRule="exact"/>
              <w:jc w:val="center"/>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规格型号</w:t>
            </w:r>
          </w:p>
        </w:tc>
        <w:tc>
          <w:tcPr>
            <w:tcW w:w="1442" w:type="dxa"/>
            <w:vAlign w:val="center"/>
          </w:tcPr>
          <w:p>
            <w:pPr>
              <w:spacing w:line="360" w:lineRule="exact"/>
              <w:jc w:val="center"/>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产地/品牌</w:t>
            </w:r>
          </w:p>
        </w:tc>
        <w:tc>
          <w:tcPr>
            <w:tcW w:w="709" w:type="dxa"/>
            <w:vAlign w:val="center"/>
          </w:tcPr>
          <w:p>
            <w:pPr>
              <w:jc w:val="center"/>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单位</w:t>
            </w:r>
          </w:p>
        </w:tc>
        <w:tc>
          <w:tcPr>
            <w:tcW w:w="709" w:type="dxa"/>
            <w:vAlign w:val="center"/>
          </w:tcPr>
          <w:p>
            <w:pPr>
              <w:jc w:val="center"/>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数量</w:t>
            </w:r>
          </w:p>
        </w:tc>
        <w:tc>
          <w:tcPr>
            <w:tcW w:w="1534" w:type="dxa"/>
            <w:vAlign w:val="center"/>
          </w:tcPr>
          <w:p>
            <w:pPr>
              <w:spacing w:line="360" w:lineRule="exact"/>
              <w:jc w:val="center"/>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单价（元）</w:t>
            </w:r>
          </w:p>
        </w:tc>
        <w:tc>
          <w:tcPr>
            <w:tcW w:w="1662" w:type="dxa"/>
            <w:vAlign w:val="center"/>
          </w:tcPr>
          <w:p>
            <w:pPr>
              <w:spacing w:line="360" w:lineRule="exact"/>
              <w:jc w:val="center"/>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总额（元）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09" w:type="dxa"/>
            <w:vAlign w:val="center"/>
          </w:tcPr>
          <w:p>
            <w:pPr>
              <w:spacing w:line="360" w:lineRule="exact"/>
              <w:jc w:val="center"/>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1</w:t>
            </w:r>
          </w:p>
        </w:tc>
        <w:tc>
          <w:tcPr>
            <w:tcW w:w="1993" w:type="dxa"/>
            <w:vAlign w:val="center"/>
          </w:tcPr>
          <w:p>
            <w:pPr>
              <w:jc w:val="center"/>
              <w:rPr>
                <w:rFonts w:ascii="仿宋" w:hAnsi="仿宋" w:eastAsia="仿宋"/>
                <w:color w:val="000000" w:themeColor="text1"/>
                <w:sz w:val="24"/>
                <w:highlight w:val="none"/>
                <w14:textFill>
                  <w14:solidFill>
                    <w14:schemeClr w14:val="tx1"/>
                  </w14:solidFill>
                </w14:textFill>
              </w:rPr>
            </w:pPr>
          </w:p>
        </w:tc>
        <w:tc>
          <w:tcPr>
            <w:tcW w:w="1417" w:type="dxa"/>
            <w:vAlign w:val="center"/>
          </w:tcPr>
          <w:p>
            <w:pPr>
              <w:jc w:val="center"/>
              <w:rPr>
                <w:rFonts w:ascii="仿宋" w:hAnsi="仿宋" w:eastAsia="仿宋"/>
                <w:color w:val="000000" w:themeColor="text1"/>
                <w:sz w:val="24"/>
                <w:highlight w:val="none"/>
                <w14:textFill>
                  <w14:solidFill>
                    <w14:schemeClr w14:val="tx1"/>
                  </w14:solidFill>
                </w14:textFill>
              </w:rPr>
            </w:pPr>
          </w:p>
        </w:tc>
        <w:tc>
          <w:tcPr>
            <w:tcW w:w="1442" w:type="dxa"/>
            <w:vAlign w:val="center"/>
          </w:tcPr>
          <w:p>
            <w:pPr>
              <w:rPr>
                <w:rFonts w:ascii="仿宋" w:hAnsi="仿宋" w:eastAsia="仿宋"/>
                <w:color w:val="000000" w:themeColor="text1"/>
                <w:sz w:val="24"/>
                <w:highlight w:val="none"/>
                <w14:textFill>
                  <w14:solidFill>
                    <w14:schemeClr w14:val="tx1"/>
                  </w14:solidFill>
                </w14:textFill>
              </w:rPr>
            </w:pPr>
          </w:p>
        </w:tc>
        <w:tc>
          <w:tcPr>
            <w:tcW w:w="709" w:type="dxa"/>
            <w:vAlign w:val="center"/>
          </w:tcPr>
          <w:p>
            <w:pPr>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套</w:t>
            </w:r>
          </w:p>
        </w:tc>
        <w:tc>
          <w:tcPr>
            <w:tcW w:w="709" w:type="dxa"/>
            <w:vAlign w:val="center"/>
          </w:tcPr>
          <w:p>
            <w:pPr>
              <w:jc w:val="center"/>
              <w:rPr>
                <w:rFonts w:ascii="仿宋" w:hAnsi="仿宋" w:eastAsia="仿宋"/>
                <w:color w:val="000000" w:themeColor="text1"/>
                <w:sz w:val="24"/>
                <w:highlight w:val="none"/>
                <w14:textFill>
                  <w14:solidFill>
                    <w14:schemeClr w14:val="tx1"/>
                  </w14:solidFill>
                </w14:textFill>
              </w:rPr>
            </w:pPr>
          </w:p>
        </w:tc>
        <w:tc>
          <w:tcPr>
            <w:tcW w:w="1534" w:type="dxa"/>
            <w:vAlign w:val="center"/>
          </w:tcPr>
          <w:p>
            <w:pPr>
              <w:jc w:val="center"/>
              <w:rPr>
                <w:rFonts w:ascii="仿宋" w:hAnsi="仿宋" w:eastAsia="仿宋"/>
                <w:color w:val="000000" w:themeColor="text1"/>
                <w:sz w:val="24"/>
                <w:highlight w:val="none"/>
                <w14:textFill>
                  <w14:solidFill>
                    <w14:schemeClr w14:val="tx1"/>
                  </w14:solidFill>
                </w14:textFill>
              </w:rPr>
            </w:pPr>
          </w:p>
        </w:tc>
        <w:tc>
          <w:tcPr>
            <w:tcW w:w="1662" w:type="dxa"/>
            <w:vAlign w:val="center"/>
          </w:tcPr>
          <w:p>
            <w:pPr>
              <w:jc w:val="cente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09" w:type="dxa"/>
            <w:vAlign w:val="center"/>
          </w:tcPr>
          <w:p>
            <w:pPr>
              <w:spacing w:line="360" w:lineRule="exact"/>
              <w:jc w:val="center"/>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2</w:t>
            </w:r>
          </w:p>
        </w:tc>
        <w:tc>
          <w:tcPr>
            <w:tcW w:w="1993" w:type="dxa"/>
            <w:vAlign w:val="center"/>
          </w:tcPr>
          <w:p>
            <w:pPr>
              <w:spacing w:line="360" w:lineRule="exact"/>
              <w:jc w:val="center"/>
              <w:rPr>
                <w:rFonts w:ascii="仿宋" w:hAnsi="仿宋" w:eastAsia="仿宋"/>
                <w:snapToGrid w:val="0"/>
                <w:color w:val="000000" w:themeColor="text1"/>
                <w:sz w:val="24"/>
                <w:highlight w:val="none"/>
                <w14:textFill>
                  <w14:solidFill>
                    <w14:schemeClr w14:val="tx1"/>
                  </w14:solidFill>
                </w14:textFill>
              </w:rPr>
            </w:pPr>
          </w:p>
        </w:tc>
        <w:tc>
          <w:tcPr>
            <w:tcW w:w="1417" w:type="dxa"/>
            <w:vAlign w:val="center"/>
          </w:tcPr>
          <w:p>
            <w:pPr>
              <w:spacing w:line="460" w:lineRule="exact"/>
              <w:jc w:val="center"/>
              <w:rPr>
                <w:rFonts w:ascii="仿宋" w:hAnsi="仿宋" w:eastAsia="仿宋"/>
                <w:color w:val="000000" w:themeColor="text1"/>
                <w:sz w:val="24"/>
                <w:highlight w:val="none"/>
                <w14:textFill>
                  <w14:solidFill>
                    <w14:schemeClr w14:val="tx1"/>
                  </w14:solidFill>
                </w14:textFill>
              </w:rPr>
            </w:pPr>
          </w:p>
        </w:tc>
        <w:tc>
          <w:tcPr>
            <w:tcW w:w="1442" w:type="dxa"/>
            <w:vAlign w:val="center"/>
          </w:tcPr>
          <w:p>
            <w:pPr>
              <w:rPr>
                <w:rFonts w:ascii="仿宋" w:hAnsi="仿宋" w:eastAsia="仿宋"/>
                <w:snapToGrid w:val="0"/>
                <w:color w:val="000000" w:themeColor="text1"/>
                <w:sz w:val="24"/>
                <w:highlight w:val="none"/>
                <w14:textFill>
                  <w14:solidFill>
                    <w14:schemeClr w14:val="tx1"/>
                  </w14:solidFill>
                </w14:textFill>
              </w:rPr>
            </w:pPr>
          </w:p>
        </w:tc>
        <w:tc>
          <w:tcPr>
            <w:tcW w:w="709" w:type="dxa"/>
            <w:vAlign w:val="center"/>
          </w:tcPr>
          <w:p>
            <w:pPr>
              <w:jc w:val="center"/>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套</w:t>
            </w:r>
          </w:p>
        </w:tc>
        <w:tc>
          <w:tcPr>
            <w:tcW w:w="709" w:type="dxa"/>
            <w:vAlign w:val="center"/>
          </w:tcPr>
          <w:p>
            <w:pPr>
              <w:jc w:val="center"/>
              <w:rPr>
                <w:rFonts w:ascii="仿宋" w:hAnsi="仿宋" w:eastAsia="仿宋"/>
                <w:color w:val="000000" w:themeColor="text1"/>
                <w:sz w:val="24"/>
                <w:highlight w:val="none"/>
                <w14:textFill>
                  <w14:solidFill>
                    <w14:schemeClr w14:val="tx1"/>
                  </w14:solidFill>
                </w14:textFill>
              </w:rPr>
            </w:pPr>
          </w:p>
        </w:tc>
        <w:tc>
          <w:tcPr>
            <w:tcW w:w="1534" w:type="dxa"/>
            <w:vAlign w:val="center"/>
          </w:tcPr>
          <w:p>
            <w:pPr>
              <w:jc w:val="center"/>
              <w:rPr>
                <w:rFonts w:ascii="仿宋" w:hAnsi="仿宋" w:eastAsia="仿宋"/>
                <w:color w:val="000000" w:themeColor="text1"/>
                <w:sz w:val="24"/>
                <w:highlight w:val="none"/>
                <w14:textFill>
                  <w14:solidFill>
                    <w14:schemeClr w14:val="tx1"/>
                  </w14:solidFill>
                </w14:textFill>
              </w:rPr>
            </w:pPr>
          </w:p>
        </w:tc>
        <w:tc>
          <w:tcPr>
            <w:tcW w:w="1662" w:type="dxa"/>
            <w:vAlign w:val="center"/>
          </w:tcPr>
          <w:p>
            <w:pPr>
              <w:jc w:val="center"/>
              <w:rPr>
                <w:rFonts w:ascii="仿宋" w:hAnsi="仿宋" w:eastAsia="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0175" w:type="dxa"/>
            <w:gridSpan w:val="8"/>
            <w:vAlign w:val="center"/>
          </w:tcPr>
          <w:p>
            <w:pPr>
              <w:rPr>
                <w:rFonts w:ascii="仿宋" w:hAnsi="仿宋" w:eastAsia="仿宋"/>
                <w:snapToGrid w:val="0"/>
                <w:color w:val="000000" w:themeColor="text1"/>
                <w:sz w:val="24"/>
                <w:highlight w:val="none"/>
                <w14:textFill>
                  <w14:solidFill>
                    <w14:schemeClr w14:val="tx1"/>
                  </w14:solidFill>
                </w14:textFill>
              </w:rPr>
            </w:pPr>
            <w:r>
              <w:rPr>
                <w:rFonts w:hint="eastAsia" w:ascii="仿宋" w:hAnsi="仿宋" w:eastAsia="仿宋" w:cstheme="minorEastAsia"/>
                <w:bCs/>
                <w:color w:val="000000" w:themeColor="text1"/>
                <w:sz w:val="24"/>
                <w:highlight w:val="none"/>
                <w14:textFill>
                  <w14:solidFill>
                    <w14:schemeClr w14:val="tx1"/>
                  </w14:solidFill>
                </w14:textFill>
              </w:rPr>
              <w:t xml:space="preserve">金额合计: 人民币    </w:t>
            </w:r>
            <w:r>
              <w:rPr>
                <w:rFonts w:hint="eastAsia" w:ascii="仿宋" w:hAnsi="仿宋" w:eastAsia="仿宋"/>
                <w:snapToGrid w:val="0"/>
                <w:color w:val="000000" w:themeColor="text1"/>
                <w:sz w:val="24"/>
                <w:highlight w:val="none"/>
                <w14:textFill>
                  <w14:solidFill>
                    <w14:schemeClr w14:val="tx1"/>
                  </w14:solidFill>
                </w14:textFill>
              </w:rPr>
              <w:t>元整</w:t>
            </w:r>
            <w:r>
              <w:rPr>
                <w:rFonts w:hint="eastAsia" w:ascii="仿宋" w:hAnsi="仿宋" w:eastAsia="仿宋" w:cstheme="minorEastAsia"/>
                <w:bCs/>
                <w:color w:val="000000" w:themeColor="text1"/>
                <w:sz w:val="24"/>
                <w:highlight w:val="none"/>
                <w14:textFill>
                  <w14:solidFill>
                    <w14:schemeClr w14:val="tx1"/>
                  </w14:solidFill>
                </w14:textFill>
              </w:rPr>
              <w:t xml:space="preserve">   小写：￥     </w:t>
            </w:r>
            <w:r>
              <w:rPr>
                <w:rFonts w:ascii="仿宋" w:hAnsi="仿宋" w:eastAsia="仿宋" w:cstheme="minorEastAsia"/>
                <w:bCs/>
                <w:color w:val="000000" w:themeColor="text1"/>
                <w:sz w:val="24"/>
                <w:highlight w:val="none"/>
                <w14:textFill>
                  <w14:solidFill>
                    <w14:schemeClr w14:val="tx1"/>
                  </w14:solidFill>
                </w14:textFill>
              </w:rPr>
              <w:t xml:space="preserve"> </w:t>
            </w:r>
            <w:r>
              <w:rPr>
                <w:rFonts w:hint="eastAsia" w:ascii="仿宋" w:hAnsi="仿宋" w:eastAsia="仿宋" w:cstheme="minorEastAsia"/>
                <w:bCs/>
                <w:color w:val="000000" w:themeColor="text1"/>
                <w:sz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jc w:val="center"/>
        </w:trPr>
        <w:tc>
          <w:tcPr>
            <w:tcW w:w="10175" w:type="dxa"/>
            <w:gridSpan w:val="8"/>
            <w:vAlign w:val="center"/>
          </w:tcPr>
          <w:p>
            <w:pPr>
              <w:jc w:val="left"/>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备注：配置清单详见附件</w:t>
            </w:r>
          </w:p>
        </w:tc>
      </w:tr>
    </w:tbl>
    <w:p>
      <w:pPr>
        <w:spacing w:line="336" w:lineRule="auto"/>
        <w:ind w:firstLine="480" w:firstLineChars="20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本合同以人民币进行结算，该价格为深圳工地价。</w:t>
      </w:r>
    </w:p>
    <w:p>
      <w:pPr>
        <w:spacing w:line="336" w:lineRule="auto"/>
        <w:ind w:firstLine="560"/>
        <w:jc w:val="left"/>
        <w:outlineLvl w:val="3"/>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第二条  设备质量要求及供方对质量负责条件和期限</w:t>
      </w:r>
    </w:p>
    <w:p>
      <w:pPr>
        <w:spacing w:line="336"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质量要求：乙方提供的设备（包括零部件）必须是全新的、未使用过的设备，</w:t>
      </w:r>
      <w:r>
        <w:rPr>
          <w:rFonts w:hint="eastAsia" w:ascii="仿宋" w:hAnsi="仿宋" w:eastAsia="仿宋"/>
          <w:color w:val="000000" w:themeColor="text1"/>
          <w:sz w:val="24"/>
          <w:highlight w:val="none"/>
          <w14:textFill>
            <w14:solidFill>
              <w14:schemeClr w14:val="tx1"/>
            </w14:solidFill>
          </w14:textFill>
        </w:rPr>
        <w:t>必须符合招投标文件要求（招投标文件中未作明确要求而相关国家标准、地方标准或行业标准中有要求的，应当符合三者中最高的标准），并具有有关质检部门出具的产品检验合格证明。</w:t>
      </w:r>
    </w:p>
    <w:p>
      <w:pPr>
        <w:spacing w:line="336" w:lineRule="auto"/>
        <w:ind w:firstLine="480" w:firstLineChars="20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如设备安装或配置了软件的，乙方保证相关软件均为正版软件。</w:t>
      </w:r>
    </w:p>
    <w:p>
      <w:pPr>
        <w:spacing w:line="336"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保修期限：</w:t>
      </w:r>
    </w:p>
    <w:p>
      <w:pPr>
        <w:spacing w:line="336"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1.底盘车辆提供不低于2年五万公里的保修标准（以先到为准）;</w:t>
      </w:r>
    </w:p>
    <w:p>
      <w:pPr>
        <w:spacing w:line="336"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2.改装部分提供不低于2年的保修服务。保修期内，由非人为因素引起的故障均在保修范围内，供应商完全免费提供保修服务。保修期外，供应商提供终生的维修服务，且要求相关配件及人工费用低于平均市场价格。</w:t>
      </w:r>
    </w:p>
    <w:p>
      <w:pPr>
        <w:spacing w:line="336" w:lineRule="auto"/>
        <w:ind w:firstLine="480" w:firstLineChars="20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自验收合格之日起计算。保修期内非因甲方的人为原因而出现质量问题，由乙方负责。乙方负责包修、包换或者包退，并承担修理、调换或退货的实际费用。乙方不能修理或不能调换，按不能交货处理。</w:t>
      </w:r>
    </w:p>
    <w:p>
      <w:pPr>
        <w:spacing w:line="336" w:lineRule="auto"/>
        <w:ind w:firstLine="560"/>
        <w:jc w:val="left"/>
        <w:outlineLvl w:val="3"/>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第三条  交货和验收</w:t>
      </w:r>
    </w:p>
    <w:p>
      <w:pPr>
        <w:spacing w:line="336" w:lineRule="auto"/>
        <w:ind w:firstLine="560"/>
        <w:jc w:val="left"/>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1.交货期：签订合同后</w:t>
      </w:r>
      <w:r>
        <w:rPr>
          <w:rFonts w:ascii="仿宋" w:hAnsi="仿宋" w:eastAsia="仿宋" w:cstheme="minorEastAsia"/>
          <w:color w:val="000000" w:themeColor="text1"/>
          <w:sz w:val="24"/>
          <w:highlight w:val="none"/>
          <w:u w:val="single"/>
          <w14:textFill>
            <w14:solidFill>
              <w14:schemeClr w14:val="tx1"/>
            </w14:solidFill>
          </w14:textFill>
        </w:rPr>
        <w:t xml:space="preserve">     </w:t>
      </w:r>
      <w:r>
        <w:rPr>
          <w:rFonts w:hint="eastAsia" w:ascii="仿宋" w:hAnsi="仿宋" w:eastAsia="仿宋" w:cstheme="minorEastAsia"/>
          <w:color w:val="000000" w:themeColor="text1"/>
          <w:sz w:val="24"/>
          <w:highlight w:val="none"/>
          <w14:textFill>
            <w14:solidFill>
              <w14:schemeClr w14:val="tx1"/>
            </w14:solidFill>
          </w14:textFill>
        </w:rPr>
        <w:t>天（日历日）内交货。</w:t>
      </w:r>
    </w:p>
    <w:p>
      <w:pPr>
        <w:spacing w:line="336" w:lineRule="auto"/>
        <w:ind w:firstLine="560"/>
        <w:jc w:val="left"/>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2.交货地点：由甲方指定交货地点，乙方在设备送达前一日通知甲方，甲方同意后，乙方按时送货、安装并调试。交货过程中产生的一切风险、费用由乙方承担。</w:t>
      </w:r>
    </w:p>
    <w:p>
      <w:pPr>
        <w:spacing w:line="336" w:lineRule="auto"/>
        <w:ind w:firstLine="560"/>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3.初步验收：设备送达甲方指定地点后，甲乙双方进行初步货物验收，乙方因自身原因不能到场参与验收，则视同全权委托甲方验收。如果发现外观、数量或规格型号等存在问题，乙方应在</w:t>
      </w:r>
      <w:r>
        <w:rPr>
          <w:rFonts w:hint="eastAsia" w:ascii="仿宋" w:hAnsi="仿宋" w:eastAsia="仿宋" w:cstheme="minorEastAsia"/>
          <w:color w:val="000000" w:themeColor="text1"/>
          <w:sz w:val="24"/>
          <w:highlight w:val="none"/>
          <w:u w:val="single"/>
          <w14:textFill>
            <w14:solidFill>
              <w14:schemeClr w14:val="tx1"/>
            </w14:solidFill>
          </w14:textFill>
        </w:rPr>
        <w:t xml:space="preserve">    </w:t>
      </w:r>
      <w:r>
        <w:rPr>
          <w:rFonts w:hint="eastAsia" w:ascii="仿宋" w:hAnsi="仿宋" w:eastAsia="仿宋" w:cstheme="minorEastAsia"/>
          <w:b/>
          <w:bCs/>
          <w:color w:val="000000" w:themeColor="text1"/>
          <w:sz w:val="24"/>
          <w:highlight w:val="none"/>
          <w:u w:val="single"/>
          <w14:textFill>
            <w14:solidFill>
              <w14:schemeClr w14:val="tx1"/>
            </w14:solidFill>
          </w14:textFill>
        </w:rPr>
        <w:softHyphen/>
      </w:r>
      <w:r>
        <w:rPr>
          <w:rFonts w:hint="eastAsia" w:ascii="仿宋" w:hAnsi="仿宋" w:eastAsia="仿宋" w:cstheme="minorEastAsia"/>
          <w:b/>
          <w:bCs/>
          <w:color w:val="000000" w:themeColor="text1"/>
          <w:sz w:val="24"/>
          <w:highlight w:val="none"/>
          <w:u w:val="single"/>
          <w14:textFill>
            <w14:solidFill>
              <w14:schemeClr w14:val="tx1"/>
            </w14:solidFill>
          </w14:textFill>
        </w:rPr>
        <w:softHyphen/>
      </w:r>
      <w:r>
        <w:rPr>
          <w:rFonts w:hint="eastAsia" w:ascii="仿宋" w:hAnsi="仿宋" w:eastAsia="仿宋" w:cstheme="minorEastAsia"/>
          <w:color w:val="000000" w:themeColor="text1"/>
          <w:sz w:val="24"/>
          <w:highlight w:val="none"/>
          <w14:textFill>
            <w14:solidFill>
              <w14:schemeClr w14:val="tx1"/>
            </w14:solidFill>
          </w14:textFill>
        </w:rPr>
        <w:t>天（日历日）内，按甲方要求，采取补足、更换或退货等处理措施，并承担由此发生的一切损失和费用。</w:t>
      </w:r>
    </w:p>
    <w:p>
      <w:pPr>
        <w:spacing w:line="336" w:lineRule="auto"/>
        <w:ind w:firstLine="480"/>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4.性能验收：甲乙双方在全部设备运抵并安装调试完成，正常运转后的</w:t>
      </w:r>
      <w:r>
        <w:rPr>
          <w:rFonts w:hint="eastAsia" w:ascii="仿宋" w:hAnsi="仿宋" w:eastAsia="仿宋" w:cstheme="minorEastAsia"/>
          <w:color w:val="000000" w:themeColor="text1"/>
          <w:sz w:val="24"/>
          <w:highlight w:val="none"/>
          <w:u w:val="single"/>
          <w14:textFill>
            <w14:solidFill>
              <w14:schemeClr w14:val="tx1"/>
            </w14:solidFill>
          </w14:textFill>
        </w:rPr>
        <w:t xml:space="preserve">   </w:t>
      </w:r>
      <w:r>
        <w:rPr>
          <w:rFonts w:hint="eastAsia" w:ascii="仿宋" w:hAnsi="仿宋" w:eastAsia="仿宋" w:cstheme="minorEastAsia"/>
          <w:color w:val="000000" w:themeColor="text1"/>
          <w:sz w:val="24"/>
          <w:highlight w:val="none"/>
          <w14:textFill>
            <w14:solidFill>
              <w14:schemeClr w14:val="tx1"/>
            </w14:solidFill>
          </w14:textFill>
        </w:rPr>
        <w:t>个日历日内对设备进行性能验收。如果设备性能存在问题，乙方应按甲方要求，采取更换或退货等处理措施，并承担由此发生的一切损失和费用。</w:t>
      </w:r>
      <w:r>
        <w:rPr>
          <w:rFonts w:hint="eastAsia" w:ascii="仿宋" w:hAnsi="仿宋" w:eastAsia="仿宋"/>
          <w:color w:val="000000" w:themeColor="text1"/>
          <w:sz w:val="24"/>
          <w:highlight w:val="none"/>
          <w14:textFill>
            <w14:solidFill>
              <w14:schemeClr w14:val="tx1"/>
            </w14:solidFill>
          </w14:textFill>
        </w:rPr>
        <w:t>对于7个日历日内未发现的隐蔽质量瑕疵，若在保修期内发现的，甲方除有权要求乙方采取修理、更换或退货等处理措施并赔偿甲方因此遭受的经济损失外，还有权要求延长保修期（针对修理设备的情形）或重新计算保修期（针对更换设备的情形）。</w:t>
      </w:r>
    </w:p>
    <w:p>
      <w:pPr>
        <w:spacing w:line="336" w:lineRule="auto"/>
        <w:ind w:firstLine="600" w:firstLineChars="25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5.验收标准及方法如下：</w:t>
      </w:r>
    </w:p>
    <w:p>
      <w:pPr>
        <w:spacing w:line="336" w:lineRule="auto"/>
        <w:ind w:firstLine="480" w:firstLineChars="20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 xml:space="preserve">（1）合同、招投标文件及国家有关质检标准，作为验收标准。 </w:t>
      </w:r>
    </w:p>
    <w:p>
      <w:pPr>
        <w:spacing w:line="336" w:lineRule="auto"/>
        <w:ind w:firstLine="480" w:firstLineChars="20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（2）甲乙双方授权代表共同完成性能验收，并在验收报告上签字。</w:t>
      </w:r>
    </w:p>
    <w:p>
      <w:pPr>
        <w:spacing w:line="336" w:lineRule="auto"/>
        <w:ind w:firstLine="480" w:firstLineChars="20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（3）性能验收报告签发之日开始启保。</w:t>
      </w:r>
    </w:p>
    <w:p>
      <w:pPr>
        <w:spacing w:line="336" w:lineRule="auto"/>
        <w:ind w:firstLine="560"/>
        <w:jc w:val="left"/>
        <w:outlineLvl w:val="3"/>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第四条  其他要求</w:t>
      </w:r>
    </w:p>
    <w:p>
      <w:pPr>
        <w:spacing w:line="336" w:lineRule="auto"/>
        <w:ind w:firstLine="480" w:firstLineChars="20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1.甲乙双方进行初步货物验收时，乙方须提供设备的技术文件，包括使用说明书（中英文）、维修手册、质量保证文件（合格证）等证明文件。</w:t>
      </w:r>
    </w:p>
    <w:p>
      <w:pPr>
        <w:spacing w:line="336" w:lineRule="auto"/>
        <w:ind w:firstLine="480" w:firstLineChars="20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2.乙方须提供设备安装和维修所需的专用工具等。乙方应派专业技术人员对甲方或设备使用人员进行专业的培训及指导，并对甲方或设备使用单位维修工程师进行维护、维修培训。</w:t>
      </w:r>
    </w:p>
    <w:p>
      <w:pPr>
        <w:spacing w:line="336" w:lineRule="auto"/>
        <w:ind w:firstLine="560"/>
        <w:jc w:val="left"/>
        <w:outlineLvl w:val="3"/>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第五条  售后服务</w:t>
      </w:r>
    </w:p>
    <w:p>
      <w:pPr>
        <w:spacing w:line="336" w:lineRule="auto"/>
        <w:ind w:firstLine="480" w:firstLineChars="20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1.乙方应按照国家有关法律法规规章、“三包”规定和合同、招标文件的要求及乙方在投标文件的相关承诺提供保修及其他服务。</w:t>
      </w:r>
    </w:p>
    <w:p>
      <w:pPr>
        <w:ind w:firstLine="480" w:firstLineChars="20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 xml:space="preserve">2.维修响应：维修响应及故障解决时间 在保修期内，一旦发生质量问题，投标人保证在接到通知24小时内进行响应。  </w:t>
      </w:r>
    </w:p>
    <w:p>
      <w:pPr>
        <w:ind w:firstLine="480" w:firstLineChars="20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 xml:space="preserve">3.投标人须保持与招标人的联系，随时交流设备使用情况，成立专门工作小组为用户解决遇到的问题。服务范围包括：故障排除、车辆运行情况、帮助日常检查等。  </w:t>
      </w:r>
    </w:p>
    <w:p>
      <w:pPr>
        <w:spacing w:line="336" w:lineRule="auto"/>
        <w:ind w:left="1" w:firstLine="479" w:firstLineChars="199"/>
        <w:outlineLvl w:val="3"/>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第六条</w:t>
      </w:r>
      <w:r>
        <w:rPr>
          <w:rFonts w:ascii="仿宋" w:hAnsi="仿宋" w:eastAsia="仿宋" w:cstheme="minorEastAsia"/>
          <w:b/>
          <w:color w:val="000000" w:themeColor="text1"/>
          <w:sz w:val="24"/>
          <w:highlight w:val="none"/>
          <w14:textFill>
            <w14:solidFill>
              <w14:schemeClr w14:val="tx1"/>
            </w14:solidFill>
          </w14:textFill>
        </w:rPr>
        <w:t xml:space="preserve">  </w:t>
      </w:r>
      <w:r>
        <w:rPr>
          <w:rFonts w:hint="eastAsia" w:ascii="仿宋" w:hAnsi="仿宋" w:eastAsia="仿宋" w:cstheme="minorEastAsia"/>
          <w:b/>
          <w:color w:val="000000" w:themeColor="text1"/>
          <w:sz w:val="24"/>
          <w:highlight w:val="none"/>
          <w14:textFill>
            <w14:solidFill>
              <w14:schemeClr w14:val="tx1"/>
            </w14:solidFill>
          </w14:textFill>
        </w:rPr>
        <w:t>货款支付</w:t>
      </w:r>
    </w:p>
    <w:p>
      <w:pPr>
        <w:ind w:left="0" w:leftChars="0" w:firstLine="420" w:firstLineChars="200"/>
        <w:jc w:val="left"/>
        <w:rPr>
          <w:color w:val="000000" w:themeColor="text1"/>
          <w:szCs w:val="21"/>
          <w:highlight w:val="none"/>
          <w14:textFill>
            <w14:solidFill>
              <w14:schemeClr w14:val="tx1"/>
            </w14:solidFill>
          </w14:textFill>
        </w:rPr>
      </w:pPr>
      <w:bookmarkStart w:id="48" w:name="_Toc10722"/>
      <w:r>
        <w:rPr>
          <w:rFonts w:hint="eastAsia"/>
          <w:bCs/>
          <w:color w:val="000000" w:themeColor="text1"/>
          <w:szCs w:val="21"/>
          <w:highlight w:val="none"/>
          <w14:textFill>
            <w14:solidFill>
              <w14:schemeClr w14:val="tx1"/>
            </w14:solidFill>
          </w14:textFill>
        </w:rPr>
        <w:t>签订合同后，10个工作日内</w:t>
      </w:r>
      <w:r>
        <w:rPr>
          <w:rFonts w:hint="eastAsia"/>
          <w:color w:val="000000" w:themeColor="text1"/>
          <w:szCs w:val="21"/>
          <w:highlight w:val="none"/>
          <w14:textFill>
            <w14:solidFill>
              <w14:schemeClr w14:val="tx1"/>
            </w14:solidFill>
          </w14:textFill>
        </w:rPr>
        <w:t>采购方向中标人</w:t>
      </w:r>
      <w:r>
        <w:rPr>
          <w:rFonts w:hint="eastAsia"/>
          <w:bCs/>
          <w:color w:val="000000" w:themeColor="text1"/>
          <w:szCs w:val="21"/>
          <w:highlight w:val="none"/>
          <w14:textFill>
            <w14:solidFill>
              <w14:schemeClr w14:val="tx1"/>
            </w14:solidFill>
          </w14:textFill>
        </w:rPr>
        <w:t>支付合同总金额的30%作为定金</w:t>
      </w:r>
      <w:r>
        <w:rPr>
          <w:rFonts w:hint="eastAsia"/>
          <w:color w:val="000000" w:themeColor="text1"/>
          <w:szCs w:val="21"/>
          <w:highlight w:val="none"/>
          <w14:textFill>
            <w14:solidFill>
              <w14:schemeClr w14:val="tx1"/>
            </w14:solidFill>
          </w14:textFill>
        </w:rPr>
        <w:t xml:space="preserve">。车辆验收合格后，7个工作日内采购方向中标人支付至合同总金额的80%款项。全部货物到达交货地点，安装、调试并验收合格，采购人按合同办理支付手续支付余额。 </w:t>
      </w:r>
    </w:p>
    <w:p>
      <w:pPr>
        <w:spacing w:line="336" w:lineRule="auto"/>
        <w:ind w:left="1" w:firstLine="479" w:firstLineChars="199"/>
        <w:outlineLvl w:val="3"/>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第七条  违约责任</w:t>
      </w:r>
      <w:bookmarkEnd w:id="48"/>
    </w:p>
    <w:p>
      <w:pPr>
        <w:spacing w:line="336" w:lineRule="auto"/>
        <w:ind w:firstLine="560"/>
        <w:jc w:val="left"/>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1．乙方逾期交付设备的，每逾期1天，乙方向甲方偿付逾期交货部分货款总额5‰的违约金。如乙方逾期交货达45天，甲方有权解除合同，履约保证金不予退回，同时甲方有权要求乙方支付合同总价30％的违约金，并赔偿甲方由此遭受的损失。</w:t>
      </w:r>
    </w:p>
    <w:p>
      <w:pPr>
        <w:spacing w:line="336" w:lineRule="auto"/>
        <w:ind w:firstLine="560"/>
        <w:jc w:val="left"/>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2．乙方不能交付或所交付的设备品牌、型号、规格、性能等不符合合同规定和招投标文件要求的，甲方有权退货并解除合同，履约保证金不予退回，同时有权要求乙方支付合同总价30%的违约金，并赔偿甲方由此遭受的损失。</w:t>
      </w:r>
    </w:p>
    <w:p>
      <w:pPr>
        <w:spacing w:line="336" w:lineRule="auto"/>
        <w:ind w:firstLine="560"/>
        <w:jc w:val="left"/>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3．在乙方承诺的或国家规定的保修期内（取两者中最长的期限），乙方负责保修、包换或者包退并承担相关费用。如设备经乙方三次维修或更换，仍不能达到合同规定和招投标文件要求的质量标准，甲方有权退货并解除合同，履约保证金不予退回，同时甲方有权要求乙方支付合同总价30%的违约金，并赔偿甲方由此遭受的损失。</w:t>
      </w:r>
    </w:p>
    <w:p>
      <w:pPr>
        <w:spacing w:line="336" w:lineRule="auto"/>
        <w:ind w:firstLine="560"/>
        <w:jc w:val="left"/>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4．因设备质量问题造成患者人身伤害、造成甲方经济损失的，甲方向患者先行赔偿后，有权向乙方追偿。</w:t>
      </w:r>
    </w:p>
    <w:p>
      <w:pPr>
        <w:spacing w:line="336" w:lineRule="auto"/>
        <w:ind w:firstLine="56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5.乙方未履行本合同项下的其他义务或违反其在投标文件中的相关承诺的，履约保证金不予退回，同时甲方有权要求乙方支付合同总价30%的违约金，并赔偿甲方由此遭受的损失。</w:t>
      </w:r>
    </w:p>
    <w:p>
      <w:pPr>
        <w:spacing w:line="336" w:lineRule="auto"/>
        <w:ind w:firstLine="560"/>
        <w:jc w:val="left"/>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6.乙方在承担上述一项或多项违约责任后，仍应继续履行合同规定的义务（甲方解除合同的除外）。甲方未能及时追究乙方的其中一项违约责任并不表明甲方放弃追究乙方该项或其他违约责任。</w:t>
      </w:r>
    </w:p>
    <w:p>
      <w:pPr>
        <w:spacing w:line="336" w:lineRule="auto"/>
        <w:ind w:left="1" w:firstLine="479" w:firstLineChars="199"/>
        <w:outlineLvl w:val="3"/>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第八条  合同的变更和终止</w:t>
      </w:r>
    </w:p>
    <w:p>
      <w:pPr>
        <w:spacing w:line="336" w:lineRule="auto"/>
        <w:ind w:firstLine="560"/>
        <w:jc w:val="left"/>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除《中华人民共和国政府采购法》第49条、第50条第二款以及本合同第七条第2、3、4款规定的情形外，本合同一经签订，甲乙双方不得擅自变更、中止或终止合同。</w:t>
      </w:r>
    </w:p>
    <w:p>
      <w:pPr>
        <w:spacing w:line="336" w:lineRule="auto"/>
        <w:ind w:firstLine="560"/>
        <w:jc w:val="left"/>
        <w:outlineLvl w:val="3"/>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第九条  争议的解决</w:t>
      </w:r>
    </w:p>
    <w:p>
      <w:pPr>
        <w:pStyle w:val="119"/>
        <w:spacing w:line="336" w:lineRule="auto"/>
        <w:ind w:firstLine="540" w:firstLineChars="225"/>
        <w:rPr>
          <w:rFonts w:ascii="仿宋" w:hAnsi="仿宋" w:eastAsia="仿宋" w:cstheme="minorEastAsia"/>
          <w:color w:val="000000" w:themeColor="text1"/>
          <w:sz w:val="24"/>
          <w:szCs w:val="24"/>
          <w:highlight w:val="none"/>
          <w14:textFill>
            <w14:solidFill>
              <w14:schemeClr w14:val="tx1"/>
            </w14:solidFill>
          </w14:textFill>
        </w:rPr>
      </w:pPr>
      <w:r>
        <w:rPr>
          <w:rFonts w:hint="eastAsia" w:ascii="仿宋" w:hAnsi="仿宋" w:eastAsia="仿宋" w:cstheme="minorEastAsia"/>
          <w:color w:val="000000" w:themeColor="text1"/>
          <w:sz w:val="24"/>
          <w:szCs w:val="24"/>
          <w:highlight w:val="none"/>
          <w14:textFill>
            <w14:solidFill>
              <w14:schemeClr w14:val="tx1"/>
            </w14:solidFill>
          </w14:textFill>
        </w:rPr>
        <w:t>1.因设备的质量问题发生争议的，应当邀请国家认可的质量检测机构对货物质量进行鉴定。</w:t>
      </w:r>
      <w:r>
        <w:rPr>
          <w:rFonts w:hint="eastAsia" w:ascii="仿宋" w:hAnsi="仿宋" w:eastAsia="仿宋"/>
          <w:color w:val="000000" w:themeColor="text1"/>
          <w:sz w:val="24"/>
          <w:szCs w:val="24"/>
          <w:highlight w:val="none"/>
          <w14:textFill>
            <w14:solidFill>
              <w14:schemeClr w14:val="tx1"/>
            </w14:solidFill>
          </w14:textFill>
        </w:rPr>
        <w:t>若无国家认可的质量检测机构，则由甲乙双方共同委托的、有相应鉴定能力的第三方机构进行鉴定。</w:t>
      </w:r>
      <w:r>
        <w:rPr>
          <w:rFonts w:hint="eastAsia" w:ascii="仿宋" w:hAnsi="仿宋" w:eastAsia="仿宋" w:cstheme="minorEastAsia"/>
          <w:color w:val="000000" w:themeColor="text1"/>
          <w:sz w:val="24"/>
          <w:szCs w:val="24"/>
          <w:highlight w:val="none"/>
          <w14:textFill>
            <w14:solidFill>
              <w14:schemeClr w14:val="tx1"/>
            </w14:solidFill>
          </w14:textFill>
        </w:rPr>
        <w:t>鉴定费由乙方先行支付。经鉴定确定质量不符合标准的，鉴定费由乙方承担，造成延期交付时，乙方承担延期交付违约责任。反之鉴定费由甲方承担。</w:t>
      </w:r>
    </w:p>
    <w:p>
      <w:pPr>
        <w:spacing w:line="336" w:lineRule="auto"/>
        <w:ind w:firstLine="560"/>
        <w:jc w:val="left"/>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2.因履行本合同引起的或与本合同有关的争议，甲、乙双方应首先通过友好协商解决，如果协商不能解决争议，则向甲方所在地有管辖权的人民法院提起诉讼。</w:t>
      </w:r>
    </w:p>
    <w:p>
      <w:pPr>
        <w:spacing w:line="336" w:lineRule="auto"/>
        <w:ind w:firstLine="560"/>
        <w:jc w:val="left"/>
        <w:outlineLvl w:val="3"/>
        <w:rPr>
          <w:rFonts w:ascii="仿宋" w:hAnsi="仿宋" w:eastAsia="仿宋" w:cstheme="minorEastAsia"/>
          <w:b/>
          <w:color w:val="000000" w:themeColor="text1"/>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第十条  合同生效</w:t>
      </w:r>
    </w:p>
    <w:p>
      <w:pPr>
        <w:spacing w:line="336" w:lineRule="auto"/>
        <w:ind w:firstLine="480" w:firstLineChars="200"/>
        <w:rPr>
          <w:rFonts w:ascii="仿宋" w:hAnsi="仿宋" w:eastAsia="仿宋"/>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本合同一式陆份，甲乙双方、坪山区公共资源交易中心等各执两份，均具同等效力。合同附件作为本合同的组成部分，与本合同具有同等法律效力。</w:t>
      </w:r>
      <w:r>
        <w:rPr>
          <w:rFonts w:hint="eastAsia" w:ascii="仿宋" w:hAnsi="仿宋" w:eastAsia="仿宋"/>
          <w:color w:val="000000" w:themeColor="text1"/>
          <w:sz w:val="24"/>
          <w:highlight w:val="none"/>
          <w14:textFill>
            <w14:solidFill>
              <w14:schemeClr w14:val="tx1"/>
            </w14:solidFill>
          </w14:textFill>
        </w:rPr>
        <w:t>若本合同附件与本合同的内容冲突的，以本合同（或合同附件）来执行。</w:t>
      </w:r>
    </w:p>
    <w:p>
      <w:pPr>
        <w:spacing w:line="336" w:lineRule="auto"/>
        <w:ind w:firstLine="480" w:firstLineChars="20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本合同以及本项目招标文件、投标文件共同作为本项目履行的依据。若本合同的实质性条款的约定与本项目招标文件、投标文件有抵触之处的，以本项目招标文件（投标文件响应的内容优于招标文件的除外）为准；若投标文件响应内容优于本项目招标文件，则以投标文件为准。</w:t>
      </w:r>
    </w:p>
    <w:p>
      <w:pPr>
        <w:spacing w:line="336" w:lineRule="auto"/>
        <w:ind w:firstLine="480" w:firstLineChars="200"/>
        <w:rPr>
          <w:rFonts w:ascii="仿宋" w:hAnsi="仿宋" w:eastAsia="仿宋" w:cstheme="minorEastAsia"/>
          <w:color w:val="000000" w:themeColor="text1"/>
          <w:sz w:val="24"/>
          <w:highlight w:val="none"/>
          <w14:textFill>
            <w14:solidFill>
              <w14:schemeClr w14:val="tx1"/>
            </w14:solidFill>
          </w14:textFill>
        </w:rPr>
      </w:pPr>
    </w:p>
    <w:p>
      <w:pPr>
        <w:spacing w:line="336" w:lineRule="auto"/>
        <w:ind w:firstLine="480" w:firstLineChars="200"/>
        <w:rPr>
          <w:rFonts w:ascii="仿宋" w:hAnsi="仿宋" w:eastAsia="仿宋" w:cstheme="minorEastAsia"/>
          <w:color w:val="000000" w:themeColor="text1"/>
          <w:sz w:val="24"/>
          <w:highlight w:val="none"/>
          <w14:textFill>
            <w14:solidFill>
              <w14:schemeClr w14:val="tx1"/>
            </w14:solidFill>
          </w14:textFill>
        </w:rPr>
      </w:pPr>
      <w:r>
        <w:rPr>
          <w:rFonts w:hint="eastAsia" w:ascii="仿宋" w:hAnsi="仿宋" w:eastAsia="仿宋" w:cstheme="minorEastAsia"/>
          <w:color w:val="000000" w:themeColor="text1"/>
          <w:sz w:val="24"/>
          <w:highlight w:val="none"/>
          <w14:textFill>
            <w14:solidFill>
              <w14:schemeClr w14:val="tx1"/>
            </w14:solidFill>
          </w14:textFill>
        </w:rPr>
        <w:t>附件包含：</w:t>
      </w:r>
      <w:r>
        <w:rPr>
          <w:rFonts w:ascii="仿宋" w:hAnsi="仿宋" w:eastAsia="仿宋" w:cstheme="minorEastAsia"/>
          <w:color w:val="000000" w:themeColor="text1"/>
          <w:sz w:val="24"/>
          <w:highlight w:val="none"/>
          <w14:textFill>
            <w14:solidFill>
              <w14:schemeClr w14:val="tx1"/>
            </w14:solidFill>
          </w14:textFill>
        </w:rPr>
        <w:t xml:space="preserve"> </w:t>
      </w:r>
    </w:p>
    <w:p>
      <w:pPr>
        <w:spacing w:line="336" w:lineRule="auto"/>
        <w:rPr>
          <w:rFonts w:ascii="仿宋" w:hAnsi="仿宋" w:eastAsia="仿宋" w:cstheme="minorEastAsia"/>
          <w:b/>
          <w:bCs/>
          <w:color w:val="000000" w:themeColor="text1"/>
          <w:sz w:val="24"/>
          <w:highlight w:val="none"/>
          <w14:textFill>
            <w14:solidFill>
              <w14:schemeClr w14:val="tx1"/>
            </w14:solidFill>
          </w14:textFill>
        </w:rPr>
      </w:pPr>
    </w:p>
    <w:p>
      <w:pPr>
        <w:spacing w:line="336" w:lineRule="auto"/>
        <w:rPr>
          <w:rFonts w:ascii="仿宋" w:hAnsi="仿宋" w:eastAsia="仿宋" w:cstheme="minorEastAsia"/>
          <w:b/>
          <w:bCs/>
          <w:color w:val="000000" w:themeColor="text1"/>
          <w:sz w:val="24"/>
          <w:highlight w:val="none"/>
          <w14:textFill>
            <w14:solidFill>
              <w14:schemeClr w14:val="tx1"/>
            </w14:solidFill>
          </w14:textFill>
        </w:rPr>
      </w:pPr>
      <w:r>
        <w:rPr>
          <w:rFonts w:hint="eastAsia" w:ascii="仿宋" w:hAnsi="仿宋" w:eastAsia="仿宋" w:cstheme="minorEastAsia"/>
          <w:b/>
          <w:bCs/>
          <w:color w:val="000000" w:themeColor="text1"/>
          <w:sz w:val="24"/>
          <w:highlight w:val="none"/>
          <w14:textFill>
            <w14:solidFill>
              <w14:schemeClr w14:val="tx1"/>
            </w14:solidFill>
          </w14:textFill>
        </w:rPr>
        <w:t>甲方（采购人）：</w:t>
      </w:r>
      <w:r>
        <w:rPr>
          <w:rFonts w:hint="eastAsia" w:ascii="仿宋" w:hAnsi="仿宋" w:eastAsia="仿宋" w:cstheme="minorEastAsia"/>
          <w:color w:val="000000" w:themeColor="text1"/>
          <w:sz w:val="24"/>
          <w:highlight w:val="none"/>
          <w14:textFill>
            <w14:solidFill>
              <w14:schemeClr w14:val="tx1"/>
            </w14:solidFill>
          </w14:textFill>
        </w:rPr>
        <w:t xml:space="preserve">                         </w:t>
      </w:r>
      <w:r>
        <w:rPr>
          <w:rFonts w:hint="eastAsia" w:ascii="仿宋" w:hAnsi="仿宋" w:eastAsia="仿宋" w:cstheme="minorEastAsia"/>
          <w:b/>
          <w:bCs/>
          <w:color w:val="000000" w:themeColor="text1"/>
          <w:sz w:val="24"/>
          <w:highlight w:val="none"/>
          <w14:textFill>
            <w14:solidFill>
              <w14:schemeClr w14:val="tx1"/>
            </w14:solidFill>
          </w14:textFill>
        </w:rPr>
        <w:t>乙方（供应商）：</w:t>
      </w:r>
    </w:p>
    <w:p>
      <w:pPr>
        <w:spacing w:line="336" w:lineRule="auto"/>
        <w:jc w:val="left"/>
        <w:rPr>
          <w:rFonts w:ascii="仿宋" w:hAnsi="仿宋" w:eastAsia="仿宋" w:cstheme="minorEastAsia"/>
          <w:b/>
          <w:bCs/>
          <w:color w:val="000000" w:themeColor="text1"/>
          <w:sz w:val="24"/>
          <w:highlight w:val="none"/>
          <w14:textFill>
            <w14:solidFill>
              <w14:schemeClr w14:val="tx1"/>
            </w14:solidFill>
          </w14:textFill>
        </w:rPr>
      </w:pPr>
      <w:r>
        <w:rPr>
          <w:rFonts w:hint="eastAsia" w:ascii="仿宋" w:hAnsi="仿宋" w:eastAsia="仿宋" w:cstheme="minorEastAsia"/>
          <w:b/>
          <w:bCs/>
          <w:color w:val="000000" w:themeColor="text1"/>
          <w:sz w:val="24"/>
          <w:highlight w:val="none"/>
          <w14:textFill>
            <w14:solidFill>
              <w14:schemeClr w14:val="tx1"/>
            </w14:solidFill>
          </w14:textFill>
        </w:rPr>
        <w:t xml:space="preserve">法定代表人（或授权代表）：               法定代表人（或授权代表）： </w:t>
      </w:r>
    </w:p>
    <w:p>
      <w:pPr>
        <w:spacing w:line="336" w:lineRule="auto"/>
        <w:jc w:val="left"/>
        <w:rPr>
          <w:rFonts w:ascii="仿宋" w:hAnsi="仿宋" w:eastAsia="仿宋" w:cstheme="minorEastAsia"/>
          <w:b/>
          <w:bCs/>
          <w:color w:val="000000" w:themeColor="text1"/>
          <w:sz w:val="24"/>
          <w:highlight w:val="none"/>
          <w14:textFill>
            <w14:solidFill>
              <w14:schemeClr w14:val="tx1"/>
            </w14:solidFill>
          </w14:textFill>
        </w:rPr>
      </w:pPr>
      <w:r>
        <w:rPr>
          <w:rFonts w:hint="eastAsia" w:ascii="仿宋" w:hAnsi="仿宋" w:eastAsia="仿宋" w:cstheme="minorEastAsia"/>
          <w:b/>
          <w:bCs/>
          <w:color w:val="000000" w:themeColor="text1"/>
          <w:sz w:val="24"/>
          <w:highlight w:val="none"/>
          <w14:textFill>
            <w14:solidFill>
              <w14:schemeClr w14:val="tx1"/>
            </w14:solidFill>
          </w14:textFill>
        </w:rPr>
        <w:t>联系电话：                              联系电话：</w:t>
      </w:r>
    </w:p>
    <w:p>
      <w:pPr>
        <w:spacing w:line="336" w:lineRule="auto"/>
        <w:ind w:firstLine="4819" w:firstLineChars="2000"/>
        <w:jc w:val="left"/>
        <w:rPr>
          <w:rFonts w:ascii="仿宋" w:hAnsi="仿宋" w:eastAsia="仿宋" w:cstheme="minorEastAsia"/>
          <w:b/>
          <w:bCs/>
          <w:color w:val="000000" w:themeColor="text1"/>
          <w:sz w:val="24"/>
          <w:highlight w:val="none"/>
          <w14:textFill>
            <w14:solidFill>
              <w14:schemeClr w14:val="tx1"/>
            </w14:solidFill>
          </w14:textFill>
        </w:rPr>
      </w:pPr>
      <w:r>
        <w:rPr>
          <w:rFonts w:hint="eastAsia" w:ascii="仿宋" w:hAnsi="仿宋" w:eastAsia="仿宋" w:cstheme="minorEastAsia"/>
          <w:b/>
          <w:bCs/>
          <w:color w:val="000000" w:themeColor="text1"/>
          <w:sz w:val="24"/>
          <w:highlight w:val="none"/>
          <w14:textFill>
            <w14:solidFill>
              <w14:schemeClr w14:val="tx1"/>
            </w14:solidFill>
          </w14:textFill>
        </w:rPr>
        <w:t>开户行名称：</w:t>
      </w:r>
    </w:p>
    <w:p>
      <w:pPr>
        <w:spacing w:line="336" w:lineRule="auto"/>
        <w:ind w:firstLine="4819" w:firstLineChars="2000"/>
        <w:jc w:val="left"/>
        <w:rPr>
          <w:rFonts w:ascii="仿宋" w:hAnsi="仿宋" w:eastAsia="仿宋" w:cstheme="minorEastAsia"/>
          <w:b/>
          <w:bCs/>
          <w:color w:val="000000" w:themeColor="text1"/>
          <w:sz w:val="24"/>
          <w:highlight w:val="none"/>
          <w14:textFill>
            <w14:solidFill>
              <w14:schemeClr w14:val="tx1"/>
            </w14:solidFill>
          </w14:textFill>
        </w:rPr>
      </w:pPr>
      <w:r>
        <w:rPr>
          <w:rFonts w:hint="eastAsia" w:ascii="仿宋" w:hAnsi="仿宋" w:eastAsia="仿宋" w:cstheme="minorEastAsia"/>
          <w:b/>
          <w:bCs/>
          <w:color w:val="000000" w:themeColor="text1"/>
          <w:sz w:val="24"/>
          <w:highlight w:val="none"/>
          <w14:textFill>
            <w14:solidFill>
              <w14:schemeClr w14:val="tx1"/>
            </w14:solidFill>
          </w14:textFill>
        </w:rPr>
        <w:t>银行账号：</w:t>
      </w:r>
    </w:p>
    <w:p>
      <w:pPr>
        <w:spacing w:line="336" w:lineRule="auto"/>
        <w:jc w:val="left"/>
        <w:rPr>
          <w:rFonts w:ascii="仿宋" w:hAnsi="仿宋" w:eastAsia="仿宋" w:cstheme="minorEastAsia"/>
          <w:b/>
          <w:bCs/>
          <w:color w:val="000000" w:themeColor="text1"/>
          <w:sz w:val="24"/>
          <w:highlight w:val="none"/>
          <w14:textFill>
            <w14:solidFill>
              <w14:schemeClr w14:val="tx1"/>
            </w14:solidFill>
          </w14:textFill>
        </w:rPr>
      </w:pPr>
      <w:r>
        <w:rPr>
          <w:rFonts w:hint="eastAsia" w:ascii="仿宋" w:hAnsi="仿宋" w:eastAsia="仿宋" w:cstheme="minorEastAsia"/>
          <w:b/>
          <w:bCs/>
          <w:color w:val="000000" w:themeColor="text1"/>
          <w:sz w:val="24"/>
          <w:highlight w:val="none"/>
          <w14:textFill>
            <w14:solidFill>
              <w14:schemeClr w14:val="tx1"/>
            </w14:solidFill>
          </w14:textFill>
        </w:rPr>
        <w:t>日期：   年     月    日                日期：   年     月    日</w:t>
      </w:r>
    </w:p>
    <w:p>
      <w:pPr>
        <w:spacing w:line="336" w:lineRule="auto"/>
        <w:rPr>
          <w:rFonts w:ascii="仿宋" w:hAnsi="仿宋" w:eastAsia="仿宋" w:cstheme="minorEastAsia"/>
          <w:color w:val="000000" w:themeColor="text1"/>
          <w:spacing w:val="30"/>
          <w:sz w:val="24"/>
          <w:highlight w:val="none"/>
          <w14:textFill>
            <w14:solidFill>
              <w14:schemeClr w14:val="tx1"/>
            </w14:solidFill>
          </w14:textFill>
        </w:rPr>
      </w:pPr>
      <w:r>
        <w:rPr>
          <w:rFonts w:hint="eastAsia" w:ascii="仿宋" w:hAnsi="仿宋" w:eastAsia="仿宋" w:cstheme="minorEastAsia"/>
          <w:b/>
          <w:color w:val="000000" w:themeColor="text1"/>
          <w:sz w:val="24"/>
          <w:highlight w:val="none"/>
          <w14:textFill>
            <w14:solidFill>
              <w14:schemeClr w14:val="tx1"/>
            </w14:solidFill>
          </w14:textFill>
        </w:rPr>
        <w:t>签约地址：     市    区</w:t>
      </w:r>
    </w:p>
    <w:p>
      <w:pPr>
        <w:tabs>
          <w:tab w:val="clear" w:pos="426"/>
        </w:tabs>
        <w:jc w:val="center"/>
        <w:rPr>
          <w:b/>
          <w:color w:val="000000" w:themeColor="text1"/>
          <w:sz w:val="24"/>
          <w:highlight w:val="none"/>
          <w14:textFill>
            <w14:solidFill>
              <w14:schemeClr w14:val="tx1"/>
            </w14:solidFill>
          </w14:textFill>
        </w:rPr>
      </w:pPr>
    </w:p>
    <w:p>
      <w:pPr>
        <w:tabs>
          <w:tab w:val="clear" w:pos="426"/>
        </w:tabs>
        <w:jc w:val="center"/>
        <w:rPr>
          <w:b/>
          <w:color w:val="000000" w:themeColor="text1"/>
          <w:sz w:val="24"/>
          <w:highlight w:val="none"/>
          <w14:textFill>
            <w14:solidFill>
              <w14:schemeClr w14:val="tx1"/>
            </w14:solidFill>
          </w14:textFill>
        </w:rPr>
        <w:sectPr>
          <w:pgSz w:w="11906" w:h="16838"/>
          <w:pgMar w:top="1134" w:right="1134" w:bottom="1134" w:left="1838" w:header="851" w:footer="992" w:gutter="0"/>
          <w:cols w:space="720" w:num="1"/>
          <w:titlePg/>
          <w:docGrid w:linePitch="462" w:charSpace="0"/>
        </w:sectPr>
      </w:pPr>
    </w:p>
    <w:p>
      <w:pPr>
        <w:tabs>
          <w:tab w:val="clear" w:pos="426"/>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三、履约担保</w:t>
      </w:r>
    </w:p>
    <w:p>
      <w:pPr>
        <w:tabs>
          <w:tab w:val="clear" w:pos="426"/>
        </w:tabs>
        <w:ind w:left="6094" w:leftChars="2902"/>
        <w:rPr>
          <w:color w:val="000000" w:themeColor="text1"/>
          <w:sz w:val="22"/>
          <w:szCs w:val="22"/>
          <w:highlight w:val="none"/>
          <w14:textFill>
            <w14:solidFill>
              <w14:schemeClr w14:val="tx1"/>
            </w14:solidFill>
          </w14:textFill>
        </w:rPr>
      </w:pPr>
    </w:p>
    <w:p>
      <w:pPr>
        <w:tabs>
          <w:tab w:val="clear" w:pos="426"/>
        </w:tabs>
        <w:ind w:left="6094" w:leftChars="2902"/>
        <w:rPr>
          <w:color w:val="000000" w:themeColor="text1"/>
          <w:highlight w:val="none"/>
          <w:u w:val="single"/>
          <w14:textFill>
            <w14:solidFill>
              <w14:schemeClr w14:val="tx1"/>
            </w14:solidFill>
          </w14:textFill>
        </w:rPr>
      </w:pPr>
      <w:r>
        <w:rPr>
          <w:rFonts w:hint="eastAsia"/>
          <w:color w:val="000000" w:themeColor="text1"/>
          <w:sz w:val="22"/>
          <w:szCs w:val="22"/>
          <w:highlight w:val="none"/>
          <w14:textFill>
            <w14:solidFill>
              <w14:schemeClr w14:val="tx1"/>
            </w14:solidFill>
          </w14:textFill>
        </w:rPr>
        <w:t>保函编号：</w:t>
      </w:r>
      <w:r>
        <w:rPr>
          <w:rFonts w:hint="eastAsia"/>
          <w:color w:val="000000" w:themeColor="text1"/>
          <w:sz w:val="22"/>
          <w:szCs w:val="22"/>
          <w:highlight w:val="none"/>
          <w:u w:val="single"/>
          <w14:textFill>
            <w14:solidFill>
              <w14:schemeClr w14:val="tx1"/>
            </w14:solidFill>
          </w14:textFill>
        </w:rPr>
        <w:t xml:space="preserve">                     </w:t>
      </w:r>
    </w:p>
    <w:p>
      <w:pPr>
        <w:tabs>
          <w:tab w:val="clear" w:pos="426"/>
        </w:tabs>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致：</w:t>
      </w:r>
      <w:r>
        <w:rPr>
          <w:rFonts w:hint="eastAsia"/>
          <w:color w:val="000000" w:themeColor="text1"/>
          <w:sz w:val="22"/>
          <w:szCs w:val="22"/>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               </w:t>
      </w:r>
      <w:r>
        <w:rPr>
          <w:rFonts w:hint="eastAsia"/>
          <w:color w:val="000000" w:themeColor="text1"/>
          <w:sz w:val="22"/>
          <w:szCs w:val="22"/>
          <w:highlight w:val="none"/>
          <w:u w:val="single"/>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鉴于 </w:t>
      </w:r>
      <w:r>
        <w:rPr>
          <w:rFonts w:hint="eastAsia"/>
          <w:color w:val="000000" w:themeColor="text1"/>
          <w:highlight w:val="none"/>
          <w:u w:val="single"/>
          <w14:textFill>
            <w14:solidFill>
              <w14:schemeClr w14:val="tx1"/>
            </w14:solidFill>
          </w14:textFill>
        </w:rPr>
        <w:t xml:space="preserve">     （被保护人)       </w:t>
      </w:r>
      <w:r>
        <w:rPr>
          <w:rFonts w:hint="eastAsia"/>
          <w:color w:val="000000" w:themeColor="text1"/>
          <w:highlight w:val="none"/>
          <w14:textFill>
            <w14:solidFill>
              <w14:schemeClr w14:val="tx1"/>
            </w14:solidFill>
          </w14:textFill>
        </w:rPr>
        <w:t>已于贵方签订了</w:t>
      </w:r>
      <w:r>
        <w:rPr>
          <w:rFonts w:hint="eastAsia"/>
          <w:color w:val="000000" w:themeColor="text1"/>
          <w:highlight w:val="none"/>
          <w:u w:val="single"/>
          <w14:textFill>
            <w14:solidFill>
              <w14:schemeClr w14:val="tx1"/>
            </w14:solidFill>
          </w14:textFill>
        </w:rPr>
        <w:t xml:space="preserve">  （项目名称）（项目编号：      ）  </w:t>
      </w:r>
      <w:r>
        <w:rPr>
          <w:rFonts w:hint="eastAsia"/>
          <w:color w:val="000000" w:themeColor="text1"/>
          <w:highlight w:val="none"/>
          <w14:textFill>
            <w14:solidFill>
              <w14:schemeClr w14:val="tx1"/>
            </w14:solidFill>
          </w14:textFill>
        </w:rPr>
        <w:t>的</w:t>
      </w:r>
      <w:r>
        <w:rPr>
          <w:rFonts w:hint="eastAsia"/>
          <w:color w:val="000000" w:themeColor="text1"/>
          <w:highlight w:val="none"/>
          <w:u w:val="single"/>
          <w14:textFill>
            <w14:solidFill>
              <w14:schemeClr w14:val="tx1"/>
            </w14:solidFill>
          </w14:textFill>
        </w:rPr>
        <w:t xml:space="preserve">  （采购合同名称）  </w:t>
      </w:r>
      <w:r>
        <w:rPr>
          <w:rFonts w:hint="eastAsia"/>
          <w:color w:val="000000" w:themeColor="text1"/>
          <w:highlight w:val="none"/>
          <w14:textFill>
            <w14:solidFill>
              <w14:schemeClr w14:val="tx1"/>
            </w14:solidFill>
          </w14:textFill>
        </w:rPr>
        <w:t>采购合同（下称合同)，工期自</w:t>
      </w:r>
      <w:r>
        <w:rPr>
          <w:rFonts w:hint="eastAsia"/>
          <w:color w:val="000000" w:themeColor="text1"/>
          <w:highlight w:val="none"/>
          <w:u w:val="single"/>
          <w14:textFill>
            <w14:solidFill>
              <w14:schemeClr w14:val="tx1"/>
            </w14:solidFill>
          </w14:textFill>
        </w:rPr>
        <w:t xml:space="preserve">       年   月   日</w:t>
      </w:r>
      <w:r>
        <w:rPr>
          <w:rFonts w:hint="eastAsia"/>
          <w:color w:val="000000" w:themeColor="text1"/>
          <w:highlight w:val="none"/>
          <w14:textFill>
            <w14:solidFill>
              <w14:schemeClr w14:val="tx1"/>
            </w14:solidFill>
          </w14:textFill>
        </w:rPr>
        <w:t>至</w:t>
      </w:r>
      <w:r>
        <w:rPr>
          <w:rFonts w:hint="eastAsia"/>
          <w:color w:val="000000" w:themeColor="text1"/>
          <w:highlight w:val="none"/>
          <w:u w:val="single"/>
          <w14:textFill>
            <w14:solidFill>
              <w14:schemeClr w14:val="tx1"/>
            </w14:solidFill>
          </w14:textFill>
        </w:rPr>
        <w:t xml:space="preserve">       年   月   日</w:t>
      </w:r>
      <w:r>
        <w:rPr>
          <w:rFonts w:hint="eastAsia"/>
          <w:color w:val="000000" w:themeColor="text1"/>
          <w:highlight w:val="none"/>
          <w14:textFill>
            <w14:solidFill>
              <w14:schemeClr w14:val="tx1"/>
            </w14:solidFill>
          </w14:textFill>
        </w:rPr>
        <w:t>。我方接受被保证人的委托，在此向受益人提供不可撤销的履约保函：</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1．本保证担保的最高担保金额为人民币</w:t>
      </w:r>
      <w:r>
        <w:rPr>
          <w:rFonts w:hint="eastAsia"/>
          <w:color w:val="000000" w:themeColor="text1"/>
          <w:highlight w:val="none"/>
          <w:u w:val="single"/>
          <w14:textFill>
            <w14:solidFill>
              <w14:schemeClr w14:val="tx1"/>
            </w14:solidFill>
          </w14:textFill>
        </w:rPr>
        <w:t xml:space="preserve">   （小写)    </w:t>
      </w:r>
      <w:r>
        <w:rPr>
          <w:rFonts w:hint="eastAsia"/>
          <w:color w:val="000000" w:themeColor="text1"/>
          <w:highlight w:val="none"/>
          <w14:textFill>
            <w14:solidFill>
              <w14:schemeClr w14:val="tx1"/>
            </w14:solidFill>
          </w14:textFill>
        </w:rPr>
        <w:t>元（</w:t>
      </w:r>
      <w:r>
        <w:rPr>
          <w:rFonts w:hint="eastAsia"/>
          <w:color w:val="000000" w:themeColor="text1"/>
          <w:highlight w:val="none"/>
          <w:u w:val="single"/>
          <w14:textFill>
            <w14:solidFill>
              <w14:schemeClr w14:val="tx1"/>
            </w14:solidFill>
          </w14:textFill>
        </w:rPr>
        <w:t xml:space="preserve">   （大写)     </w:t>
      </w:r>
      <w:r>
        <w:rPr>
          <w:rFonts w:hint="eastAsia"/>
          <w:color w:val="000000" w:themeColor="text1"/>
          <w:highlight w:val="none"/>
          <w14:textFill>
            <w14:solidFill>
              <w14:schemeClr w14:val="tx1"/>
            </w14:solidFill>
          </w14:textFill>
        </w:rPr>
        <w:t>元）。</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2．本保证担保的保证期间自</w:t>
      </w:r>
      <w:r>
        <w:rPr>
          <w:rFonts w:hint="eastAsia"/>
          <w:color w:val="000000" w:themeColor="text1"/>
          <w:highlight w:val="none"/>
          <w:u w:val="single"/>
          <w14:textFill>
            <w14:solidFill>
              <w14:schemeClr w14:val="tx1"/>
            </w14:solidFill>
          </w14:textFill>
        </w:rPr>
        <w:t xml:space="preserve">        年    月   日</w:t>
      </w:r>
      <w:r>
        <w:rPr>
          <w:rFonts w:hint="eastAsia"/>
          <w:color w:val="000000" w:themeColor="text1"/>
          <w:highlight w:val="none"/>
          <w14:textFill>
            <w14:solidFill>
              <w14:schemeClr w14:val="tx1"/>
            </w14:solidFill>
          </w14:textFill>
        </w:rPr>
        <w:t>至</w:t>
      </w:r>
      <w:r>
        <w:rPr>
          <w:rFonts w:hint="eastAsia"/>
          <w:color w:val="000000" w:themeColor="text1"/>
          <w:highlight w:val="none"/>
          <w:u w:val="single"/>
          <w14:textFill>
            <w14:solidFill>
              <w14:schemeClr w14:val="tx1"/>
            </w14:solidFill>
          </w14:textFill>
        </w:rPr>
        <w:t xml:space="preserve">        年   月   日</w:t>
      </w:r>
      <w:r>
        <w:rPr>
          <w:rFonts w:hint="eastAsia"/>
          <w:color w:val="000000" w:themeColor="text1"/>
          <w:highlight w:val="none"/>
          <w14:textFill>
            <w14:solidFill>
              <w14:schemeClr w14:val="tx1"/>
            </w14:solidFill>
          </w14:textFill>
        </w:rPr>
        <w:t>。</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3．在本保证担保的保证期间内，我方将在收到</w:t>
      </w:r>
      <w:r>
        <w:rPr>
          <w:rFonts w:hint="eastAsia"/>
          <w:color w:val="000000" w:themeColor="text1"/>
          <w:highlight w:val="none"/>
          <w:u w:val="single"/>
          <w14:textFill>
            <w14:solidFill>
              <w14:schemeClr w14:val="tx1"/>
            </w14:solidFill>
          </w14:textFill>
        </w:rPr>
        <w:t xml:space="preserve">      （受益人）     </w:t>
      </w:r>
      <w:r>
        <w:rPr>
          <w:rFonts w:hint="eastAsia"/>
          <w:color w:val="000000" w:themeColor="text1"/>
          <w:highlight w:val="none"/>
          <w14:textFill>
            <w14:solidFill>
              <w14:schemeClr w14:val="tx1"/>
            </w14:solidFill>
          </w14:textFill>
        </w:rPr>
        <w:t>法定代表人或其授权委托代理人签字确认并加盖公章的书面索赔通知后</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个工作日内，不争辩、不挑剔、不可撤销地向受益人支付索赔款，直至本保证的最高担保金额。</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4．索赔通知应当说明索赔理由、索赔款额的计算方法，并必须在本保证担保的保证期间内送达我方。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5．本保证担保项下的权利不得转让。</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6．我方提供本保证担保后，受益人与被保证人对合同进行修订的，应当将修订后的合同原件送我方备案。</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7．本保证担保的保证期间届满，或我方向受益人支付的索赔款已达本保证担保的最高担保金额，我方的保证责任免除。</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8．本保证担保适用中华人民共和国法律。</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9．本保证担保以中文文本为准，涂改无效。</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（本保函失效后，请将原件退回我方注销)</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保证人名称（公章)：</w:t>
      </w:r>
      <w:r>
        <w:rPr>
          <w:rFonts w:hint="eastAsia"/>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法定代表人或委托代理人（签字)：</w:t>
      </w:r>
      <w:r>
        <w:rPr>
          <w:rFonts w:hint="eastAsia"/>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单位地址：</w:t>
      </w:r>
      <w:r>
        <w:rPr>
          <w:rFonts w:hint="eastAsia"/>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传真：</w:t>
      </w:r>
      <w:r>
        <w:rPr>
          <w:rFonts w:hint="eastAsia"/>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w:t>
      </w:r>
      <w:r>
        <w:rPr>
          <w:rFonts w:hint="eastAsia" w:ascii="仿宋_GB2312" w:eastAsia="仿宋_GB2312"/>
          <w:color w:val="000000" w:themeColor="text1"/>
          <w:szCs w:val="2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说明：《履约担保》为中标后提交履约保函时所用，投标文件中无需提供《履约担保》。</w:t>
      </w:r>
    </w:p>
    <w:p>
      <w:pPr>
        <w:shd w:val="clear" w:color="auto" w:fill="auto"/>
        <w:tabs>
          <w:tab w:val="clear" w:pos="426"/>
        </w:tabs>
        <w:adjustRightInd/>
        <w:snapToGrid/>
        <w:spacing w:line="240" w:lineRule="auto"/>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tabs>
          <w:tab w:val="clear" w:pos="426"/>
        </w:tabs>
        <w:rPr>
          <w:color w:val="000000" w:themeColor="text1"/>
          <w:highlight w:val="none"/>
          <w14:textFill>
            <w14:solidFill>
              <w14:schemeClr w14:val="tx1"/>
            </w14:solidFill>
          </w14:textFill>
        </w:rPr>
      </w:pPr>
    </w:p>
    <w:p>
      <w:pPr>
        <w:tabs>
          <w:tab w:val="clear" w:pos="426"/>
        </w:tabs>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四、政府采购履约情况反馈表</w:t>
      </w:r>
    </w:p>
    <w:p>
      <w:pPr>
        <w:tabs>
          <w:tab w:val="clear" w:pos="426"/>
        </w:tabs>
        <w:jc w:val="center"/>
        <w:rPr>
          <w:b/>
          <w:color w:val="000000" w:themeColor="text1"/>
          <w:sz w:val="24"/>
          <w:highlight w:val="none"/>
          <w14:textFill>
            <w14:solidFill>
              <w14:schemeClr w14:val="tx1"/>
            </w14:solidFill>
          </w14:textFill>
        </w:rPr>
      </w:pPr>
    </w:p>
    <w:p>
      <w:pPr>
        <w:tabs>
          <w:tab w:val="clear" w:pos="426"/>
        </w:tabs>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采购单位名称：</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联系人及电话：</w:t>
      </w:r>
      <w:r>
        <w:rPr>
          <w:rFonts w:hint="eastAsia"/>
          <w:color w:val="000000" w:themeColor="text1"/>
          <w:highlight w:val="none"/>
          <w:u w:val="single"/>
          <w14:textFill>
            <w14:solidFill>
              <w14:schemeClr w14:val="tx1"/>
            </w14:solidFill>
          </w14:textFill>
        </w:rPr>
        <w:t xml:space="preserve">                            </w:t>
      </w:r>
    </w:p>
    <w:tbl>
      <w:tblPr>
        <w:tblStyle w:val="44"/>
        <w:tblW w:w="9570"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4"/>
        <w:gridCol w:w="773"/>
        <w:gridCol w:w="773"/>
        <w:gridCol w:w="2704"/>
        <w:gridCol w:w="2125"/>
        <w:gridCol w:w="229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2450" w:type="dxa"/>
            <w:gridSpan w:val="3"/>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采购项目名称</w:t>
            </w:r>
          </w:p>
        </w:tc>
        <w:tc>
          <w:tcPr>
            <w:tcW w:w="2704" w:type="dxa"/>
            <w:vAlign w:val="center"/>
          </w:tcPr>
          <w:p>
            <w:pPr>
              <w:tabs>
                <w:tab w:val="clear" w:pos="426"/>
              </w:tabs>
              <w:spacing w:line="240" w:lineRule="auto"/>
              <w:rPr>
                <w:color w:val="000000" w:themeColor="text1"/>
                <w:highlight w:val="none"/>
                <w14:textFill>
                  <w14:solidFill>
                    <w14:schemeClr w14:val="tx1"/>
                  </w14:solidFill>
                </w14:textFill>
              </w:rPr>
            </w:pPr>
          </w:p>
        </w:tc>
        <w:tc>
          <w:tcPr>
            <w:tcW w:w="2125" w:type="dxa"/>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项目编号</w:t>
            </w:r>
          </w:p>
        </w:tc>
        <w:tc>
          <w:tcPr>
            <w:tcW w:w="2291" w:type="dxa"/>
            <w:vAlign w:val="center"/>
          </w:tcPr>
          <w:p>
            <w:pPr>
              <w:pStyle w:val="6"/>
              <w:tabs>
                <w:tab w:val="clear" w:pos="426"/>
              </w:tabs>
              <w:spacing w:line="240" w:lineRule="auto"/>
              <w:jc w:val="both"/>
              <w:rPr>
                <w:rFonts w:ascii="宋体" w:hAnsi="宋体" w:cs="宋体"/>
                <w:color w:val="000000" w:themeColor="text1"/>
                <w:kern w:val="0"/>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61" w:hRule="atLeast"/>
          <w:jc w:val="center"/>
        </w:trPr>
        <w:tc>
          <w:tcPr>
            <w:tcW w:w="2450" w:type="dxa"/>
            <w:gridSpan w:val="3"/>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中标人名称</w:t>
            </w:r>
          </w:p>
        </w:tc>
        <w:tc>
          <w:tcPr>
            <w:tcW w:w="2704" w:type="dxa"/>
            <w:vAlign w:val="center"/>
          </w:tcPr>
          <w:p>
            <w:pPr>
              <w:tabs>
                <w:tab w:val="clear" w:pos="426"/>
              </w:tabs>
              <w:spacing w:line="240" w:lineRule="auto"/>
              <w:rPr>
                <w:color w:val="000000" w:themeColor="text1"/>
                <w:highlight w:val="none"/>
                <w14:textFill>
                  <w14:solidFill>
                    <w14:schemeClr w14:val="tx1"/>
                  </w14:solidFill>
                </w14:textFill>
              </w:rPr>
            </w:pPr>
          </w:p>
        </w:tc>
        <w:tc>
          <w:tcPr>
            <w:tcW w:w="2125" w:type="dxa"/>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w:t>
            </w:r>
          </w:p>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联系人及电话</w:t>
            </w:r>
          </w:p>
        </w:tc>
        <w:tc>
          <w:tcPr>
            <w:tcW w:w="2291" w:type="dxa"/>
            <w:vAlign w:val="center"/>
          </w:tcPr>
          <w:p>
            <w:pPr>
              <w:tabs>
                <w:tab w:val="clear" w:pos="426"/>
              </w:tabs>
              <w:spacing w:line="240" w:lineRule="auto"/>
              <w:rPr>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38" w:hRule="atLeast"/>
          <w:jc w:val="center"/>
        </w:trPr>
        <w:tc>
          <w:tcPr>
            <w:tcW w:w="2450" w:type="dxa"/>
            <w:gridSpan w:val="3"/>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中标金额</w:t>
            </w:r>
          </w:p>
        </w:tc>
        <w:tc>
          <w:tcPr>
            <w:tcW w:w="2704" w:type="dxa"/>
            <w:vAlign w:val="center"/>
          </w:tcPr>
          <w:p>
            <w:pPr>
              <w:tabs>
                <w:tab w:val="clear" w:pos="426"/>
              </w:tabs>
              <w:spacing w:line="240" w:lineRule="auto"/>
              <w:rPr>
                <w:color w:val="000000" w:themeColor="text1"/>
                <w:highlight w:val="none"/>
                <w14:textFill>
                  <w14:solidFill>
                    <w14:schemeClr w14:val="tx1"/>
                  </w14:solidFill>
                </w14:textFill>
              </w:rPr>
            </w:pPr>
          </w:p>
        </w:tc>
        <w:tc>
          <w:tcPr>
            <w:tcW w:w="2125" w:type="dxa"/>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合同履约时间</w:t>
            </w:r>
          </w:p>
        </w:tc>
        <w:tc>
          <w:tcPr>
            <w:tcW w:w="2291" w:type="dxa"/>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restart"/>
            <w:vAlign w:val="center"/>
          </w:tcPr>
          <w:p>
            <w:pPr>
              <w:tabs>
                <w:tab w:val="clear" w:pos="426"/>
              </w:tabs>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履约情况评价</w:t>
            </w:r>
          </w:p>
        </w:tc>
        <w:tc>
          <w:tcPr>
            <w:tcW w:w="1546" w:type="dxa"/>
            <w:gridSpan w:val="2"/>
            <w:tcBorders>
              <w:right w:val="single" w:color="auto" w:sz="4" w:space="0"/>
            </w:tcBorders>
            <w:vAlign w:val="center"/>
          </w:tcPr>
          <w:p>
            <w:pPr>
              <w:tabs>
                <w:tab w:val="clear" w:pos="426"/>
              </w:tabs>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总体评价</w:t>
            </w:r>
          </w:p>
        </w:tc>
        <w:tc>
          <w:tcPr>
            <w:tcW w:w="7120" w:type="dxa"/>
            <w:gridSpan w:val="3"/>
            <w:tcBorders>
              <w:left w:val="single" w:color="auto" w:sz="4" w:space="0"/>
            </w:tcBorders>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jc w:val="center"/>
              <w:rPr>
                <w:color w:val="000000" w:themeColor="text1"/>
                <w:highlight w:val="none"/>
                <w14:textFill>
                  <w14:solidFill>
                    <w14:schemeClr w14:val="tx1"/>
                  </w14:solidFill>
                </w14:textFill>
              </w:rPr>
            </w:pPr>
          </w:p>
        </w:tc>
        <w:tc>
          <w:tcPr>
            <w:tcW w:w="773" w:type="dxa"/>
            <w:vMerge w:val="restart"/>
            <w:tcBorders>
              <w:right w:val="single" w:color="auto" w:sz="4" w:space="0"/>
            </w:tcBorders>
            <w:vAlign w:val="center"/>
          </w:tcPr>
          <w:p>
            <w:pPr>
              <w:tabs>
                <w:tab w:val="clear" w:pos="426"/>
              </w:tabs>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分项评价</w:t>
            </w:r>
          </w:p>
        </w:tc>
        <w:tc>
          <w:tcPr>
            <w:tcW w:w="773" w:type="dxa"/>
            <w:tcBorders>
              <w:left w:val="single" w:color="auto" w:sz="4" w:space="0"/>
              <w:right w:val="single" w:color="auto" w:sz="4" w:space="0"/>
            </w:tcBorders>
            <w:vAlign w:val="center"/>
          </w:tcPr>
          <w:p>
            <w:pPr>
              <w:tabs>
                <w:tab w:val="clear" w:pos="426"/>
              </w:tabs>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质量方面</w:t>
            </w:r>
          </w:p>
        </w:tc>
        <w:tc>
          <w:tcPr>
            <w:tcW w:w="7120" w:type="dxa"/>
            <w:gridSpan w:val="3"/>
            <w:tcBorders>
              <w:left w:val="single" w:color="auto" w:sz="4" w:space="0"/>
            </w:tcBorders>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000000" w:themeColor="text1"/>
                <w:highlight w:val="none"/>
                <w14:textFill>
                  <w14:solidFill>
                    <w14:schemeClr w14:val="tx1"/>
                  </w14:solidFill>
                </w14:textFill>
              </w:rPr>
            </w:pPr>
          </w:p>
        </w:tc>
        <w:tc>
          <w:tcPr>
            <w:tcW w:w="773" w:type="dxa"/>
            <w:vMerge w:val="continue"/>
            <w:tcBorders>
              <w:right w:val="single" w:color="auto" w:sz="4" w:space="0"/>
            </w:tcBorders>
            <w:vAlign w:val="center"/>
          </w:tcPr>
          <w:p>
            <w:pPr>
              <w:tabs>
                <w:tab w:val="clear" w:pos="426"/>
              </w:tabs>
              <w:spacing w:line="240" w:lineRule="auto"/>
              <w:rPr>
                <w:color w:val="000000" w:themeColor="text1"/>
                <w:highlight w:val="none"/>
                <w14:textFill>
                  <w14:solidFill>
                    <w14:schemeClr w14:val="tx1"/>
                  </w14:solidFill>
                </w14:textFill>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价格方面</w:t>
            </w:r>
          </w:p>
        </w:tc>
        <w:tc>
          <w:tcPr>
            <w:tcW w:w="7120" w:type="dxa"/>
            <w:gridSpan w:val="3"/>
            <w:tcBorders>
              <w:left w:val="single" w:color="auto" w:sz="4" w:space="0"/>
            </w:tcBorders>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000000" w:themeColor="text1"/>
                <w:highlight w:val="none"/>
                <w14:textFill>
                  <w14:solidFill>
                    <w14:schemeClr w14:val="tx1"/>
                  </w14:solidFill>
                </w14:textFill>
              </w:rPr>
            </w:pPr>
          </w:p>
        </w:tc>
        <w:tc>
          <w:tcPr>
            <w:tcW w:w="773" w:type="dxa"/>
            <w:vMerge w:val="continue"/>
            <w:tcBorders>
              <w:right w:val="single" w:color="auto" w:sz="4" w:space="0"/>
            </w:tcBorders>
            <w:vAlign w:val="center"/>
          </w:tcPr>
          <w:p>
            <w:pPr>
              <w:tabs>
                <w:tab w:val="clear" w:pos="426"/>
              </w:tabs>
              <w:spacing w:line="240" w:lineRule="auto"/>
              <w:rPr>
                <w:color w:val="000000" w:themeColor="text1"/>
                <w:highlight w:val="none"/>
                <w14:textFill>
                  <w14:solidFill>
                    <w14:schemeClr w14:val="tx1"/>
                  </w14:solidFill>
                </w14:textFill>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服务方面</w:t>
            </w:r>
          </w:p>
        </w:tc>
        <w:tc>
          <w:tcPr>
            <w:tcW w:w="7120" w:type="dxa"/>
            <w:gridSpan w:val="3"/>
            <w:tcBorders>
              <w:left w:val="single" w:color="auto" w:sz="4" w:space="0"/>
            </w:tcBorders>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000000" w:themeColor="text1"/>
                <w:highlight w:val="none"/>
                <w14:textFill>
                  <w14:solidFill>
                    <w14:schemeClr w14:val="tx1"/>
                  </w14:solidFill>
                </w14:textFill>
              </w:rPr>
            </w:pPr>
          </w:p>
        </w:tc>
        <w:tc>
          <w:tcPr>
            <w:tcW w:w="773" w:type="dxa"/>
            <w:vMerge w:val="continue"/>
            <w:tcBorders>
              <w:right w:val="single" w:color="auto" w:sz="4" w:space="0"/>
            </w:tcBorders>
            <w:vAlign w:val="center"/>
          </w:tcPr>
          <w:p>
            <w:pPr>
              <w:tabs>
                <w:tab w:val="clear" w:pos="426"/>
              </w:tabs>
              <w:spacing w:line="240" w:lineRule="auto"/>
              <w:rPr>
                <w:color w:val="000000" w:themeColor="text1"/>
                <w:highlight w:val="none"/>
                <w14:textFill>
                  <w14:solidFill>
                    <w14:schemeClr w14:val="tx1"/>
                  </w14:solidFill>
                </w14:textFill>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时间方面</w:t>
            </w:r>
          </w:p>
        </w:tc>
        <w:tc>
          <w:tcPr>
            <w:tcW w:w="7120" w:type="dxa"/>
            <w:gridSpan w:val="3"/>
            <w:tcBorders>
              <w:left w:val="single" w:color="auto" w:sz="4" w:space="0"/>
            </w:tcBorders>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000000" w:themeColor="text1"/>
                <w:highlight w:val="none"/>
                <w14:textFill>
                  <w14:solidFill>
                    <w14:schemeClr w14:val="tx1"/>
                  </w14:solidFill>
                </w14:textFill>
              </w:rPr>
            </w:pPr>
          </w:p>
        </w:tc>
        <w:tc>
          <w:tcPr>
            <w:tcW w:w="773" w:type="dxa"/>
            <w:vMerge w:val="continue"/>
            <w:tcBorders>
              <w:right w:val="single" w:color="auto" w:sz="4" w:space="0"/>
            </w:tcBorders>
            <w:vAlign w:val="center"/>
          </w:tcPr>
          <w:p>
            <w:pPr>
              <w:tabs>
                <w:tab w:val="clear" w:pos="426"/>
              </w:tabs>
              <w:spacing w:line="240" w:lineRule="auto"/>
              <w:rPr>
                <w:color w:val="000000" w:themeColor="text1"/>
                <w:highlight w:val="none"/>
                <w14:textFill>
                  <w14:solidFill>
                    <w14:schemeClr w14:val="tx1"/>
                  </w14:solidFill>
                </w14:textFill>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环境保护</w:t>
            </w:r>
          </w:p>
        </w:tc>
        <w:tc>
          <w:tcPr>
            <w:tcW w:w="7120" w:type="dxa"/>
            <w:gridSpan w:val="3"/>
            <w:tcBorders>
              <w:left w:val="single" w:color="auto" w:sz="4" w:space="0"/>
            </w:tcBorders>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850" w:hRule="atLeast"/>
          <w:jc w:val="center"/>
        </w:trPr>
        <w:tc>
          <w:tcPr>
            <w:tcW w:w="904" w:type="dxa"/>
            <w:vMerge w:val="continue"/>
            <w:vAlign w:val="center"/>
          </w:tcPr>
          <w:p>
            <w:pPr>
              <w:tabs>
                <w:tab w:val="clear" w:pos="426"/>
              </w:tabs>
              <w:spacing w:line="240" w:lineRule="auto"/>
              <w:rPr>
                <w:color w:val="000000" w:themeColor="text1"/>
                <w:highlight w:val="none"/>
                <w14:textFill>
                  <w14:solidFill>
                    <w14:schemeClr w14:val="tx1"/>
                  </w14:solidFill>
                </w14:textFill>
              </w:rPr>
            </w:pPr>
          </w:p>
        </w:tc>
        <w:tc>
          <w:tcPr>
            <w:tcW w:w="773" w:type="dxa"/>
            <w:vMerge w:val="continue"/>
            <w:tcBorders>
              <w:right w:val="single" w:color="auto" w:sz="4" w:space="0"/>
            </w:tcBorders>
            <w:vAlign w:val="center"/>
          </w:tcPr>
          <w:p>
            <w:pPr>
              <w:tabs>
                <w:tab w:val="clear" w:pos="426"/>
              </w:tabs>
              <w:spacing w:line="240" w:lineRule="auto"/>
              <w:rPr>
                <w:color w:val="000000" w:themeColor="text1"/>
                <w:highlight w:val="none"/>
                <w14:textFill>
                  <w14:solidFill>
                    <w14:schemeClr w14:val="tx1"/>
                  </w14:solidFill>
                </w14:textFill>
              </w:rPr>
            </w:pPr>
          </w:p>
        </w:tc>
        <w:tc>
          <w:tcPr>
            <w:tcW w:w="773" w:type="dxa"/>
            <w:tcBorders>
              <w:left w:val="single" w:color="auto" w:sz="4" w:space="0"/>
              <w:right w:val="single" w:color="auto" w:sz="4" w:space="0"/>
            </w:tcBorders>
            <w:vAlign w:val="center"/>
          </w:tcPr>
          <w:p>
            <w:pPr>
              <w:tabs>
                <w:tab w:val="clear" w:pos="426"/>
              </w:tabs>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w:t>
            </w:r>
          </w:p>
        </w:tc>
        <w:tc>
          <w:tcPr>
            <w:tcW w:w="7120" w:type="dxa"/>
            <w:gridSpan w:val="3"/>
            <w:tcBorders>
              <w:left w:val="single" w:color="auto" w:sz="4" w:space="0"/>
            </w:tcBorders>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评价内容为：                    </w:t>
            </w:r>
          </w:p>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994" w:hRule="atLeast"/>
          <w:jc w:val="center"/>
        </w:trPr>
        <w:tc>
          <w:tcPr>
            <w:tcW w:w="1677" w:type="dxa"/>
            <w:gridSpan w:val="2"/>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具体情况说明</w:t>
            </w:r>
          </w:p>
        </w:tc>
        <w:tc>
          <w:tcPr>
            <w:tcW w:w="7893" w:type="dxa"/>
            <w:gridSpan w:val="4"/>
          </w:tcPr>
          <w:p>
            <w:pPr>
              <w:tabs>
                <w:tab w:val="clear" w:pos="426"/>
              </w:tabs>
              <w:spacing w:line="240" w:lineRule="auto"/>
              <w:rPr>
                <w:color w:val="000000" w:themeColor="text1"/>
                <w:highlight w:val="none"/>
                <w14:textFill>
                  <w14:solidFill>
                    <w14:schemeClr w14:val="tx1"/>
                  </w14:solidFill>
                </w14:textFill>
              </w:rPr>
            </w:pPr>
          </w:p>
          <w:p>
            <w:pPr>
              <w:tabs>
                <w:tab w:val="clear" w:pos="426"/>
              </w:tabs>
              <w:spacing w:line="240" w:lineRule="auto"/>
              <w:rPr>
                <w:color w:val="000000" w:themeColor="text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141" w:hRule="atLeast"/>
          <w:jc w:val="center"/>
        </w:trPr>
        <w:tc>
          <w:tcPr>
            <w:tcW w:w="1677" w:type="dxa"/>
            <w:gridSpan w:val="2"/>
            <w:vAlign w:val="center"/>
          </w:tcPr>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采购单位意见</w:t>
            </w:r>
          </w:p>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（公章）</w:t>
            </w:r>
          </w:p>
        </w:tc>
        <w:tc>
          <w:tcPr>
            <w:tcW w:w="7893" w:type="dxa"/>
            <w:gridSpan w:val="4"/>
            <w:vAlign w:val="center"/>
          </w:tcPr>
          <w:p>
            <w:pPr>
              <w:tabs>
                <w:tab w:val="clear" w:pos="426"/>
              </w:tabs>
              <w:spacing w:line="240" w:lineRule="auto"/>
              <w:rPr>
                <w:color w:val="000000" w:themeColor="text1"/>
                <w:highlight w:val="none"/>
                <w14:textFill>
                  <w14:solidFill>
                    <w14:schemeClr w14:val="tx1"/>
                  </w14:solidFill>
                </w14:textFill>
              </w:rPr>
            </w:pPr>
          </w:p>
          <w:p>
            <w:pPr>
              <w:tabs>
                <w:tab w:val="clear" w:pos="426"/>
              </w:tabs>
              <w:spacing w:line="240" w:lineRule="auto"/>
              <w:rPr>
                <w:color w:val="000000" w:themeColor="text1"/>
                <w:highlight w:val="none"/>
                <w14:textFill>
                  <w14:solidFill>
                    <w14:schemeClr w14:val="tx1"/>
                  </w14:solidFill>
                </w14:textFill>
              </w:rPr>
            </w:pPr>
          </w:p>
          <w:p>
            <w:pPr>
              <w:tabs>
                <w:tab w:val="clear" w:pos="426"/>
              </w:tabs>
              <w:spacing w:line="240" w:lineRule="auto"/>
              <w:rPr>
                <w:color w:val="000000" w:themeColor="text1"/>
                <w:highlight w:val="none"/>
                <w14:textFill>
                  <w14:solidFill>
                    <w14:schemeClr w14:val="tx1"/>
                  </w14:solidFill>
                </w14:textFill>
              </w:rPr>
            </w:pPr>
          </w:p>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   年   月   日</w:t>
            </w:r>
          </w:p>
        </w:tc>
      </w:tr>
    </w:tbl>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1、本表为采购单位向深圳市政府采购中心反映政府采购项目履约情况时所用；</w:t>
      </w:r>
    </w:p>
    <w:p>
      <w:pPr>
        <w:tabs>
          <w:tab w:val="clear" w:pos="426"/>
        </w:tabs>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2、履约情况评价分为优、良、中、差四个等级，请在对应的框前打“√”，然后在“具体情况说明”一栏详细说明有关情况。</w:t>
      </w:r>
    </w:p>
    <w:p>
      <w:pPr>
        <w:pStyle w:val="33"/>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49" w:name="_Toc3628662"/>
      <w:bookmarkStart w:id="50" w:name="_Toc20842"/>
      <w:r>
        <w:rPr>
          <w:rFonts w:hint="eastAsia"/>
          <w:color w:val="000000" w:themeColor="text1"/>
          <w:highlight w:val="none"/>
          <w14:textFill>
            <w14:solidFill>
              <w14:schemeClr w14:val="tx1"/>
            </w14:solidFill>
          </w14:textFill>
        </w:rPr>
        <w:t>第五章 投标文件格式、附件</w:t>
      </w:r>
      <w:bookmarkEnd w:id="46"/>
      <w:bookmarkEnd w:id="47"/>
      <w:bookmarkEnd w:id="49"/>
      <w:bookmarkEnd w:id="50"/>
    </w:p>
    <w:p>
      <w:pPr>
        <w:tabs>
          <w:tab w:val="clear" w:pos="426"/>
        </w:tabs>
        <w:rPr>
          <w:color w:val="000000" w:themeColor="text1"/>
          <w:highlight w:val="none"/>
          <w14:textFill>
            <w14:solidFill>
              <w14:schemeClr w14:val="tx1"/>
            </w14:solidFill>
          </w14:textFill>
        </w:rPr>
      </w:pPr>
      <w:r>
        <w:rPr>
          <w:rStyle w:val="66"/>
          <w:rFonts w:hint="eastAsia" w:ascii="宋体" w:eastAsia="宋体"/>
          <w:color w:val="000000" w:themeColor="text1"/>
          <w:sz w:val="24"/>
          <w:highlight w:val="none"/>
          <w14:textFill>
            <w14:solidFill>
              <w14:schemeClr w14:val="tx1"/>
            </w14:solidFill>
          </w14:textFill>
        </w:rPr>
        <w:t>特别提醒：</w:t>
      </w:r>
      <w:r>
        <w:rPr>
          <w:rFonts w:hint="eastAsia"/>
          <w:color w:val="000000" w:themeColor="text1"/>
          <w:highlight w:val="none"/>
          <w14:textFill>
            <w14:solidFill>
              <w14:schemeClr w14:val="tx1"/>
            </w14:solidFill>
          </w14:textFill>
        </w:rPr>
        <w:t>投标人在编辑投标文件时，应严格按照招标文件提供的格式进行编写，因未按要求编写导致投标文件不予受理、无效标或废标的，一切后果由供应商自行承担。</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投标文件组成：</w:t>
      </w:r>
    </w:p>
    <w:p>
      <w:pPr>
        <w:tabs>
          <w:tab w:val="clear" w:pos="426"/>
        </w:tabs>
        <w:rPr>
          <w:color w:val="000000" w:themeColor="text1"/>
          <w:highlight w:val="none"/>
          <w14:textFill>
            <w14:solidFill>
              <w14:schemeClr w14:val="tx1"/>
            </w14:solidFill>
          </w14:textFill>
        </w:rPr>
      </w:pPr>
    </w:p>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密封袋封条格式</w:t>
      </w:r>
    </w:p>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投标文件封面格式</w:t>
      </w:r>
    </w:p>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目录（目录格式自定）</w:t>
      </w:r>
    </w:p>
    <w:p>
      <w:pPr>
        <w:tabs>
          <w:tab w:val="clear" w:pos="426"/>
        </w:tabs>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评标指引表</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投标函</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政府采购投标及履约承诺函</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法定代表人授权委托书、法定代表人证明书</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投标人基本情况表</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开标一览表（报价表）</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货物清单</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技术响应</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整体方案合计数分析理解</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布置图、效果图</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产品质量保证</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维修服务机构情况</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企业综合实力</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同类项目业绩</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ascii="宋体" w:hAnsi="宋体"/>
          <w:color w:val="000000" w:themeColor="text1"/>
          <w:kern w:val="0"/>
          <w:szCs w:val="21"/>
          <w:highlight w:val="none"/>
          <w:lang w:val="zh-CN"/>
          <w14:textFill>
            <w14:solidFill>
              <w14:schemeClr w14:val="tx1"/>
            </w14:solidFill>
          </w14:textFill>
        </w:rPr>
        <w:t>商务要求偏离</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中小企业声明函及残疾人福利性单位声明函（或省级以上监狱管理局、戒毒管理局（含新疆生产建设兵团）出具的属于监狱企业的证明文件）（可选）</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招标代理服务费承诺书</w:t>
      </w:r>
    </w:p>
    <w:p>
      <w:pPr>
        <w:pStyle w:val="287"/>
        <w:numPr>
          <w:ilvl w:val="0"/>
          <w:numId w:val="24"/>
        </w:numPr>
        <w:spacing w:line="240" w:lineRule="auto"/>
        <w:ind w:left="567" w:leftChars="27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招标文件要求的其他内容及投标人认为需要加以说明的其他内容</w:t>
      </w:r>
    </w:p>
    <w:p>
      <w:pPr>
        <w:tabs>
          <w:tab w:val="clear" w:pos="426"/>
        </w:tabs>
        <w:jc w:val="center"/>
        <w:rPr>
          <w:color w:val="000000" w:themeColor="text1"/>
          <w:sz w:val="44"/>
          <w:szCs w:val="44"/>
          <w:highlight w:val="none"/>
          <w:u w:val="single"/>
          <w14:textFill>
            <w14:solidFill>
              <w14:schemeClr w14:val="tx1"/>
            </w14:solidFill>
          </w14:textFill>
        </w:rPr>
      </w:pPr>
    </w:p>
    <w:p>
      <w:pPr>
        <w:adjustRightInd/>
        <w:snapToGrid/>
        <w:spacing w:before="280" w:after="290" w:line="377" w:lineRule="auto"/>
        <w:jc w:val="center"/>
        <w:outlineLvl w:val="3"/>
        <w:rPr>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密封袋封条格式</w:t>
      </w:r>
    </w:p>
    <w:p>
      <w:pPr>
        <w:tabs>
          <w:tab w:val="clear" w:pos="426"/>
        </w:tabs>
        <w:jc w:val="center"/>
        <w:rPr>
          <w:color w:val="000000" w:themeColor="text1"/>
          <w:sz w:val="44"/>
          <w:szCs w:val="44"/>
          <w:highlight w:val="none"/>
          <w14:textFill>
            <w14:solidFill>
              <w14:schemeClr w14:val="tx1"/>
            </w14:solidFill>
          </w14:textFill>
        </w:rPr>
      </w:pPr>
      <w:r>
        <w:rPr>
          <w:rFonts w:hint="eastAsia"/>
          <w:color w:val="000000" w:themeColor="text1"/>
          <w:sz w:val="44"/>
          <w:szCs w:val="44"/>
          <w:highlight w:val="none"/>
          <w:u w:val="single"/>
          <w14:textFill>
            <w14:solidFill>
              <w14:schemeClr w14:val="tx1"/>
            </w14:solidFill>
          </w14:textFill>
        </w:rPr>
        <w:t>监护型救护车采购</w:t>
      </w:r>
      <w:r>
        <w:rPr>
          <w:rFonts w:hint="eastAsia"/>
          <w:color w:val="000000" w:themeColor="text1"/>
          <w:sz w:val="44"/>
          <w:szCs w:val="44"/>
          <w:highlight w:val="none"/>
          <w14:textFill>
            <w14:solidFill>
              <w14:schemeClr w14:val="tx1"/>
            </w14:solidFill>
          </w14:textFill>
        </w:rPr>
        <w:t>项目</w:t>
      </w:r>
    </w:p>
    <w:p>
      <w:pPr>
        <w:tabs>
          <w:tab w:val="clear" w:pos="426"/>
        </w:tabs>
        <w:jc w:val="center"/>
        <w:rPr>
          <w:color w:val="000000" w:themeColor="text1"/>
          <w:highlight w:val="none"/>
          <w14:textFill>
            <w14:solidFill>
              <w14:schemeClr w14:val="tx1"/>
            </w14:solidFill>
          </w14:textFill>
        </w:rPr>
      </w:pPr>
    </w:p>
    <w:p>
      <w:pPr>
        <w:tabs>
          <w:tab w:val="clear" w:pos="426"/>
        </w:tabs>
        <w:jc w:val="center"/>
        <w:rPr>
          <w:color w:val="000000" w:themeColor="text1"/>
          <w:highlight w:val="none"/>
          <w14:textFill>
            <w14:solidFill>
              <w14:schemeClr w14:val="tx1"/>
            </w14:solidFill>
          </w14:textFill>
        </w:rPr>
      </w:pPr>
    </w:p>
    <w:p>
      <w:pPr>
        <w:tabs>
          <w:tab w:val="clear" w:pos="426"/>
        </w:tabs>
        <w:jc w:val="center"/>
        <w:rPr>
          <w:color w:val="000000" w:themeColor="text1"/>
          <w:sz w:val="52"/>
          <w:szCs w:val="52"/>
          <w:highlight w:val="none"/>
          <w14:textFill>
            <w14:solidFill>
              <w14:schemeClr w14:val="tx1"/>
            </w14:solidFill>
          </w14:textFill>
        </w:rPr>
      </w:pPr>
      <w:r>
        <w:rPr>
          <w:rFonts w:hint="eastAsia"/>
          <w:color w:val="000000" w:themeColor="text1"/>
          <w:sz w:val="52"/>
          <w:szCs w:val="52"/>
          <w:highlight w:val="none"/>
          <w14:textFill>
            <w14:solidFill>
              <w14:schemeClr w14:val="tx1"/>
            </w14:solidFill>
          </w14:textFill>
        </w:rPr>
        <w:t>□投标文件</w:t>
      </w:r>
    </w:p>
    <w:p>
      <w:pPr>
        <w:tabs>
          <w:tab w:val="clear" w:pos="426"/>
        </w:tabs>
        <w:jc w:val="center"/>
        <w:rPr>
          <w:color w:val="000000" w:themeColor="text1"/>
          <w:sz w:val="52"/>
          <w:szCs w:val="52"/>
          <w:highlight w:val="none"/>
          <w14:textFill>
            <w14:solidFill>
              <w14:schemeClr w14:val="tx1"/>
            </w14:solidFill>
          </w14:textFill>
        </w:rPr>
      </w:pPr>
      <w:r>
        <w:rPr>
          <w:rFonts w:hint="eastAsia"/>
          <w:color w:val="000000" w:themeColor="text1"/>
          <w:sz w:val="52"/>
          <w:szCs w:val="52"/>
          <w:highlight w:val="none"/>
          <w14:textFill>
            <w14:solidFill>
              <w14:schemeClr w14:val="tx1"/>
            </w14:solidFill>
          </w14:textFill>
        </w:rPr>
        <w:t>□开标信封</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ind w:left="708" w:leftChars="337" w:right="706" w:rightChars="336"/>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r>
        <w:rPr>
          <w:rFonts w:hint="eastAsia"/>
          <w:color w:val="000000" w:themeColor="text1"/>
          <w:sz w:val="28"/>
          <w:szCs w:val="28"/>
          <w:highlight w:val="none"/>
          <w:u w:val="single"/>
          <w14:textFill>
            <w14:solidFill>
              <w14:schemeClr w14:val="tx1"/>
            </w14:solidFill>
          </w14:textFill>
        </w:rPr>
        <w:t xml:space="preserve">                                              </w:t>
      </w:r>
    </w:p>
    <w:p>
      <w:pPr>
        <w:tabs>
          <w:tab w:val="clear" w:pos="426"/>
        </w:tabs>
        <w:ind w:left="708" w:leftChars="337"/>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投标人名称（公章)：</w:t>
      </w:r>
      <w:r>
        <w:rPr>
          <w:rFonts w:hint="eastAsia"/>
          <w:color w:val="000000" w:themeColor="text1"/>
          <w:sz w:val="28"/>
          <w:szCs w:val="28"/>
          <w:highlight w:val="none"/>
          <w:u w:val="single"/>
          <w14:textFill>
            <w14:solidFill>
              <w14:schemeClr w14:val="tx1"/>
            </w14:solidFill>
          </w14:textFill>
        </w:rPr>
        <w:t xml:space="preserve">                                     </w:t>
      </w:r>
    </w:p>
    <w:p>
      <w:pPr>
        <w:tabs>
          <w:tab w:val="clear" w:pos="426"/>
        </w:tabs>
        <w:ind w:left="708" w:leftChars="337"/>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投标人代表（签名）：</w:t>
      </w:r>
      <w:r>
        <w:rPr>
          <w:rFonts w:hint="eastAsia"/>
          <w:color w:val="000000" w:themeColor="text1"/>
          <w:sz w:val="28"/>
          <w:szCs w:val="28"/>
          <w:highlight w:val="none"/>
          <w:u w:val="single"/>
          <w14:textFill>
            <w14:solidFill>
              <w14:schemeClr w14:val="tx1"/>
            </w14:solidFill>
          </w14:textFill>
        </w:rPr>
        <w:t xml:space="preserve">                                    </w:t>
      </w:r>
    </w:p>
    <w:p>
      <w:pPr>
        <w:tabs>
          <w:tab w:val="clear" w:pos="426"/>
        </w:tabs>
        <w:ind w:left="708" w:leftChars="337"/>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投标截止日期：</w:t>
      </w:r>
      <w:r>
        <w:rPr>
          <w:rFonts w:hint="eastAsia"/>
          <w:color w:val="000000" w:themeColor="text1"/>
          <w:sz w:val="28"/>
          <w:szCs w:val="28"/>
          <w:highlight w:val="none"/>
          <w:u w:val="single"/>
          <w14:textFill>
            <w14:solidFill>
              <w14:schemeClr w14:val="tx1"/>
            </w14:solidFill>
          </w14:textFill>
        </w:rPr>
        <w:t xml:space="preserve">      年   月   日</w:t>
      </w:r>
      <w:r>
        <w:rPr>
          <w:color w:val="000000" w:themeColor="text1"/>
          <w:sz w:val="28"/>
          <w:szCs w:val="28"/>
          <w:highlight w:val="none"/>
          <w:u w:val="single"/>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时 </w:t>
      </w:r>
      <w:r>
        <w:rPr>
          <w:rFonts w:hint="eastAsia"/>
          <w:color w:val="000000" w:themeColor="text1"/>
          <w:sz w:val="28"/>
          <w:szCs w:val="28"/>
          <w:highlight w:val="none"/>
          <w:u w:val="single"/>
          <w14:textFill>
            <w14:solidFill>
              <w14:schemeClr w14:val="tx1"/>
            </w14:solidFill>
          </w14:textFill>
        </w:rPr>
        <w:t xml:space="preserve"> </w:t>
      </w:r>
      <w:r>
        <w:rPr>
          <w:color w:val="000000" w:themeColor="text1"/>
          <w:sz w:val="28"/>
          <w:szCs w:val="28"/>
          <w:highlight w:val="none"/>
          <w:u w:val="single"/>
          <w14:textFill>
            <w14:solidFill>
              <w14:schemeClr w14:val="tx1"/>
            </w14:solidFill>
          </w14:textFill>
        </w:rPr>
        <w:t xml:space="preserve"> 分</w:t>
      </w:r>
      <w:r>
        <w:rPr>
          <w:rFonts w:hint="eastAsia"/>
          <w:color w:val="000000" w:themeColor="text1"/>
          <w:sz w:val="28"/>
          <w:szCs w:val="28"/>
          <w:highlight w:val="none"/>
          <w:u w:val="single"/>
          <w14:textFill>
            <w14:solidFill>
              <w14:schemeClr w14:val="tx1"/>
            </w14:solidFill>
          </w14:textFill>
        </w:rPr>
        <w:t>（</w:t>
      </w:r>
      <w:r>
        <w:rPr>
          <w:color w:val="000000" w:themeColor="text1"/>
          <w:sz w:val="28"/>
          <w:szCs w:val="28"/>
          <w:highlight w:val="none"/>
          <w:u w:val="single"/>
          <w14:textFill>
            <w14:solidFill>
              <w14:schemeClr w14:val="tx1"/>
            </w14:solidFill>
          </w14:textFill>
        </w:rPr>
        <w:t>前不得开封</w:t>
      </w:r>
      <w:r>
        <w:rPr>
          <w:rFonts w:hint="eastAsia"/>
          <w:color w:val="000000" w:themeColor="text1"/>
          <w:sz w:val="28"/>
          <w:szCs w:val="28"/>
          <w:highlight w:val="none"/>
          <w:u w:val="single"/>
          <w14:textFill>
            <w14:solidFill>
              <w14:schemeClr w14:val="tx1"/>
            </w14:solidFill>
          </w14:textFill>
        </w:rPr>
        <w:t>）</w:t>
      </w:r>
    </w:p>
    <w:p>
      <w:pPr>
        <w:adjustRightInd/>
        <w:snapToGrid/>
        <w:spacing w:before="280" w:after="290" w:line="377" w:lineRule="auto"/>
        <w:jc w:val="center"/>
        <w:outlineLvl w:val="3"/>
        <w:rPr>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投标文件封面格式</w:t>
      </w:r>
    </w:p>
    <w:p>
      <w:pPr>
        <w:tabs>
          <w:tab w:val="clear" w:pos="426"/>
        </w:tabs>
        <w:jc w:val="right"/>
        <w:rPr>
          <w:color w:val="000000" w:themeColor="text1"/>
          <w:sz w:val="44"/>
          <w:szCs w:val="44"/>
          <w:highlight w:val="none"/>
          <w:u w:val="single"/>
          <w14:textFill>
            <w14:solidFill>
              <w14:schemeClr w14:val="tx1"/>
            </w14:solidFill>
          </w14:textFill>
        </w:rPr>
      </w:pPr>
      <w:r>
        <w:rPr>
          <w:rFonts w:hint="eastAsia"/>
          <w:color w:val="000000" w:themeColor="text1"/>
          <w:sz w:val="44"/>
          <w:szCs w:val="44"/>
          <w:highlight w:val="none"/>
          <w:u w:val="single"/>
          <w14:textFill>
            <w14:solidFill>
              <w14:schemeClr w14:val="tx1"/>
            </w14:solidFill>
          </w14:textFill>
        </w:rPr>
        <w:t>正/副本</w:t>
      </w:r>
    </w:p>
    <w:p>
      <w:pPr>
        <w:tabs>
          <w:tab w:val="clear" w:pos="426"/>
        </w:tabs>
        <w:jc w:val="center"/>
        <w:rPr>
          <w:color w:val="000000" w:themeColor="text1"/>
          <w:sz w:val="44"/>
          <w:szCs w:val="44"/>
          <w:highlight w:val="none"/>
          <w:u w:val="single"/>
          <w14:textFill>
            <w14:solidFill>
              <w14:schemeClr w14:val="tx1"/>
            </w14:solidFill>
          </w14:textFill>
        </w:rPr>
      </w:pPr>
    </w:p>
    <w:p>
      <w:pPr>
        <w:tabs>
          <w:tab w:val="clear" w:pos="426"/>
        </w:tabs>
        <w:jc w:val="center"/>
        <w:rPr>
          <w:color w:val="000000" w:themeColor="text1"/>
          <w:sz w:val="44"/>
          <w:szCs w:val="44"/>
          <w:highlight w:val="none"/>
          <w14:textFill>
            <w14:solidFill>
              <w14:schemeClr w14:val="tx1"/>
            </w14:solidFill>
          </w14:textFill>
        </w:rPr>
      </w:pPr>
      <w:r>
        <w:rPr>
          <w:rFonts w:hint="eastAsia"/>
          <w:color w:val="000000" w:themeColor="text1"/>
          <w:sz w:val="44"/>
          <w:szCs w:val="44"/>
          <w:highlight w:val="none"/>
          <w:u w:val="single"/>
          <w14:textFill>
            <w14:solidFill>
              <w14:schemeClr w14:val="tx1"/>
            </w14:solidFill>
          </w14:textFill>
        </w:rPr>
        <w:t>监护型救护车采购</w:t>
      </w:r>
      <w:r>
        <w:rPr>
          <w:rFonts w:hint="eastAsia"/>
          <w:color w:val="000000" w:themeColor="text1"/>
          <w:sz w:val="44"/>
          <w:szCs w:val="44"/>
          <w:highlight w:val="none"/>
          <w14:textFill>
            <w14:solidFill>
              <w14:schemeClr w14:val="tx1"/>
            </w14:solidFill>
          </w14:textFill>
        </w:rPr>
        <w:t>项目</w:t>
      </w:r>
    </w:p>
    <w:p>
      <w:pPr>
        <w:tabs>
          <w:tab w:val="clear" w:pos="426"/>
        </w:tabs>
        <w:jc w:val="center"/>
        <w:rPr>
          <w:color w:val="000000" w:themeColor="text1"/>
          <w:highlight w:val="none"/>
          <w14:textFill>
            <w14:solidFill>
              <w14:schemeClr w14:val="tx1"/>
            </w14:solidFill>
          </w14:textFill>
        </w:rPr>
      </w:pPr>
    </w:p>
    <w:p>
      <w:pPr>
        <w:tabs>
          <w:tab w:val="clear" w:pos="426"/>
        </w:tabs>
        <w:jc w:val="center"/>
        <w:rPr>
          <w:color w:val="000000" w:themeColor="text1"/>
          <w:highlight w:val="none"/>
          <w14:textFill>
            <w14:solidFill>
              <w14:schemeClr w14:val="tx1"/>
            </w14:solidFill>
          </w14:textFill>
        </w:rPr>
      </w:pPr>
    </w:p>
    <w:p>
      <w:pPr>
        <w:tabs>
          <w:tab w:val="clear" w:pos="426"/>
        </w:tabs>
        <w:jc w:val="center"/>
        <w:rPr>
          <w:color w:val="000000" w:themeColor="text1"/>
          <w:sz w:val="52"/>
          <w:szCs w:val="52"/>
          <w:highlight w:val="none"/>
          <w14:textFill>
            <w14:solidFill>
              <w14:schemeClr w14:val="tx1"/>
            </w14:solidFill>
          </w14:textFill>
        </w:rPr>
      </w:pPr>
      <w:r>
        <w:rPr>
          <w:rFonts w:hint="eastAsia"/>
          <w:color w:val="000000" w:themeColor="text1"/>
          <w:sz w:val="52"/>
          <w:szCs w:val="52"/>
          <w:highlight w:val="none"/>
          <w14:textFill>
            <w14:solidFill>
              <w14:schemeClr w14:val="tx1"/>
            </w14:solidFill>
          </w14:textFill>
        </w:rPr>
        <w:t>投标文件</w:t>
      </w:r>
    </w:p>
    <w:p>
      <w:pPr>
        <w:tabs>
          <w:tab w:val="clear" w:pos="426"/>
        </w:tabs>
        <w:rPr>
          <w:color w:val="000000" w:themeColor="text1"/>
          <w:sz w:val="52"/>
          <w:szCs w:val="52"/>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ind w:left="1275" w:leftChars="607"/>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r>
        <w:rPr>
          <w:rFonts w:hint="eastAsia"/>
          <w:color w:val="000000" w:themeColor="text1"/>
          <w:sz w:val="28"/>
          <w:szCs w:val="28"/>
          <w:highlight w:val="none"/>
          <w:u w:val="single"/>
          <w14:textFill>
            <w14:solidFill>
              <w14:schemeClr w14:val="tx1"/>
            </w14:solidFill>
          </w14:textFill>
        </w:rPr>
        <w:t xml:space="preserve">                                   </w:t>
      </w:r>
    </w:p>
    <w:p>
      <w:pPr>
        <w:tabs>
          <w:tab w:val="clear" w:pos="426"/>
        </w:tabs>
        <w:ind w:left="1275" w:leftChars="607"/>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投标人名称（公章)：</w:t>
      </w:r>
      <w:r>
        <w:rPr>
          <w:rFonts w:hint="eastAsia"/>
          <w:color w:val="000000" w:themeColor="text1"/>
          <w:sz w:val="28"/>
          <w:szCs w:val="28"/>
          <w:highlight w:val="none"/>
          <w:u w:val="single"/>
          <w14:textFill>
            <w14:solidFill>
              <w14:schemeClr w14:val="tx1"/>
            </w14:solidFill>
          </w14:textFill>
        </w:rPr>
        <w:t xml:space="preserve">                          </w:t>
      </w:r>
    </w:p>
    <w:p>
      <w:pPr>
        <w:tabs>
          <w:tab w:val="clear" w:pos="426"/>
        </w:tabs>
        <w:ind w:left="1275" w:leftChars="607"/>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投标人代表（签名）：</w:t>
      </w:r>
      <w:r>
        <w:rPr>
          <w:rFonts w:hint="eastAsia"/>
          <w:color w:val="000000" w:themeColor="text1"/>
          <w:sz w:val="28"/>
          <w:szCs w:val="28"/>
          <w:highlight w:val="none"/>
          <w:u w:val="single"/>
          <w14:textFill>
            <w14:solidFill>
              <w14:schemeClr w14:val="tx1"/>
            </w14:solidFill>
          </w14:textFill>
        </w:rPr>
        <w:t xml:space="preserve">                         </w:t>
      </w:r>
    </w:p>
    <w:p>
      <w:pPr>
        <w:tabs>
          <w:tab w:val="clear" w:pos="426"/>
        </w:tabs>
        <w:ind w:left="1275" w:leftChars="607"/>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投标日期：</w:t>
      </w:r>
      <w:r>
        <w:rPr>
          <w:rFonts w:hint="eastAsia"/>
          <w:color w:val="000000" w:themeColor="text1"/>
          <w:sz w:val="28"/>
          <w:szCs w:val="28"/>
          <w:highlight w:val="none"/>
          <w:u w:val="single"/>
          <w14:textFill>
            <w14:solidFill>
              <w14:schemeClr w14:val="tx1"/>
            </w14:solidFill>
          </w14:textFill>
        </w:rPr>
        <w:t xml:space="preserve">                  年     月      日</w:t>
      </w:r>
    </w:p>
    <w:p>
      <w:pPr>
        <w:tabs>
          <w:tab w:val="clear" w:pos="426"/>
        </w:tabs>
        <w:rPr>
          <w:color w:val="000000" w:themeColor="text1"/>
          <w:highlight w:val="none"/>
          <w14:textFill>
            <w14:solidFill>
              <w14:schemeClr w14:val="tx1"/>
            </w14:solidFill>
          </w14:textFill>
        </w:rPr>
      </w:pPr>
    </w:p>
    <w:p>
      <w:pPr>
        <w:adjustRightInd/>
        <w:snapToGrid/>
        <w:spacing w:before="280" w:after="290" w:line="377" w:lineRule="auto"/>
        <w:jc w:val="center"/>
        <w:outlineLvl w:val="2"/>
        <w:rPr>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投标文件目录（目录格式自定）</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按照招标文件的要求编制投标文件相应内容，请标明各部分内容的页码。</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tabs>
          <w:tab w:val="clear" w:pos="426"/>
        </w:tabs>
        <w:adjustRightInd/>
        <w:snapToGrid/>
        <w:spacing w:before="280" w:after="290" w:line="377" w:lineRule="auto"/>
        <w:jc w:val="center"/>
        <w:outlineLvl w:val="3"/>
        <w:rPr>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评标指引表</w:t>
      </w:r>
    </w:p>
    <w:p>
      <w:pPr>
        <w:tabs>
          <w:tab w:val="clear" w:pos="426"/>
        </w:tabs>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（置于投标文件的首页）</w:t>
      </w:r>
    </w:p>
    <w:p>
      <w:pPr>
        <w:tabs>
          <w:tab w:val="clear" w:pos="426"/>
        </w:tabs>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为方便参与该项目的评委专家的评标，快速找到评标事项与该项目投标文件所对应的位置，请投标人参照下表格式，编制本项目评标指引表。</w:t>
      </w:r>
    </w:p>
    <w:p>
      <w:pPr>
        <w:pStyle w:val="7"/>
        <w:tabs>
          <w:tab w:val="clear" w:pos="426"/>
        </w:tabs>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p>
    <w:p>
      <w:pPr>
        <w:pStyle w:val="7"/>
        <w:tabs>
          <w:tab w:val="clear" w:pos="426"/>
        </w:tabs>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项目编号：</w:t>
      </w:r>
    </w:p>
    <w:p>
      <w:pPr>
        <w:tabs>
          <w:tab w:val="clear" w:pos="426"/>
        </w:tabs>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项目评标指引表</w:t>
      </w:r>
    </w:p>
    <w:tbl>
      <w:tblPr>
        <w:tblStyle w:val="4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740"/>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4203"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资格性审查项目</w:t>
            </w:r>
          </w:p>
        </w:tc>
        <w:tc>
          <w:tcPr>
            <w:tcW w:w="3105"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证明文件</w:t>
            </w: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w:t>
            </w:r>
          </w:p>
        </w:tc>
        <w:tc>
          <w:tcPr>
            <w:tcW w:w="4203" w:type="dxa"/>
            <w:gridSpan w:val="2"/>
            <w:vMerge w:val="restart"/>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投标人资质要求</w:t>
            </w:r>
          </w:p>
        </w:tc>
        <w:tc>
          <w:tcPr>
            <w:tcW w:w="3105"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营业执照</w:t>
            </w:r>
          </w:p>
        </w:tc>
        <w:tc>
          <w:tcPr>
            <w:tcW w:w="1397" w:type="dxa"/>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4203" w:type="dxa"/>
            <w:gridSpan w:val="2"/>
            <w:vMerge w:val="continue"/>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3105"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97" w:type="dxa"/>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4203" w:type="dxa"/>
            <w:gridSpan w:val="2"/>
            <w:vMerge w:val="continue"/>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3105"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4203" w:type="dxa"/>
            <w:gridSpan w:val="2"/>
            <w:vMerge w:val="continue"/>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3105"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4203" w:type="dxa"/>
            <w:gridSpan w:val="2"/>
            <w:vMerge w:val="continue"/>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3105"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4203" w:type="dxa"/>
            <w:gridSpan w:val="2"/>
            <w:vMerge w:val="continue"/>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3105"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w:t>
            </w:r>
          </w:p>
        </w:tc>
        <w:tc>
          <w:tcPr>
            <w:tcW w:w="4203"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3105"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5943" w:type="dxa"/>
            <w:gridSpan w:val="3"/>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符合性审查项目</w:t>
            </w:r>
          </w:p>
        </w:tc>
        <w:tc>
          <w:tcPr>
            <w:tcW w:w="2762"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未出现将一个包中的内容拆开投标；</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投标文件及开标一览表按规定密封、签字、盖章</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除招标文件规定允许有替代方案外，对同一项目投标时，未提供两套或两套以上的投标方案；</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按招标文件所提供的样式填写</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投标函》；按招标文件所提供的《政府采购投标及履约承诺函》进行承诺；</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按照招标文件规定要求签署、盖章；投标文件有法定代表人签字，签字人有法定代表人有效授权书；</w:t>
            </w:r>
          </w:p>
        </w:tc>
        <w:tc>
          <w:tcPr>
            <w:tcW w:w="2762"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投标总价或分项报价不高于财政预算限额（最高投标限价）；</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不存在以下情形：</w:t>
            </w:r>
            <w:r>
              <w:rPr>
                <w:color w:val="000000" w:themeColor="text1"/>
                <w:szCs w:val="21"/>
                <w:highlight w:val="none"/>
                <w14:textFill>
                  <w14:solidFill>
                    <w14:schemeClr w14:val="tx1"/>
                  </w14:solidFill>
                </w14:textFill>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存在以下情形：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c>
          <w:tcPr>
            <w:tcW w:w="2762"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投标文件载明的交货期未超过招标文件规定的期限；</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投标文件载明的保修期未低于招标文件规定的期限；</w:t>
            </w:r>
          </w:p>
        </w:tc>
        <w:tc>
          <w:tcPr>
            <w:tcW w:w="2762"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所投产品、工程、服务在质量、技术、方案等方面实质性满足招标文件要求；</w:t>
            </w:r>
          </w:p>
        </w:tc>
        <w:tc>
          <w:tcPr>
            <w:tcW w:w="2762"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未出现《技术规格偏离表》或《商务需求偏离表》填写不全、不明或不实；</w:t>
            </w:r>
          </w:p>
        </w:tc>
        <w:tc>
          <w:tcPr>
            <w:tcW w:w="2762"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5943" w:type="dxa"/>
            <w:gridSpan w:val="3"/>
            <w:vAlign w:val="center"/>
          </w:tcPr>
          <w:p>
            <w:pPr>
              <w:tabs>
                <w:tab w:val="clear" w:pos="426"/>
              </w:tabs>
              <w:adjustRightInd/>
              <w:snapToGrid/>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不属于法律、法规规定的投标无效的其他情形。</w:t>
            </w:r>
          </w:p>
        </w:tc>
        <w:tc>
          <w:tcPr>
            <w:tcW w:w="2762" w:type="dxa"/>
            <w:gridSpan w:val="2"/>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570" w:type="dxa"/>
            <w:gridSpan w:val="6"/>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评分类别</w:t>
            </w:r>
          </w:p>
        </w:tc>
        <w:tc>
          <w:tcPr>
            <w:tcW w:w="5597"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评分项目</w:t>
            </w: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对应章节</w:t>
            </w: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价格部分</w:t>
            </w:r>
          </w:p>
        </w:tc>
        <w:tc>
          <w:tcPr>
            <w:tcW w:w="5597"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P  -P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技术部分</w:t>
            </w:r>
          </w:p>
        </w:tc>
        <w:tc>
          <w:tcPr>
            <w:tcW w:w="5597" w:type="dxa"/>
            <w:gridSpan w:val="2"/>
            <w:shd w:val="clear" w:color="auto" w:fill="auto"/>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5597" w:type="dxa"/>
            <w:gridSpan w:val="2"/>
            <w:shd w:val="clear" w:color="auto" w:fill="auto"/>
            <w:vAlign w:val="center"/>
          </w:tcPr>
          <w:p>
            <w:pPr>
              <w:tabs>
                <w:tab w:val="clear" w:pos="426"/>
              </w:tabs>
              <w:adjustRightInd/>
              <w:snapToGrid/>
              <w:spacing w:line="240" w:lineRule="auto"/>
              <w:jc w:val="center"/>
              <w:rPr>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5597" w:type="dxa"/>
            <w:gridSpan w:val="2"/>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商务部分</w:t>
            </w:r>
          </w:p>
        </w:tc>
        <w:tc>
          <w:tcPr>
            <w:tcW w:w="5597" w:type="dxa"/>
            <w:gridSpan w:val="2"/>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5597" w:type="dxa"/>
            <w:gridSpan w:val="2"/>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5597" w:type="dxa"/>
            <w:gridSpan w:val="2"/>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w:t>
            </w:r>
          </w:p>
        </w:tc>
        <w:tc>
          <w:tcPr>
            <w:tcW w:w="5597" w:type="dxa"/>
            <w:gridSpan w:val="2"/>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P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w:t>
            </w:r>
          </w:p>
        </w:tc>
        <w:tc>
          <w:tcPr>
            <w:tcW w:w="5597" w:type="dxa"/>
            <w:gridSpan w:val="2"/>
            <w:shd w:val="clear" w:color="auto" w:fill="auto"/>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65"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p>
        </w:tc>
        <w:tc>
          <w:tcPr>
            <w:tcW w:w="1397" w:type="dxa"/>
            <w:vAlign w:val="center"/>
          </w:tcPr>
          <w:p>
            <w:pPr>
              <w:tabs>
                <w:tab w:val="clear" w:pos="426"/>
              </w:tabs>
              <w:adjustRightInd/>
              <w:snapToGrid/>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P  -P  </w:t>
            </w:r>
          </w:p>
        </w:tc>
      </w:tr>
    </w:tbl>
    <w:p>
      <w:pPr>
        <w:tabs>
          <w:tab w:val="clear" w:pos="426"/>
        </w:tabs>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备注：对于“</w:t>
      </w:r>
      <w:r>
        <w:rPr>
          <w:rFonts w:hint="eastAsia"/>
          <w:b/>
          <w:color w:val="000000" w:themeColor="text1"/>
          <w:highlight w:val="none"/>
          <w14:textFill>
            <w14:solidFill>
              <w14:schemeClr w14:val="tx1"/>
            </w14:solidFill>
          </w14:textFill>
        </w:rPr>
        <w:t>综合评分指引”</w:t>
      </w:r>
      <w:r>
        <w:rPr>
          <w:rFonts w:hint="eastAsia"/>
          <w:color w:val="000000" w:themeColor="text1"/>
          <w:szCs w:val="21"/>
          <w:highlight w:val="none"/>
          <w14:textFill>
            <w14:solidFill>
              <w14:schemeClr w14:val="tx1"/>
            </w14:solidFill>
          </w14:textFill>
        </w:rPr>
        <w:t>请投标人按照</w:t>
      </w:r>
      <w:r>
        <w:rPr>
          <w:rFonts w:hint="eastAsia"/>
          <w:b/>
          <w:color w:val="000000" w:themeColor="text1"/>
          <w:szCs w:val="21"/>
          <w:highlight w:val="none"/>
          <w14:textFill>
            <w14:solidFill>
              <w14:schemeClr w14:val="tx1"/>
            </w14:solidFill>
          </w14:textFill>
        </w:rPr>
        <w:t>评分细则表</w:t>
      </w:r>
      <w:r>
        <w:rPr>
          <w:rFonts w:hint="eastAsia"/>
          <w:color w:val="000000" w:themeColor="text1"/>
          <w:szCs w:val="21"/>
          <w:highlight w:val="none"/>
          <w14:textFill>
            <w14:solidFill>
              <w14:schemeClr w14:val="tx1"/>
            </w14:solidFill>
          </w14:textFill>
        </w:rPr>
        <w:t>的评分要求，根据各评分项目以</w:t>
      </w:r>
      <w:r>
        <w:rPr>
          <w:rFonts w:hint="eastAsia"/>
          <w:b/>
          <w:color w:val="000000" w:themeColor="text1"/>
          <w:szCs w:val="21"/>
          <w:highlight w:val="none"/>
          <w14:textFill>
            <w14:solidFill>
              <w14:schemeClr w14:val="tx1"/>
            </w14:solidFill>
          </w14:textFill>
        </w:rPr>
        <w:t>自上而下</w:t>
      </w:r>
      <w:r>
        <w:rPr>
          <w:rFonts w:hint="eastAsia"/>
          <w:color w:val="000000" w:themeColor="text1"/>
          <w:szCs w:val="21"/>
          <w:highlight w:val="none"/>
          <w14:textFill>
            <w14:solidFill>
              <w14:schemeClr w14:val="tx1"/>
            </w14:solidFill>
          </w14:textFill>
        </w:rPr>
        <w:t>的顺序编制</w:t>
      </w:r>
      <w:r>
        <w:rPr>
          <w:rFonts w:hint="eastAsia"/>
          <w:color w:val="000000" w:themeColor="text1"/>
          <w:highlight w:val="none"/>
          <w14:textFill>
            <w14:solidFill>
              <w14:schemeClr w14:val="tx1"/>
            </w14:solidFill>
          </w14:textFill>
        </w:rPr>
        <w:t>。因项目次序混乱而影响评标效率及评标结果者，投标人自负其责。</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numPr>
          <w:ilvl w:val="0"/>
          <w:numId w:val="25"/>
        </w:numPr>
        <w:adjustRightInd/>
        <w:snapToGrid/>
        <w:spacing w:before="280" w:after="290" w:line="377" w:lineRule="auto"/>
        <w:outlineLvl w:val="3"/>
        <w:rPr>
          <w:b/>
          <w:color w:val="000000" w:themeColor="text1"/>
          <w:sz w:val="24"/>
          <w:highlight w:val="none"/>
          <w14:textFill>
            <w14:solidFill>
              <w14:schemeClr w14:val="tx1"/>
            </w14:solidFill>
          </w14:textFill>
        </w:rPr>
      </w:pPr>
      <w:r>
        <w:rPr>
          <w:rFonts w:ascii="黑体" w:eastAsia="黑体"/>
          <w:bCs/>
          <w:color w:val="000000" w:themeColor="text1"/>
          <w:sz w:val="28"/>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投标函</w:t>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bookmarkStart w:id="51" w:name="_Toc201743120"/>
      <w:bookmarkStart w:id="52" w:name="_Toc201997950"/>
      <w:bookmarkStart w:id="53" w:name="_Toc201742865"/>
      <w:bookmarkStart w:id="54" w:name="_Toc201719122"/>
      <w:r>
        <w:rPr>
          <w:rFonts w:hint="eastAsia" w:cs="Times New Roman"/>
          <w:bCs/>
          <w:color w:val="000000" w:themeColor="text1"/>
          <w:kern w:val="2"/>
          <w:sz w:val="32"/>
          <w:szCs w:val="32"/>
          <w:highlight w:val="none"/>
          <w14:textFill>
            <w14:solidFill>
              <w14:schemeClr w14:val="tx1"/>
            </w14:solidFill>
          </w14:textFill>
        </w:rPr>
        <w:t>投标函</w:t>
      </w:r>
      <w:bookmarkEnd w:id="51"/>
      <w:bookmarkEnd w:id="52"/>
      <w:bookmarkEnd w:id="53"/>
      <w:bookmarkEnd w:id="54"/>
    </w:p>
    <w:p>
      <w:pPr>
        <w:tabs>
          <w:tab w:val="clear" w:pos="426"/>
        </w:tabs>
        <w:spacing w:line="300" w:lineRule="auto"/>
        <w:rPr>
          <w:color w:val="000000" w:themeColor="text1"/>
          <w:szCs w:val="21"/>
          <w:highlight w:val="none"/>
          <w14:textFill>
            <w14:solidFill>
              <w14:schemeClr w14:val="tx1"/>
            </w14:solidFill>
          </w14:textFill>
        </w:rPr>
      </w:pPr>
    </w:p>
    <w:p>
      <w:pPr>
        <w:tabs>
          <w:tab w:val="clear" w:pos="426"/>
        </w:tabs>
        <w:spacing w:line="30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u w:val="single"/>
          <w14:textFill>
            <w14:solidFill>
              <w14:schemeClr w14:val="tx1"/>
            </w14:solidFill>
          </w14:textFill>
        </w:rPr>
        <w:t xml:space="preserve">       （采购人名称)          </w:t>
      </w:r>
    </w:p>
    <w:p>
      <w:pPr>
        <w:spacing w:afterLines="5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1、根据已收到贵方的招标编号为</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的</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的招标文件，遵照《深圳经济特区政府采购条例》等有关规定，我单位经研究上述招标文件的专用条款及通用条款后，我方愿以投标书《开标一览表》中填写的投标报价并按招标文件要求承包上述项目并修补其任何缺陷。</w:t>
      </w:r>
    </w:p>
    <w:p>
      <w:pPr>
        <w:spacing w:afterLines="50"/>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Lines="50"/>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3、如果我方中标，我方将按照规定提交上述总价</w:t>
      </w:r>
      <w:r>
        <w:rPr>
          <w:rFonts w:hint="eastAsia"/>
          <w:color w:val="000000" w:themeColor="text1"/>
          <w:szCs w:val="21"/>
          <w:highlight w:val="none"/>
          <w:u w:val="single"/>
          <w14:textFill>
            <w14:solidFill>
              <w14:schemeClr w14:val="tx1"/>
            </w14:solidFill>
          </w14:textFill>
        </w:rPr>
        <w:t xml:space="preserve">   /   </w:t>
      </w:r>
      <w:r>
        <w:rPr>
          <w:rFonts w:hint="eastAsia"/>
          <w:color w:val="000000" w:themeColor="text1"/>
          <w:szCs w:val="21"/>
          <w:highlight w:val="none"/>
          <w14:textFill>
            <w14:solidFill>
              <w14:schemeClr w14:val="tx1"/>
            </w14:solidFill>
          </w14:textFill>
        </w:rPr>
        <w:t>％（或</w:t>
      </w:r>
      <w:r>
        <w:rPr>
          <w:rFonts w:hint="eastAsia"/>
          <w:color w:val="000000" w:themeColor="text1"/>
          <w:szCs w:val="21"/>
          <w:highlight w:val="none"/>
          <w:u w:val="single"/>
          <w14:textFill>
            <w14:solidFill>
              <w14:schemeClr w14:val="tx1"/>
            </w14:solidFill>
          </w14:textFill>
        </w:rPr>
        <w:t xml:space="preserve"> /  </w:t>
      </w:r>
      <w:r>
        <w:rPr>
          <w:rFonts w:hint="eastAsia"/>
          <w:color w:val="000000" w:themeColor="text1"/>
          <w:szCs w:val="21"/>
          <w:highlight w:val="none"/>
          <w14:textFill>
            <w14:solidFill>
              <w14:schemeClr w14:val="tx1"/>
            </w14:solidFill>
          </w14:textFill>
        </w:rPr>
        <w:t>万元）作为履约担保（可提供保函或现金）。</w:t>
      </w:r>
    </w:p>
    <w:p>
      <w:pPr>
        <w:spacing w:afterLines="50"/>
        <w:ind w:firstLine="411" w:firstLineChars="19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4、我方同意所递交的投标文件在“对通用条款的补充内容”中的投标有效期内有效，在此期间内我方的投标有可能中标，我方将受此约束。如果在投标有效期内撤回其投标，招标人有权上报主管部门。</w:t>
      </w:r>
    </w:p>
    <w:p>
      <w:pPr>
        <w:spacing w:afterLines="50"/>
        <w:ind w:firstLine="411" w:firstLineChars="19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5、除非另外达成协议并生效，贵方的中标通知书和本投标文件将构成约束我们双方的合同。</w:t>
      </w:r>
    </w:p>
    <w:p>
      <w:pPr>
        <w:spacing w:afterLines="50"/>
        <w:ind w:firstLine="411" w:firstLineChars="19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5、我方理解贵方将不受必须接受你们所收到的最低标价或其它任何投标文件的约束。</w:t>
      </w:r>
    </w:p>
    <w:p>
      <w:pPr>
        <w:tabs>
          <w:tab w:val="clear" w:pos="426"/>
        </w:tabs>
        <w:spacing w:line="300" w:lineRule="auto"/>
        <w:rPr>
          <w:color w:val="000000" w:themeColor="text1"/>
          <w:szCs w:val="21"/>
          <w:highlight w:val="none"/>
          <w14:textFill>
            <w14:solidFill>
              <w14:schemeClr w14:val="tx1"/>
            </w14:solidFill>
          </w14:textFill>
        </w:rPr>
      </w:pPr>
    </w:p>
    <w:p>
      <w:pPr>
        <w:tabs>
          <w:tab w:val="clear" w:pos="426"/>
        </w:tabs>
        <w:spacing w:line="300" w:lineRule="auto"/>
        <w:rPr>
          <w:color w:val="000000" w:themeColor="text1"/>
          <w:szCs w:val="21"/>
          <w:highlight w:val="none"/>
          <w14:textFill>
            <w14:solidFill>
              <w14:schemeClr w14:val="tx1"/>
            </w14:solidFill>
          </w14:textFill>
        </w:rPr>
      </w:pPr>
    </w:p>
    <w:p>
      <w:pPr>
        <w:tabs>
          <w:tab w:val="clear" w:pos="426"/>
        </w:tabs>
        <w:spacing w:line="300" w:lineRule="auto"/>
        <w:rPr>
          <w:color w:val="000000" w:themeColor="text1"/>
          <w:szCs w:val="21"/>
          <w:highlight w:val="none"/>
          <w14:textFill>
            <w14:solidFill>
              <w14:schemeClr w14:val="tx1"/>
            </w14:solidFill>
          </w14:textFill>
        </w:rPr>
      </w:pPr>
    </w:p>
    <w:p>
      <w:pPr>
        <w:tabs>
          <w:tab w:val="clear" w:pos="426"/>
        </w:tabs>
        <w:spacing w:line="30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地址：</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电话：</w:t>
      </w:r>
      <w:r>
        <w:rPr>
          <w:rFonts w:hint="eastAsia"/>
          <w:color w:val="000000" w:themeColor="text1"/>
          <w:szCs w:val="21"/>
          <w:highlight w:val="none"/>
          <w:u w:val="single"/>
          <w14:textFill>
            <w14:solidFill>
              <w14:schemeClr w14:val="tx1"/>
            </w14:solidFill>
          </w14:textFill>
        </w:rPr>
        <w:t xml:space="preserve">                        </w:t>
      </w:r>
    </w:p>
    <w:p>
      <w:pPr>
        <w:tabs>
          <w:tab w:val="clear" w:pos="426"/>
        </w:tabs>
        <w:spacing w:line="30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tabs>
          <w:tab w:val="clear" w:pos="426"/>
        </w:tabs>
        <w:spacing w:line="30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投标人代表（签字)： </w:t>
      </w:r>
      <w:r>
        <w:rPr>
          <w:rFonts w:hint="eastAsia"/>
          <w:color w:val="000000" w:themeColor="text1"/>
          <w:szCs w:val="21"/>
          <w:highlight w:val="none"/>
          <w:u w:val="single"/>
          <w14:textFill>
            <w14:solidFill>
              <w14:schemeClr w14:val="tx1"/>
            </w14:solidFill>
          </w14:textFill>
        </w:rPr>
        <w:t xml:space="preserve">                                             </w:t>
      </w:r>
    </w:p>
    <w:p>
      <w:pPr>
        <w:tabs>
          <w:tab w:val="clear" w:pos="426"/>
        </w:tabs>
        <w:spacing w:line="30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日期：</w:t>
      </w:r>
      <w:r>
        <w:rPr>
          <w:rFonts w:hint="eastAsia"/>
          <w:color w:val="000000" w:themeColor="text1"/>
          <w:szCs w:val="21"/>
          <w:highlight w:val="none"/>
          <w:u w:val="single"/>
          <w14:textFill>
            <w14:solidFill>
              <w14:schemeClr w14:val="tx1"/>
            </w14:solidFill>
          </w14:textFill>
        </w:rPr>
        <w:t xml:space="preserve">                                                           </w:t>
      </w:r>
    </w:p>
    <w:p>
      <w:pPr>
        <w:tabs>
          <w:tab w:val="clear" w:pos="426"/>
        </w:tabs>
        <w:spacing w:line="300" w:lineRule="auto"/>
        <w:rPr>
          <w:color w:val="000000" w:themeColor="text1"/>
          <w:highlight w:val="none"/>
          <w14:textFill>
            <w14:solidFill>
              <w14:schemeClr w14:val="tx1"/>
            </w14:solidFill>
          </w14:textFill>
        </w:rPr>
      </w:pPr>
    </w:p>
    <w:p>
      <w:pPr>
        <w:tabs>
          <w:tab w:val="clear" w:pos="426"/>
        </w:tabs>
        <w:spacing w:line="300" w:lineRule="auto"/>
        <w:rPr>
          <w:color w:val="000000" w:themeColor="text1"/>
          <w:highlight w:val="none"/>
          <w14:textFill>
            <w14:solidFill>
              <w14:schemeClr w14:val="tx1"/>
            </w14:solidFill>
          </w14:textFill>
        </w:rPr>
      </w:pPr>
    </w:p>
    <w:p>
      <w:pPr>
        <w:tabs>
          <w:tab w:val="clear" w:pos="426"/>
        </w:tabs>
        <w:spacing w:line="30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tabs>
          <w:tab w:val="clear" w:pos="426"/>
        </w:tabs>
        <w:spacing w:line="300" w:lineRule="auto"/>
        <w:rPr>
          <w:color w:val="000000" w:themeColor="text1"/>
          <w:highlight w:val="none"/>
          <w14:textFill>
            <w14:solidFill>
              <w14:schemeClr w14:val="tx1"/>
            </w14:solidFill>
          </w14:textFill>
        </w:rPr>
      </w:pPr>
    </w:p>
    <w:p>
      <w:pPr>
        <w:numPr>
          <w:ilvl w:val="0"/>
          <w:numId w:val="25"/>
        </w:numPr>
        <w:adjustRightInd/>
        <w:snapToGrid/>
        <w:spacing w:before="280" w:after="290" w:line="377" w:lineRule="auto"/>
        <w:outlineLvl w:val="3"/>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政府采购投标及履约承诺函</w:t>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r>
        <w:rPr>
          <w:rFonts w:hint="eastAsia" w:cs="Times New Roman"/>
          <w:bCs/>
          <w:color w:val="000000" w:themeColor="text1"/>
          <w:kern w:val="2"/>
          <w:sz w:val="32"/>
          <w:szCs w:val="32"/>
          <w:highlight w:val="none"/>
          <w14:textFill>
            <w14:solidFill>
              <w14:schemeClr w14:val="tx1"/>
            </w14:solidFill>
          </w14:textFill>
        </w:rPr>
        <w:t>政府采购投标及履约承诺函</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深圳市深水水务咨询有限公司：</w:t>
      </w:r>
    </w:p>
    <w:p>
      <w:pPr>
        <w:tabs>
          <w:tab w:val="clear" w:pos="426"/>
        </w:tabs>
        <w:spacing w:beforeLines="50" w:line="24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关于贵公司</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日发布</w:t>
      </w:r>
      <w:r>
        <w:rPr>
          <w:color w:val="000000" w:themeColor="text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（项目名称) </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项目（项目编号：</w:t>
      </w:r>
      <w:r>
        <w:rPr>
          <w:rFonts w:hint="eastAsia"/>
          <w:color w:val="000000" w:themeColor="text1"/>
          <w:highlight w:val="none"/>
          <w:u w:val="single"/>
          <w14:textFill>
            <w14:solidFill>
              <w14:schemeClr w14:val="tx1"/>
            </w14:solidFill>
          </w14:textFill>
        </w:rPr>
        <w:t xml:space="preserve">  （项目编号）  </w:t>
      </w:r>
      <w:r>
        <w:rPr>
          <w:rFonts w:hint="eastAsia"/>
          <w:color w:val="000000" w:themeColor="text1"/>
          <w:highlight w:val="none"/>
          <w14:textFill>
            <w14:solidFill>
              <w14:schemeClr w14:val="tx1"/>
            </w14:solidFill>
          </w14:textFill>
        </w:rPr>
        <w:t>）的采购公告，本公司（企业）愿意参加投标，并声明：</w:t>
      </w:r>
    </w:p>
    <w:p>
      <w:pPr>
        <w:tabs>
          <w:tab w:val="clear" w:pos="426"/>
        </w:tabs>
        <w:spacing w:line="240" w:lineRule="auto"/>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1.我公司本招标项目所提供的货物或服务未侵犯知识产权。</w:t>
      </w:r>
    </w:p>
    <w:p>
      <w:pPr>
        <w:tabs>
          <w:tab w:val="clear" w:pos="426"/>
        </w:tabs>
        <w:spacing w:line="240" w:lineRule="auto"/>
        <w:ind w:firstLine="426" w:firstLineChars="202"/>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2.我公司参与本项目投标前三年内，在经营活动中没有重大违法记录。</w:t>
      </w:r>
    </w:p>
    <w:p>
      <w:pPr>
        <w:tabs>
          <w:tab w:val="clear" w:pos="426"/>
        </w:tabs>
        <w:spacing w:line="240" w:lineRule="auto"/>
        <w:ind w:firstLine="426" w:firstLineChars="202"/>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3.我公司参与本项目政府采购活动时不存在被有关部门禁止参与政府采购活动且在有效期内的情况。</w:t>
      </w:r>
    </w:p>
    <w:p>
      <w:pPr>
        <w:tabs>
          <w:tab w:val="clear" w:pos="426"/>
        </w:tabs>
        <w:spacing w:line="240" w:lineRule="auto"/>
        <w:ind w:firstLine="426" w:firstLineChars="202"/>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4.我公司具备《中华人民共和国政府采购法》第二十二条规定的资质。</w:t>
      </w:r>
    </w:p>
    <w:p>
      <w:pPr>
        <w:tabs>
          <w:tab w:val="clear" w:pos="426"/>
        </w:tabs>
        <w:spacing w:line="240" w:lineRule="auto"/>
        <w:ind w:firstLine="426" w:firstLineChars="202"/>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5.我公司未被列入失信被执行人、重大税收违法案件当事人名单、政府采购严重违法失信行为记录名单</w:t>
      </w:r>
    </w:p>
    <w:p>
      <w:pPr>
        <w:tabs>
          <w:tab w:val="clear" w:pos="426"/>
        </w:tabs>
        <w:spacing w:line="240" w:lineRule="auto"/>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pPr>
        <w:tabs>
          <w:tab w:val="clear" w:pos="426"/>
        </w:tabs>
        <w:spacing w:line="240" w:lineRule="auto"/>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7.我公司如果中标，做到守信，不偷工减料，依照本项目招标文件需求内容、签署的采购合同及本公司在投标中所作的一切承诺履约。项目验收达到全部指标合格，力争优良。</w:t>
      </w:r>
    </w:p>
    <w:p>
      <w:pPr>
        <w:tabs>
          <w:tab w:val="clear" w:pos="426"/>
        </w:tabs>
        <w:spacing w:line="240" w:lineRule="auto"/>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color w:val="000000" w:themeColor="text1"/>
          <w:highlight w:val="none"/>
          <w14:textFill>
            <w14:solidFill>
              <w14:schemeClr w14:val="tx1"/>
            </w14:solidFill>
          </w14:textFill>
        </w:rPr>
        <w:t>作；若我公司未按上述要求履约，我公司愿意接受主管部门的处理处罚。</w:t>
      </w:r>
    </w:p>
    <w:p>
      <w:pPr>
        <w:tabs>
          <w:tab w:val="clear" w:pos="426"/>
        </w:tabs>
        <w:spacing w:line="240" w:lineRule="auto"/>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tabs>
          <w:tab w:val="clear" w:pos="426"/>
        </w:tabs>
        <w:spacing w:line="240" w:lineRule="auto"/>
        <w:ind w:firstLine="424" w:firstLineChars="20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10.我公司承诺不非法转包、分包。</w:t>
      </w:r>
    </w:p>
    <w:p>
      <w:pPr>
        <w:tabs>
          <w:tab w:val="clear" w:pos="426"/>
        </w:tabs>
        <w:spacing w:line="24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以上承诺，如有违反，愿依照国家相关法律处理，并承担由此给采购人带来的损失。</w:t>
      </w:r>
    </w:p>
    <w:p>
      <w:pPr>
        <w:tabs>
          <w:tab w:val="clear" w:pos="426"/>
        </w:tabs>
        <w:spacing w:line="240" w:lineRule="auto"/>
        <w:ind w:firstLine="4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特此声明！</w:t>
      </w:r>
    </w:p>
    <w:p>
      <w:pPr>
        <w:tabs>
          <w:tab w:val="clear" w:pos="426"/>
        </w:tabs>
        <w:spacing w:line="240" w:lineRule="auto"/>
        <w:ind w:firstLine="420"/>
        <w:rPr>
          <w:color w:val="000000" w:themeColor="text1"/>
          <w:highlight w:val="none"/>
          <w14:textFill>
            <w14:solidFill>
              <w14:schemeClr w14:val="tx1"/>
            </w14:solidFill>
          </w14:textFill>
        </w:rPr>
      </w:pPr>
    </w:p>
    <w:p>
      <w:pPr>
        <w:tabs>
          <w:tab w:val="clear" w:pos="426"/>
        </w:tabs>
        <w:ind w:firstLine="420"/>
        <w:rPr>
          <w:color w:val="000000" w:themeColor="text1"/>
          <w:highlight w:val="none"/>
          <w14:textFill>
            <w14:solidFill>
              <w14:schemeClr w14:val="tx1"/>
            </w14:solidFill>
          </w14:textFill>
        </w:rPr>
      </w:pPr>
    </w:p>
    <w:p>
      <w:pPr>
        <w:tabs>
          <w:tab w:val="clear" w:pos="426"/>
        </w:tabs>
        <w:ind w:firstLine="420"/>
        <w:rPr>
          <w:color w:val="000000" w:themeColor="text1"/>
          <w:highlight w:val="none"/>
          <w14:textFill>
            <w14:solidFill>
              <w14:schemeClr w14:val="tx1"/>
            </w14:solidFill>
          </w14:textFill>
        </w:rPr>
      </w:pPr>
    </w:p>
    <w:p>
      <w:pPr>
        <w:tabs>
          <w:tab w:val="clear" w:pos="426"/>
        </w:tabs>
        <w:ind w:firstLine="42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单位名称：</w:t>
      </w:r>
      <w:r>
        <w:rPr>
          <w:rFonts w:hint="eastAsia"/>
          <w:color w:val="000000" w:themeColor="text1"/>
          <w:highlight w:val="none"/>
          <w:u w:val="single"/>
          <w14:textFill>
            <w14:solidFill>
              <w14:schemeClr w14:val="tx1"/>
            </w14:solidFill>
          </w14:textFill>
        </w:rPr>
        <w:t xml:space="preserve">                                                             </w:t>
      </w:r>
    </w:p>
    <w:p>
      <w:pPr>
        <w:tabs>
          <w:tab w:val="clear" w:pos="426"/>
        </w:tabs>
        <w:ind w:firstLine="42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法定代表人或投标人授权代表（签名或盖章）：</w:t>
      </w:r>
      <w:r>
        <w:rPr>
          <w:rFonts w:hint="eastAsia"/>
          <w:color w:val="000000" w:themeColor="text1"/>
          <w:highlight w:val="none"/>
          <w:u w:val="single"/>
          <w14:textFill>
            <w14:solidFill>
              <w14:schemeClr w14:val="tx1"/>
            </w14:solidFill>
          </w14:textFill>
        </w:rPr>
        <w:t xml:space="preserve">                             </w:t>
      </w:r>
    </w:p>
    <w:p>
      <w:pPr>
        <w:tabs>
          <w:tab w:val="clear" w:pos="426"/>
        </w:tabs>
        <w:ind w:firstLine="42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单位地址：</w:t>
      </w:r>
      <w:r>
        <w:rPr>
          <w:rFonts w:hint="eastAsia"/>
          <w:color w:val="000000" w:themeColor="text1"/>
          <w:highlight w:val="none"/>
          <w:u w:val="single"/>
          <w14:textFill>
            <w14:solidFill>
              <w14:schemeClr w14:val="tx1"/>
            </w14:solidFill>
          </w14:textFill>
        </w:rPr>
        <w:t xml:space="preserve">                                                             </w:t>
      </w:r>
    </w:p>
    <w:p>
      <w:pPr>
        <w:tabs>
          <w:tab w:val="clear" w:pos="426"/>
        </w:tabs>
        <w:ind w:firstLine="42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单位公章：</w:t>
      </w:r>
      <w:r>
        <w:rPr>
          <w:rFonts w:hint="eastAsia"/>
          <w:color w:val="000000" w:themeColor="text1"/>
          <w:highlight w:val="none"/>
          <w:u w:val="single"/>
          <w14:textFill>
            <w14:solidFill>
              <w14:schemeClr w14:val="tx1"/>
            </w14:solidFill>
          </w14:textFill>
        </w:rPr>
        <w:t xml:space="preserve">                                                             </w:t>
      </w:r>
    </w:p>
    <w:p>
      <w:pPr>
        <w:tabs>
          <w:tab w:val="clear" w:pos="426"/>
        </w:tabs>
        <w:ind w:firstLine="42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邮政编码：</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日期：</w:t>
      </w:r>
      <w:r>
        <w:rPr>
          <w:rFonts w:hint="eastAsia"/>
          <w:color w:val="000000" w:themeColor="text1"/>
          <w:highlight w:val="none"/>
          <w:u w:val="single"/>
          <w14:textFill>
            <w14:solidFill>
              <w14:schemeClr w14:val="tx1"/>
            </w14:solidFill>
          </w14:textFill>
        </w:rPr>
        <w:t xml:space="preserve">                          </w:t>
      </w:r>
    </w:p>
    <w:p>
      <w:pPr>
        <w:tabs>
          <w:tab w:val="clear" w:pos="426"/>
        </w:tabs>
        <w:ind w:firstLine="420" w:firstLineChars="20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联系电话：</w:t>
      </w:r>
      <w:r>
        <w:rPr>
          <w:rFonts w:hint="eastAsia"/>
          <w:color w:val="000000" w:themeColor="text1"/>
          <w:highlight w:val="none"/>
          <w:u w:val="single"/>
          <w14:textFill>
            <w14:solidFill>
              <w14:schemeClr w14:val="tx1"/>
            </w14:solidFill>
          </w14:textFill>
        </w:rPr>
        <w:t xml:space="preserve">                               </w:t>
      </w:r>
      <w:bookmarkStart w:id="55" w:name="_Toc480754205"/>
      <w:bookmarkStart w:id="56" w:name="_Toc52165081"/>
      <w:bookmarkStart w:id="57" w:name="_Toc50737329"/>
      <w:bookmarkStart w:id="58" w:name="_Toc50736477"/>
      <w:bookmarkStart w:id="59" w:name="_Toc275865607"/>
      <w:bookmarkStart w:id="60" w:name="_Toc50737297"/>
      <w:bookmarkStart w:id="61" w:name="_Toc50737328"/>
      <w:bookmarkStart w:id="62" w:name="_Toc50737296"/>
      <w:bookmarkStart w:id="63" w:name="_Toc50691034"/>
      <w:bookmarkStart w:id="64" w:name="_Toc50736476"/>
      <w:bookmarkStart w:id="65" w:name="_Toc52165080"/>
      <w:r>
        <w:rPr>
          <w:rFonts w:hint="eastAsia"/>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u w:val="single"/>
          <w14:textFill>
            <w14:solidFill>
              <w14:schemeClr w14:val="tx1"/>
            </w14:solidFill>
          </w14:textFill>
        </w:rPr>
      </w:pPr>
    </w:p>
    <w:p>
      <w:pPr>
        <w:numPr>
          <w:ilvl w:val="0"/>
          <w:numId w:val="25"/>
        </w:numPr>
        <w:adjustRightInd/>
        <w:snapToGrid/>
        <w:spacing w:before="280" w:after="290" w:line="377" w:lineRule="auto"/>
        <w:outlineLvl w:val="3"/>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法定代表人授权委托书、法定代表人证明书</w:t>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r>
        <w:rPr>
          <w:rFonts w:hint="eastAsia" w:cs="Times New Roman"/>
          <w:bCs/>
          <w:color w:val="000000" w:themeColor="text1"/>
          <w:kern w:val="2"/>
          <w:sz w:val="32"/>
          <w:szCs w:val="32"/>
          <w:highlight w:val="none"/>
          <w14:textFill>
            <w14:solidFill>
              <w14:schemeClr w14:val="tx1"/>
            </w14:solidFill>
          </w14:textFill>
        </w:rPr>
        <w:t>法定代表人授权委托书</w:t>
      </w:r>
      <w:bookmarkEnd w:id="55"/>
      <w:bookmarkEnd w:id="56"/>
      <w:bookmarkEnd w:id="57"/>
      <w:bookmarkEnd w:id="58"/>
      <w:bookmarkEnd w:id="59"/>
      <w:bookmarkEnd w:id="60"/>
    </w:p>
    <w:p>
      <w:pPr>
        <w:pStyle w:val="24"/>
        <w:tabs>
          <w:tab w:val="clear" w:pos="426"/>
        </w:tabs>
        <w:ind w:firstLine="420" w:firstLineChars="200"/>
        <w:rPr>
          <w:color w:val="000000" w:themeColor="text1"/>
          <w:highlight w:val="none"/>
          <w14:textFill>
            <w14:solidFill>
              <w14:schemeClr w14:val="tx1"/>
            </w14:solidFill>
          </w14:textFill>
        </w:rPr>
      </w:pPr>
    </w:p>
    <w:p>
      <w:pPr>
        <w:pStyle w:val="24"/>
        <w:tabs>
          <w:tab w:val="clear" w:pos="426"/>
        </w:tabs>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本授权委托书声明：注册于</w:t>
      </w:r>
      <w:r>
        <w:rPr>
          <w:rFonts w:hint="eastAsia"/>
          <w:color w:val="000000" w:themeColor="text1"/>
          <w:highlight w:val="none"/>
          <w:u w:val="single"/>
          <w14:textFill>
            <w14:solidFill>
              <w14:schemeClr w14:val="tx1"/>
            </w14:solidFill>
          </w14:textFill>
        </w:rPr>
        <w:t xml:space="preserve"> （投标人地址）  </w:t>
      </w:r>
      <w:r>
        <w:rPr>
          <w:rFonts w:hint="eastAsia"/>
          <w:color w:val="000000" w:themeColor="text1"/>
          <w:highlight w:val="none"/>
          <w14:textFill>
            <w14:solidFill>
              <w14:schemeClr w14:val="tx1"/>
            </w14:solidFill>
          </w14:textFill>
        </w:rPr>
        <w:t>的</w:t>
      </w:r>
      <w:r>
        <w:rPr>
          <w:rFonts w:hint="eastAsia"/>
          <w:color w:val="000000" w:themeColor="text1"/>
          <w:highlight w:val="none"/>
          <w:u w:val="single"/>
          <w14:textFill>
            <w14:solidFill>
              <w14:schemeClr w14:val="tx1"/>
            </w14:solidFill>
          </w14:textFill>
        </w:rPr>
        <w:t xml:space="preserve">  （投标人名称）    </w:t>
      </w:r>
      <w:r>
        <w:rPr>
          <w:rFonts w:hint="eastAsia"/>
          <w:color w:val="000000" w:themeColor="text1"/>
          <w:highlight w:val="none"/>
          <w14:textFill>
            <w14:solidFill>
              <w14:schemeClr w14:val="tx1"/>
            </w14:solidFill>
          </w14:textFill>
        </w:rPr>
        <w:t>在下面签名的</w:t>
      </w:r>
      <w:r>
        <w:rPr>
          <w:rFonts w:hint="eastAsia"/>
          <w:color w:val="000000" w:themeColor="text1"/>
          <w:highlight w:val="none"/>
          <w:u w:val="single"/>
          <w14:textFill>
            <w14:solidFill>
              <w14:schemeClr w14:val="tx1"/>
            </w14:solidFill>
          </w14:textFill>
        </w:rPr>
        <w:t>（法定代表人姓名、职务）</w:t>
      </w:r>
      <w:r>
        <w:rPr>
          <w:rFonts w:hint="eastAsia"/>
          <w:color w:val="000000" w:themeColor="text1"/>
          <w:highlight w:val="none"/>
          <w14:textFill>
            <w14:solidFill>
              <w14:schemeClr w14:val="tx1"/>
            </w14:solidFill>
          </w14:textFill>
        </w:rPr>
        <w:t>在此授权</w:t>
      </w:r>
      <w:r>
        <w:rPr>
          <w:rFonts w:hint="eastAsia"/>
          <w:color w:val="000000" w:themeColor="text1"/>
          <w:highlight w:val="none"/>
          <w:u w:val="single"/>
          <w14:textFill>
            <w14:solidFill>
              <w14:schemeClr w14:val="tx1"/>
            </w14:solidFill>
          </w14:textFill>
        </w:rPr>
        <w:t>（被授权人姓名、职务）</w:t>
      </w:r>
      <w:r>
        <w:rPr>
          <w:rFonts w:hint="eastAsia"/>
          <w:color w:val="000000" w:themeColor="text1"/>
          <w:highlight w:val="none"/>
          <w14:textFill>
            <w14:solidFill>
              <w14:schemeClr w14:val="tx1"/>
            </w14:solidFill>
          </w14:textFill>
        </w:rPr>
        <w:t>作为我公司的合法代理人，就</w:t>
      </w:r>
      <w:r>
        <w:rPr>
          <w:rFonts w:hint="eastAsia"/>
          <w:color w:val="000000" w:themeColor="text1"/>
          <w:highlight w:val="none"/>
          <w:u w:val="single"/>
          <w14:textFill>
            <w14:solidFill>
              <w14:schemeClr w14:val="tx1"/>
            </w14:solidFill>
          </w14:textFill>
        </w:rPr>
        <w:t>（项目名称、项目编号</w:t>
      </w:r>
      <w:r>
        <w:rPr>
          <w:rFonts w:hint="eastAsia"/>
          <w:color w:val="000000" w:themeColor="text1"/>
          <w:highlight w:val="none"/>
          <w14:textFill>
            <w14:solidFill>
              <w14:schemeClr w14:val="tx1"/>
            </w14:solidFill>
          </w14:textFill>
        </w:rPr>
        <w:t>）的招投标活动，采购合同的签订、执行、完成和售后服务，作为投标人代表以我方的名义处理一切与之有关的事务。</w:t>
      </w:r>
    </w:p>
    <w:p>
      <w:pPr>
        <w:pStyle w:val="24"/>
        <w:tabs>
          <w:tab w:val="clear" w:pos="426"/>
        </w:tabs>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被授权人（投标人授权代表）无转委托权限。</w:t>
      </w:r>
    </w:p>
    <w:p>
      <w:pPr>
        <w:tabs>
          <w:tab w:val="clear" w:pos="426"/>
        </w:tabs>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本授权书自法定代表人签字之日起生效，特此声明。</w:t>
      </w:r>
    </w:p>
    <w:p>
      <w:pPr>
        <w:tabs>
          <w:tab w:val="clear" w:pos="426"/>
        </w:tabs>
        <w:ind w:firstLine="422"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随附《法定代表人证明》</w:t>
      </w:r>
    </w:p>
    <w:p>
      <w:pPr>
        <w:tabs>
          <w:tab w:val="clear" w:pos="426"/>
        </w:tabs>
        <w:ind w:firstLine="422" w:firstLineChars="200"/>
        <w:rPr>
          <w:b/>
          <w:color w:val="000000" w:themeColor="text1"/>
          <w:szCs w:val="21"/>
          <w:highlight w:val="none"/>
          <w14:textFill>
            <w14:solidFill>
              <w14:schemeClr w14:val="tx1"/>
            </w14:solidFill>
          </w14:textFill>
        </w:rPr>
      </w:pPr>
    </w:p>
    <w:p>
      <w:pPr>
        <w:tabs>
          <w:tab w:val="clear" w:pos="426"/>
        </w:tabs>
        <w:ind w:firstLine="422" w:firstLineChars="200"/>
        <w:rPr>
          <w:b/>
          <w:color w:val="000000" w:themeColor="text1"/>
          <w:szCs w:val="21"/>
          <w:highlight w:val="none"/>
          <w14:textFill>
            <w14:solidFill>
              <w14:schemeClr w14:val="tx1"/>
            </w14:solidFill>
          </w14:textFill>
        </w:rPr>
      </w:pPr>
    </w:p>
    <w:p>
      <w:pPr>
        <w:tabs>
          <w:tab w:val="clear" w:pos="426"/>
        </w:tabs>
        <w:ind w:firstLine="422" w:firstLineChars="200"/>
        <w:rPr>
          <w:b/>
          <w:color w:val="000000" w:themeColor="text1"/>
          <w:szCs w:val="21"/>
          <w:highlight w:val="none"/>
          <w14:textFill>
            <w14:solidFill>
              <w14:schemeClr w14:val="tx1"/>
            </w14:solidFill>
          </w14:textFill>
        </w:rPr>
      </w:pPr>
    </w:p>
    <w:p>
      <w:pPr>
        <w:tabs>
          <w:tab w:val="clear" w:pos="426"/>
        </w:tabs>
        <w:ind w:firstLine="424" w:firstLineChars="202"/>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投标人名称（单位盖</w:t>
      </w:r>
      <w:r>
        <w:rPr>
          <w:rFonts w:hint="eastAsia"/>
          <w:color w:val="000000" w:themeColor="text1"/>
          <w:spacing w:val="4"/>
          <w:szCs w:val="21"/>
          <w:highlight w:val="none"/>
          <w14:textFill>
            <w14:solidFill>
              <w14:schemeClr w14:val="tx1"/>
            </w14:solidFill>
          </w14:textFill>
        </w:rPr>
        <w:t>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tabs>
          <w:tab w:val="clear" w:pos="426"/>
        </w:tabs>
        <w:ind w:firstLine="424" w:firstLineChars="202"/>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地      址：</w:t>
      </w:r>
      <w:r>
        <w:rPr>
          <w:rFonts w:hint="eastAsia"/>
          <w:color w:val="000000" w:themeColor="text1"/>
          <w:szCs w:val="21"/>
          <w:highlight w:val="none"/>
          <w:u w:val="single"/>
          <w14:textFill>
            <w14:solidFill>
              <w14:schemeClr w14:val="tx1"/>
            </w14:solidFill>
          </w14:textFill>
        </w:rPr>
        <w:t xml:space="preserve">                                                                   </w:t>
      </w:r>
    </w:p>
    <w:p>
      <w:pPr>
        <w:tabs>
          <w:tab w:val="clear" w:pos="426"/>
        </w:tabs>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法定代表人（签字或盖章）：</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签字日期：</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p>
    <w:p>
      <w:pPr>
        <w:tabs>
          <w:tab w:val="clear" w:pos="426"/>
        </w:tabs>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被授权人（投标人授权代表）（签字或盖章）：</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w:t>
      </w:r>
    </w:p>
    <w:p>
      <w:pPr>
        <w:tabs>
          <w:tab w:val="clear" w:pos="426"/>
        </w:tabs>
        <w:ind w:firstLine="424" w:firstLineChars="202"/>
        <w:rPr>
          <w:color w:val="000000" w:themeColor="text1"/>
          <w:szCs w:val="21"/>
          <w:highlight w:val="none"/>
          <w14:textFill>
            <w14:solidFill>
              <w14:schemeClr w14:val="tx1"/>
            </w14:solidFill>
          </w14:textFill>
        </w:rPr>
      </w:pPr>
    </w:p>
    <w:p>
      <w:pPr>
        <w:tabs>
          <w:tab w:val="clear" w:pos="426"/>
        </w:tabs>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附：被授权人身份证复印件：</w:t>
      </w:r>
    </w:p>
    <w:p>
      <w:pPr>
        <w:tabs>
          <w:tab w:val="clear" w:pos="426"/>
        </w:tabs>
        <w:ind w:firstLine="424" w:firstLineChars="202"/>
        <w:rPr>
          <w:color w:val="000000" w:themeColor="text1"/>
          <w:szCs w:val="21"/>
          <w:highlight w:val="none"/>
          <w14:textFill>
            <w14:solidFill>
              <w14:schemeClr w14:val="tx1"/>
            </w14:solidFill>
          </w14:textFill>
        </w:rPr>
      </w:pPr>
    </w:p>
    <w:bookmarkEnd w:id="61"/>
    <w:bookmarkEnd w:id="62"/>
    <w:bookmarkEnd w:id="63"/>
    <w:bookmarkEnd w:id="64"/>
    <w:bookmarkEnd w:id="65"/>
    <w:p>
      <w:pPr>
        <w:tabs>
          <w:tab w:val="clear" w:pos="426"/>
        </w:tabs>
        <w:spacing w:line="30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r>
        <w:rPr>
          <w:rFonts w:hint="eastAsia" w:cs="Times New Roman"/>
          <w:bCs/>
          <w:color w:val="000000" w:themeColor="text1"/>
          <w:kern w:val="2"/>
          <w:sz w:val="32"/>
          <w:szCs w:val="32"/>
          <w:highlight w:val="none"/>
          <w14:textFill>
            <w14:solidFill>
              <w14:schemeClr w14:val="tx1"/>
            </w14:solidFill>
          </w14:textFill>
        </w:rPr>
        <w:t>法定代表人证明书</w:t>
      </w:r>
    </w:p>
    <w:p>
      <w:pPr>
        <w:tabs>
          <w:tab w:val="clear" w:pos="426"/>
        </w:tabs>
        <w:spacing w:line="480" w:lineRule="auto"/>
        <w:ind w:firstLine="424" w:firstLineChars="202"/>
        <w:rPr>
          <w:color w:val="000000" w:themeColor="text1"/>
          <w:highlight w:val="none"/>
          <w:u w:val="single"/>
          <w14:textFill>
            <w14:solidFill>
              <w14:schemeClr w14:val="tx1"/>
            </w14:solidFill>
          </w14:textFill>
        </w:rPr>
      </w:pPr>
    </w:p>
    <w:p>
      <w:pPr>
        <w:tabs>
          <w:tab w:val="clear" w:pos="426"/>
        </w:tabs>
        <w:spacing w:line="48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u w:val="single"/>
          <w14:textFill>
            <w14:solidFill>
              <w14:schemeClr w14:val="tx1"/>
            </w14:solidFill>
          </w14:textFill>
        </w:rPr>
        <w:t>__________</w:t>
      </w:r>
      <w:r>
        <w:rPr>
          <w:rFonts w:hint="eastAsia"/>
          <w:color w:val="000000" w:themeColor="text1"/>
          <w:highlight w:val="none"/>
          <w14:textFill>
            <w14:solidFill>
              <w14:schemeClr w14:val="tx1"/>
            </w14:solidFill>
          </w14:textFill>
        </w:rPr>
        <w:t>同志，现任我单位</w:t>
      </w:r>
      <w:r>
        <w:rPr>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职务，为法定代表人，特此证明。</w:t>
      </w:r>
    </w:p>
    <w:p>
      <w:pPr>
        <w:tabs>
          <w:tab w:val="clear" w:pos="426"/>
        </w:tabs>
        <w:spacing w:line="48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本证明书自签发之日起生效，有效期与本公司投标文件中标注的投标有效期相同。</w:t>
      </w:r>
    </w:p>
    <w:p>
      <w:pPr>
        <w:tabs>
          <w:tab w:val="clear" w:pos="426"/>
        </w:tabs>
        <w:spacing w:line="48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w:t>
      </w:r>
    </w:p>
    <w:p>
      <w:pPr>
        <w:tabs>
          <w:tab w:val="clear" w:pos="426"/>
        </w:tabs>
        <w:spacing w:line="480" w:lineRule="auto"/>
        <w:ind w:firstLine="424" w:firstLine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营业执照（注册号）：</w:t>
      </w:r>
      <w:r>
        <w:rPr>
          <w:rFonts w:hint="eastAsia"/>
          <w:color w:val="000000" w:themeColor="text1"/>
          <w:highlight w:val="none"/>
          <w:u w:val="single"/>
          <w14:textFill>
            <w14:solidFill>
              <w14:schemeClr w14:val="tx1"/>
            </w14:solidFill>
          </w14:textFill>
        </w:rPr>
        <w:t xml:space="preserve">                                               </w:t>
      </w:r>
    </w:p>
    <w:p>
      <w:pPr>
        <w:tabs>
          <w:tab w:val="clear" w:pos="426"/>
        </w:tabs>
        <w:spacing w:line="480" w:lineRule="auto"/>
        <w:ind w:firstLine="424" w:firstLineChars="20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经济性质：</w:t>
      </w:r>
      <w:r>
        <w:rPr>
          <w:rFonts w:hint="eastAsia"/>
          <w:color w:val="000000" w:themeColor="text1"/>
          <w:highlight w:val="none"/>
          <w:u w:val="single"/>
          <w14:textFill>
            <w14:solidFill>
              <w14:schemeClr w14:val="tx1"/>
            </w14:solidFill>
          </w14:textFill>
        </w:rPr>
        <w:t xml:space="preserve">                                                         </w:t>
      </w:r>
    </w:p>
    <w:p>
      <w:pPr>
        <w:tabs>
          <w:tab w:val="clear" w:pos="426"/>
        </w:tabs>
        <w:spacing w:line="480" w:lineRule="auto"/>
        <w:ind w:firstLine="424" w:firstLineChars="20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主营（产）：</w:t>
      </w:r>
      <w:r>
        <w:rPr>
          <w:rFonts w:hint="eastAsia"/>
          <w:color w:val="000000" w:themeColor="text1"/>
          <w:highlight w:val="none"/>
          <w:u w:val="single"/>
          <w14:textFill>
            <w14:solidFill>
              <w14:schemeClr w14:val="tx1"/>
            </w14:solidFill>
          </w14:textFill>
        </w:rPr>
        <w:t xml:space="preserve">                                                       </w:t>
      </w:r>
    </w:p>
    <w:p>
      <w:pPr>
        <w:tabs>
          <w:tab w:val="clear" w:pos="426"/>
        </w:tabs>
        <w:spacing w:line="480" w:lineRule="auto"/>
        <w:ind w:firstLine="424" w:firstLineChars="20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兼营（产）：</w:t>
      </w:r>
      <w:r>
        <w:rPr>
          <w:rFonts w:hint="eastAsia"/>
          <w:color w:val="000000" w:themeColor="text1"/>
          <w:highlight w:val="none"/>
          <w:u w:val="single"/>
          <w14:textFill>
            <w14:solidFill>
              <w14:schemeClr w14:val="tx1"/>
            </w14:solidFill>
          </w14:textFill>
        </w:rPr>
        <w:t xml:space="preserve">                                                       </w:t>
      </w:r>
    </w:p>
    <w:p>
      <w:pPr>
        <w:tabs>
          <w:tab w:val="clear" w:pos="426"/>
        </w:tabs>
        <w:ind w:firstLine="424" w:firstLineChars="202"/>
        <w:rPr>
          <w:color w:val="000000" w:themeColor="text1"/>
          <w:highlight w:val="none"/>
          <w14:textFill>
            <w14:solidFill>
              <w14:schemeClr w14:val="tx1"/>
            </w14:solidFill>
          </w14:textFill>
        </w:rPr>
      </w:pPr>
    </w:p>
    <w:p>
      <w:pPr>
        <w:tabs>
          <w:tab w:val="clear" w:pos="426"/>
        </w:tabs>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附：法定代表人身份证复印件：</w:t>
      </w:r>
    </w:p>
    <w:p>
      <w:pPr>
        <w:tabs>
          <w:tab w:val="clear" w:pos="426"/>
        </w:tabs>
        <w:ind w:firstLine="424" w:firstLineChars="202"/>
        <w:rPr>
          <w:color w:val="000000" w:themeColor="text1"/>
          <w:szCs w:val="21"/>
          <w:highlight w:val="none"/>
          <w14:textFill>
            <w14:solidFill>
              <w14:schemeClr w14:val="tx1"/>
            </w14:solidFill>
          </w14:textFill>
        </w:rPr>
      </w:pPr>
    </w:p>
    <w:p>
      <w:pPr>
        <w:tabs>
          <w:tab w:val="clear" w:pos="426"/>
        </w:tabs>
        <w:ind w:firstLine="424" w:firstLineChars="202"/>
        <w:rPr>
          <w:color w:val="000000" w:themeColor="text1"/>
          <w:szCs w:val="21"/>
          <w:highlight w:val="none"/>
          <w14:textFill>
            <w14:solidFill>
              <w14:schemeClr w14:val="tx1"/>
            </w14:solidFill>
          </w14:textFill>
        </w:rPr>
      </w:pPr>
    </w:p>
    <w:p>
      <w:pPr>
        <w:tabs>
          <w:tab w:val="clear" w:pos="426"/>
        </w:tabs>
        <w:ind w:firstLine="424" w:firstLineChars="202"/>
        <w:rPr>
          <w:color w:val="000000" w:themeColor="text1"/>
          <w:szCs w:val="21"/>
          <w:highlight w:val="none"/>
          <w14:textFill>
            <w14:solidFill>
              <w14:schemeClr w14:val="tx1"/>
            </w14:solidFill>
          </w14:textFill>
        </w:rPr>
      </w:pPr>
    </w:p>
    <w:p>
      <w:pPr>
        <w:tabs>
          <w:tab w:val="clear" w:pos="426"/>
        </w:tabs>
        <w:spacing w:line="500" w:lineRule="exact"/>
        <w:ind w:left="3826" w:leftChars="182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投标人名称（单位盖</w:t>
      </w:r>
      <w:r>
        <w:rPr>
          <w:rFonts w:hint="eastAsia"/>
          <w:color w:val="000000" w:themeColor="text1"/>
          <w:spacing w:val="4"/>
          <w:highlight w:val="none"/>
          <w14:textFill>
            <w14:solidFill>
              <w14:schemeClr w14:val="tx1"/>
            </w14:solidFill>
          </w14:textFill>
        </w:rPr>
        <w:t>公章</w:t>
      </w:r>
      <w:r>
        <w:rPr>
          <w:rFonts w:hint="eastAsia"/>
          <w:color w:val="000000" w:themeColor="text1"/>
          <w:highlight w:val="none"/>
          <w14:textFill>
            <w14:solidFill>
              <w14:schemeClr w14:val="tx1"/>
            </w14:solidFill>
          </w14:textFill>
        </w:rPr>
        <w:t>）：</w:t>
      </w:r>
      <w:r>
        <w:rPr>
          <w:rFonts w:hint="eastAsia"/>
          <w:color w:val="000000" w:themeColor="text1"/>
          <w:highlight w:val="none"/>
          <w:u w:val="single"/>
          <w14:textFill>
            <w14:solidFill>
              <w14:schemeClr w14:val="tx1"/>
            </w14:solidFill>
          </w14:textFill>
        </w:rPr>
        <w:t xml:space="preserve">                     </w:t>
      </w:r>
    </w:p>
    <w:p>
      <w:pPr>
        <w:tabs>
          <w:tab w:val="clear" w:pos="426"/>
        </w:tabs>
        <w:spacing w:line="500" w:lineRule="exact"/>
        <w:ind w:left="3826" w:leftChars="182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地址：</w:t>
      </w:r>
      <w:r>
        <w:rPr>
          <w:rFonts w:hint="eastAsia"/>
          <w:color w:val="000000" w:themeColor="text1"/>
          <w:highlight w:val="none"/>
          <w:u w:val="single"/>
          <w14:textFill>
            <w14:solidFill>
              <w14:schemeClr w14:val="tx1"/>
            </w14:solidFill>
          </w14:textFill>
        </w:rPr>
        <w:t xml:space="preserve">                                           </w:t>
      </w:r>
    </w:p>
    <w:p>
      <w:pPr>
        <w:tabs>
          <w:tab w:val="clear" w:pos="426"/>
        </w:tabs>
        <w:spacing w:line="500" w:lineRule="exact"/>
        <w:ind w:left="3826" w:leftChars="182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签发日期：</w:t>
      </w:r>
      <w:r>
        <w:rPr>
          <w:rFonts w:hint="eastAsia"/>
          <w:color w:val="000000" w:themeColor="text1"/>
          <w:highlight w:val="none"/>
          <w:u w:val="single"/>
          <w14:textFill>
            <w14:solidFill>
              <w14:schemeClr w14:val="tx1"/>
            </w14:solidFill>
          </w14:textFill>
        </w:rPr>
        <w:t xml:space="preserve">                                       </w:t>
      </w:r>
    </w:p>
    <w:p>
      <w:pPr>
        <w:tabs>
          <w:tab w:val="clear" w:pos="426"/>
        </w:tabs>
        <w:spacing w:line="500" w:lineRule="exact"/>
        <w:ind w:left="3826" w:leftChars="1822"/>
        <w:rPr>
          <w:b/>
          <w:bCs/>
          <w:color w:val="000000" w:themeColor="text1"/>
          <w:highlight w:val="none"/>
          <w:u w:val="single"/>
          <w14:textFill>
            <w14:solidFill>
              <w14:schemeClr w14:val="tx1"/>
            </w14:solidFill>
          </w14:textFill>
        </w:rPr>
      </w:pPr>
    </w:p>
    <w:p>
      <w:pPr>
        <w:numPr>
          <w:ilvl w:val="0"/>
          <w:numId w:val="25"/>
        </w:numPr>
        <w:adjustRightInd/>
        <w:snapToGrid/>
        <w:spacing w:before="280" w:after="290" w:line="377" w:lineRule="auto"/>
        <w:outlineLvl w:val="3"/>
        <w:rPr>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投标人基本情况表</w:t>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bookmarkStart w:id="66" w:name="_Toc275865616"/>
      <w:bookmarkStart w:id="67" w:name="_Toc173553182"/>
      <w:bookmarkStart w:id="68" w:name="_Toc480754207"/>
      <w:bookmarkStart w:id="69" w:name="_Toc480755928"/>
      <w:bookmarkStart w:id="70" w:name="_Toc480756074"/>
      <w:bookmarkStart w:id="71" w:name="_Toc480789478"/>
      <w:r>
        <w:rPr>
          <w:rFonts w:hint="eastAsia" w:cs="Times New Roman"/>
          <w:bCs/>
          <w:color w:val="000000" w:themeColor="text1"/>
          <w:kern w:val="2"/>
          <w:sz w:val="32"/>
          <w:szCs w:val="32"/>
          <w:highlight w:val="none"/>
          <w14:textFill>
            <w14:solidFill>
              <w14:schemeClr w14:val="tx1"/>
            </w14:solidFill>
          </w14:textFill>
        </w:rPr>
        <w:t>投标人基本情况表</w:t>
      </w:r>
      <w:bookmarkEnd w:id="66"/>
      <w:bookmarkEnd w:id="67"/>
      <w:bookmarkEnd w:id="68"/>
      <w:bookmarkEnd w:id="69"/>
      <w:bookmarkEnd w:id="70"/>
      <w:bookmarkEnd w:id="71"/>
    </w:p>
    <w:p>
      <w:pPr>
        <w:widowControl w:val="0"/>
        <w:shd w:val="clear" w:color="auto" w:fill="auto"/>
        <w:tabs>
          <w:tab w:val="clear" w:pos="426"/>
        </w:tabs>
        <w:adjustRightInd/>
        <w:snapToGrid/>
        <w:rPr>
          <w:rFonts w:cs="Arial"/>
          <w:b/>
          <w:color w:val="000000" w:themeColor="text1"/>
          <w:szCs w:val="21"/>
          <w:highlight w:val="none"/>
          <w14:textFill>
            <w14:solidFill>
              <w14:schemeClr w14:val="tx1"/>
            </w14:solidFill>
          </w14:textFill>
        </w:rPr>
      </w:pPr>
      <w:r>
        <w:rPr>
          <w:rFonts w:hint="eastAsia" w:cs="Arial"/>
          <w:b/>
          <w:color w:val="000000" w:themeColor="text1"/>
          <w:szCs w:val="21"/>
          <w:highlight w:val="none"/>
          <w14:textFill>
            <w14:solidFill>
              <w14:schemeClr w14:val="tx1"/>
            </w14:solidFill>
          </w14:textFill>
        </w:rPr>
        <w:t>一、</w:t>
      </w:r>
      <w:r>
        <w:rPr>
          <w:rFonts w:cs="Arial"/>
          <w:b/>
          <w:color w:val="000000" w:themeColor="text1"/>
          <w:szCs w:val="21"/>
          <w:highlight w:val="none"/>
          <w14:textFill>
            <w14:solidFill>
              <w14:schemeClr w14:val="tx1"/>
            </w14:solidFill>
          </w14:textFill>
        </w:rPr>
        <w:t>公司基本情况</w:t>
      </w:r>
    </w:p>
    <w:p>
      <w:pPr>
        <w:widowControl w:val="0"/>
        <w:numPr>
          <w:ilvl w:val="1"/>
          <w:numId w:val="26"/>
        </w:numPr>
        <w:shd w:val="clear" w:color="auto" w:fill="auto"/>
        <w:tabs>
          <w:tab w:val="clear" w:pos="426"/>
        </w:tabs>
        <w:adjustRightInd/>
        <w:snapToGrid/>
        <w:ind w:left="0" w:firstLine="426"/>
        <w:rPr>
          <w:rFonts w:cs="Arial"/>
          <w:color w:val="000000" w:themeColor="text1"/>
          <w:szCs w:val="21"/>
          <w:highlight w:val="none"/>
          <w14:textFill>
            <w14:solidFill>
              <w14:schemeClr w14:val="tx1"/>
            </w14:solidFill>
          </w14:textFill>
        </w:rPr>
      </w:pPr>
      <w:r>
        <w:rPr>
          <w:rFonts w:cs="Arial"/>
          <w:color w:val="000000" w:themeColor="text1"/>
          <w:szCs w:val="21"/>
          <w:highlight w:val="none"/>
          <w14:textFill>
            <w14:solidFill>
              <w14:schemeClr w14:val="tx1"/>
            </w14:solidFill>
          </w14:textFill>
        </w:rPr>
        <w:t>公司名称：</w:t>
      </w:r>
      <w:r>
        <w:rPr>
          <w:rFonts w:cs="Arial"/>
          <w:color w:val="000000" w:themeColor="text1"/>
          <w:szCs w:val="21"/>
          <w:highlight w:val="none"/>
          <w:u w:val="single"/>
          <w14:textFill>
            <w14:solidFill>
              <w14:schemeClr w14:val="tx1"/>
            </w14:solidFill>
          </w14:textFill>
        </w:rPr>
        <w:t xml:space="preserve">                              </w:t>
      </w:r>
      <w:r>
        <w:rPr>
          <w:rFonts w:cs="Arial"/>
          <w:color w:val="000000" w:themeColor="text1"/>
          <w:szCs w:val="21"/>
          <w:highlight w:val="none"/>
          <w14:textFill>
            <w14:solidFill>
              <w14:schemeClr w14:val="tx1"/>
            </w14:solidFill>
          </w14:textFill>
        </w:rPr>
        <w:t xml:space="preserve">  电话号码：</w:t>
      </w:r>
      <w:r>
        <w:rPr>
          <w:rFonts w:cs="Arial"/>
          <w:color w:val="000000" w:themeColor="text1"/>
          <w:szCs w:val="21"/>
          <w:highlight w:val="none"/>
          <w:u w:val="single"/>
          <w14:textFill>
            <w14:solidFill>
              <w14:schemeClr w14:val="tx1"/>
            </w14:solidFill>
          </w14:textFill>
        </w:rPr>
        <w:t xml:space="preserve">                            </w:t>
      </w:r>
    </w:p>
    <w:p>
      <w:pPr>
        <w:widowControl w:val="0"/>
        <w:numPr>
          <w:ilvl w:val="1"/>
          <w:numId w:val="26"/>
        </w:numPr>
        <w:shd w:val="clear" w:color="auto" w:fill="auto"/>
        <w:tabs>
          <w:tab w:val="clear" w:pos="426"/>
        </w:tabs>
        <w:adjustRightInd/>
        <w:snapToGrid/>
        <w:ind w:left="0" w:firstLine="426"/>
        <w:rPr>
          <w:rFonts w:cs="Arial"/>
          <w:color w:val="000000" w:themeColor="text1"/>
          <w:szCs w:val="21"/>
          <w:highlight w:val="none"/>
          <w14:textFill>
            <w14:solidFill>
              <w14:schemeClr w14:val="tx1"/>
            </w14:solidFill>
          </w14:textFill>
        </w:rPr>
      </w:pPr>
      <w:r>
        <w:rPr>
          <w:rFonts w:cs="Arial"/>
          <w:color w:val="000000" w:themeColor="text1"/>
          <w:szCs w:val="21"/>
          <w:highlight w:val="none"/>
          <w14:textFill>
            <w14:solidFill>
              <w14:schemeClr w14:val="tx1"/>
            </w14:solidFill>
          </w14:textFill>
        </w:rPr>
        <w:t>地    址：</w:t>
      </w:r>
      <w:r>
        <w:rPr>
          <w:rFonts w:cs="Arial"/>
          <w:color w:val="000000" w:themeColor="text1"/>
          <w:szCs w:val="21"/>
          <w:highlight w:val="none"/>
          <w:u w:val="single"/>
          <w14:textFill>
            <w14:solidFill>
              <w14:schemeClr w14:val="tx1"/>
            </w14:solidFill>
          </w14:textFill>
        </w:rPr>
        <w:t xml:space="preserve">                              </w:t>
      </w:r>
      <w:r>
        <w:rPr>
          <w:rFonts w:cs="Arial"/>
          <w:color w:val="000000" w:themeColor="text1"/>
          <w:szCs w:val="21"/>
          <w:highlight w:val="none"/>
          <w14:textFill>
            <w14:solidFill>
              <w14:schemeClr w14:val="tx1"/>
            </w14:solidFill>
          </w14:textFill>
        </w:rPr>
        <w:t xml:space="preserve">  传    真：</w:t>
      </w:r>
      <w:r>
        <w:rPr>
          <w:rFonts w:cs="Arial"/>
          <w:color w:val="000000" w:themeColor="text1"/>
          <w:szCs w:val="21"/>
          <w:highlight w:val="none"/>
          <w:u w:val="single"/>
          <w14:textFill>
            <w14:solidFill>
              <w14:schemeClr w14:val="tx1"/>
            </w14:solidFill>
          </w14:textFill>
        </w:rPr>
        <w:t xml:space="preserve">                             </w:t>
      </w:r>
    </w:p>
    <w:p>
      <w:pPr>
        <w:widowControl w:val="0"/>
        <w:numPr>
          <w:ilvl w:val="1"/>
          <w:numId w:val="26"/>
        </w:numPr>
        <w:shd w:val="clear" w:color="auto" w:fill="auto"/>
        <w:tabs>
          <w:tab w:val="clear" w:pos="426"/>
        </w:tabs>
        <w:adjustRightInd/>
        <w:snapToGrid/>
        <w:ind w:left="0" w:firstLine="426"/>
        <w:rPr>
          <w:rFonts w:cs="Arial"/>
          <w:color w:val="000000" w:themeColor="text1"/>
          <w:szCs w:val="21"/>
          <w:highlight w:val="none"/>
          <w:u w:val="single"/>
          <w14:textFill>
            <w14:solidFill>
              <w14:schemeClr w14:val="tx1"/>
            </w14:solidFill>
          </w14:textFill>
        </w:rPr>
      </w:pPr>
      <w:r>
        <w:rPr>
          <w:rFonts w:cs="Arial"/>
          <w:color w:val="000000" w:themeColor="text1"/>
          <w:szCs w:val="21"/>
          <w:highlight w:val="none"/>
          <w14:textFill>
            <w14:solidFill>
              <w14:schemeClr w14:val="tx1"/>
            </w14:solidFill>
          </w14:textFill>
        </w:rPr>
        <w:t>注册资金：</w:t>
      </w:r>
      <w:r>
        <w:rPr>
          <w:rFonts w:cs="Arial"/>
          <w:color w:val="000000" w:themeColor="text1"/>
          <w:szCs w:val="21"/>
          <w:highlight w:val="none"/>
          <w:u w:val="single"/>
          <w14:textFill>
            <w14:solidFill>
              <w14:schemeClr w14:val="tx1"/>
            </w14:solidFill>
          </w14:textFill>
        </w:rPr>
        <w:t xml:space="preserve">                              </w:t>
      </w:r>
      <w:r>
        <w:rPr>
          <w:rFonts w:cs="Arial"/>
          <w:color w:val="000000" w:themeColor="text1"/>
          <w:szCs w:val="21"/>
          <w:highlight w:val="none"/>
          <w14:textFill>
            <w14:solidFill>
              <w14:schemeClr w14:val="tx1"/>
            </w14:solidFill>
          </w14:textFill>
        </w:rPr>
        <w:t xml:space="preserve">  经济性质：</w:t>
      </w:r>
      <w:r>
        <w:rPr>
          <w:rFonts w:cs="Arial"/>
          <w:color w:val="000000" w:themeColor="text1"/>
          <w:szCs w:val="21"/>
          <w:highlight w:val="none"/>
          <w:u w:val="single"/>
          <w14:textFill>
            <w14:solidFill>
              <w14:schemeClr w14:val="tx1"/>
            </w14:solidFill>
          </w14:textFill>
        </w:rPr>
        <w:t xml:space="preserve">      </w:t>
      </w:r>
      <w:r>
        <w:rPr>
          <w:rFonts w:hint="eastAsia" w:cs="Arial"/>
          <w:color w:val="000000" w:themeColor="text1"/>
          <w:szCs w:val="21"/>
          <w:highlight w:val="none"/>
          <w:u w:val="single"/>
          <w14:textFill>
            <w14:solidFill>
              <w14:schemeClr w14:val="tx1"/>
            </w14:solidFill>
          </w14:textFill>
        </w:rPr>
        <w:t xml:space="preserve">                   </w:t>
      </w:r>
      <w:r>
        <w:rPr>
          <w:rFonts w:cs="Arial"/>
          <w:color w:val="000000" w:themeColor="text1"/>
          <w:szCs w:val="21"/>
          <w:highlight w:val="none"/>
          <w:u w:val="single"/>
          <w14:textFill>
            <w14:solidFill>
              <w14:schemeClr w14:val="tx1"/>
            </w14:solidFill>
          </w14:textFill>
        </w:rPr>
        <w:t xml:space="preserve">    </w:t>
      </w:r>
    </w:p>
    <w:p>
      <w:pPr>
        <w:widowControl w:val="0"/>
        <w:numPr>
          <w:ilvl w:val="1"/>
          <w:numId w:val="26"/>
        </w:numPr>
        <w:shd w:val="clear" w:color="auto" w:fill="auto"/>
        <w:tabs>
          <w:tab w:val="clear" w:pos="426"/>
        </w:tabs>
        <w:adjustRightInd/>
        <w:snapToGrid/>
        <w:ind w:left="0" w:firstLine="426"/>
        <w:rPr>
          <w:rFonts w:cs="Arial"/>
          <w:color w:val="000000" w:themeColor="text1"/>
          <w:szCs w:val="21"/>
          <w:highlight w:val="none"/>
          <w14:textFill>
            <w14:solidFill>
              <w14:schemeClr w14:val="tx1"/>
            </w14:solidFill>
          </w14:textFill>
        </w:rPr>
      </w:pPr>
      <w:r>
        <w:rPr>
          <w:rFonts w:cs="Arial"/>
          <w:color w:val="000000" w:themeColor="text1"/>
          <w:szCs w:val="21"/>
          <w:highlight w:val="none"/>
          <w14:textFill>
            <w14:solidFill>
              <w14:schemeClr w14:val="tx1"/>
            </w14:solidFill>
          </w14:textFill>
        </w:rPr>
        <w:t>公司开户银行名称及账号：</w:t>
      </w:r>
      <w:r>
        <w:rPr>
          <w:rFonts w:hint="eastAsia" w:cs="Arial"/>
          <w:color w:val="000000" w:themeColor="text1"/>
          <w:szCs w:val="21"/>
          <w:highlight w:val="none"/>
          <w:u w:val="single"/>
          <w14:textFill>
            <w14:solidFill>
              <w14:schemeClr w14:val="tx1"/>
            </w14:solidFill>
          </w14:textFill>
        </w:rPr>
        <w:t xml:space="preserve">                                                         </w:t>
      </w:r>
    </w:p>
    <w:p>
      <w:pPr>
        <w:widowControl w:val="0"/>
        <w:numPr>
          <w:ilvl w:val="1"/>
          <w:numId w:val="26"/>
        </w:numPr>
        <w:shd w:val="clear" w:color="auto" w:fill="auto"/>
        <w:tabs>
          <w:tab w:val="clear" w:pos="426"/>
        </w:tabs>
        <w:adjustRightInd/>
        <w:snapToGrid/>
        <w:ind w:left="0" w:firstLine="426"/>
        <w:rPr>
          <w:rFonts w:cs="Arial"/>
          <w:color w:val="000000" w:themeColor="text1"/>
          <w:szCs w:val="21"/>
          <w:highlight w:val="none"/>
          <w14:textFill>
            <w14:solidFill>
              <w14:schemeClr w14:val="tx1"/>
            </w14:solidFill>
          </w14:textFill>
        </w:rPr>
      </w:pPr>
      <w:r>
        <w:rPr>
          <w:rFonts w:cs="Arial"/>
          <w:color w:val="000000" w:themeColor="text1"/>
          <w:szCs w:val="21"/>
          <w:highlight w:val="none"/>
          <w14:textFill>
            <w14:solidFill>
              <w14:schemeClr w14:val="tx1"/>
            </w14:solidFill>
          </w14:textFill>
        </w:rPr>
        <w:t>营业注册执照号：</w:t>
      </w:r>
      <w:r>
        <w:rPr>
          <w:rFonts w:hint="eastAsia" w:cs="Arial"/>
          <w:color w:val="000000" w:themeColor="text1"/>
          <w:szCs w:val="21"/>
          <w:highlight w:val="none"/>
          <w:u w:val="single"/>
          <w14:textFill>
            <w14:solidFill>
              <w14:schemeClr w14:val="tx1"/>
            </w14:solidFill>
          </w14:textFill>
        </w:rPr>
        <w:t xml:space="preserve">                                                                  </w:t>
      </w:r>
    </w:p>
    <w:p>
      <w:pPr>
        <w:widowControl w:val="0"/>
        <w:numPr>
          <w:ilvl w:val="1"/>
          <w:numId w:val="26"/>
        </w:numPr>
        <w:shd w:val="clear" w:color="auto" w:fill="auto"/>
        <w:tabs>
          <w:tab w:val="clear" w:pos="426"/>
        </w:tabs>
        <w:adjustRightInd/>
        <w:snapToGrid/>
        <w:ind w:left="0" w:firstLine="426"/>
        <w:rPr>
          <w:rFonts w:cs="Arial"/>
          <w:color w:val="000000" w:themeColor="text1"/>
          <w:szCs w:val="21"/>
          <w:highlight w:val="none"/>
          <w14:textFill>
            <w14:solidFill>
              <w14:schemeClr w14:val="tx1"/>
            </w14:solidFill>
          </w14:textFill>
        </w:rPr>
      </w:pPr>
      <w:r>
        <w:rPr>
          <w:rFonts w:cs="Arial"/>
          <w:color w:val="000000" w:themeColor="text1"/>
          <w:szCs w:val="21"/>
          <w:highlight w:val="none"/>
          <w14:textFill>
            <w14:solidFill>
              <w14:schemeClr w14:val="tx1"/>
            </w14:solidFill>
          </w14:textFill>
        </w:rPr>
        <w:t>公司简介</w:t>
      </w:r>
    </w:p>
    <w:p>
      <w:pPr>
        <w:tabs>
          <w:tab w:val="clear" w:pos="426"/>
        </w:tabs>
        <w:ind w:firstLine="42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文字描述：</w:t>
      </w:r>
      <w:r>
        <w:rPr>
          <w:rFonts w:hint="eastAsia"/>
          <w:bCs/>
          <w:color w:val="000000" w:themeColor="text1"/>
          <w:szCs w:val="21"/>
          <w:highlight w:val="none"/>
          <w:lang w:val="en-GB"/>
          <w14:textFill>
            <w14:solidFill>
              <w14:schemeClr w14:val="tx1"/>
            </w14:solidFill>
          </w14:textFill>
        </w:rPr>
        <w:t>发展历程、经营规模及服务理念</w:t>
      </w:r>
      <w:r>
        <w:rPr>
          <w:rFonts w:hint="eastAsia"/>
          <w:color w:val="000000" w:themeColor="text1"/>
          <w:highlight w:val="none"/>
          <w14:textFill>
            <w14:solidFill>
              <w14:schemeClr w14:val="tx1"/>
            </w14:solidFill>
          </w14:textFill>
        </w:rPr>
        <w:t>、技术力量、财务状况、</w:t>
      </w:r>
      <w:r>
        <w:rPr>
          <w:color w:val="000000" w:themeColor="text1"/>
          <w:highlight w:val="none"/>
          <w14:textFill>
            <w14:solidFill>
              <w14:schemeClr w14:val="tx1"/>
            </w14:solidFill>
          </w14:textFill>
        </w:rPr>
        <w:t>管理水平</w:t>
      </w:r>
      <w:r>
        <w:rPr>
          <w:rFonts w:hint="eastAsia"/>
          <w:color w:val="000000" w:themeColor="text1"/>
          <w:highlight w:val="none"/>
          <w14:textFill>
            <w14:solidFill>
              <w14:schemeClr w14:val="tx1"/>
            </w14:solidFill>
          </w14:textFill>
        </w:rPr>
        <w:t>等方面进行阐述；</w:t>
      </w:r>
    </w:p>
    <w:p>
      <w:pPr>
        <w:tabs>
          <w:tab w:val="clear" w:pos="426"/>
        </w:tabs>
        <w:ind w:firstLine="426"/>
        <w:rPr>
          <w:rFonts w:cs="Arial"/>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图片描述：</w:t>
      </w:r>
      <w:r>
        <w:rPr>
          <w:rFonts w:hint="eastAsia"/>
          <w:bCs/>
          <w:color w:val="000000" w:themeColor="text1"/>
          <w:szCs w:val="21"/>
          <w:highlight w:val="none"/>
          <w:lang w:val="en-GB"/>
          <w14:textFill>
            <w14:solidFill>
              <w14:schemeClr w14:val="tx1"/>
            </w14:solidFill>
          </w14:textFill>
        </w:rPr>
        <w:t>经营场所、主要或关键产品介绍、生产场所及服务流程等。</w:t>
      </w:r>
    </w:p>
    <w:p>
      <w:pPr>
        <w:widowControl w:val="0"/>
        <w:shd w:val="clear" w:color="auto" w:fill="auto"/>
        <w:tabs>
          <w:tab w:val="clear" w:pos="426"/>
        </w:tabs>
        <w:adjustRightInd/>
        <w:snapToGrid/>
        <w:rPr>
          <w:rFonts w:cs="Arial"/>
          <w:b/>
          <w:color w:val="000000" w:themeColor="text1"/>
          <w:szCs w:val="21"/>
          <w:highlight w:val="none"/>
          <w14:textFill>
            <w14:solidFill>
              <w14:schemeClr w14:val="tx1"/>
            </w14:solidFill>
          </w14:textFill>
        </w:rPr>
      </w:pPr>
      <w:r>
        <w:rPr>
          <w:rFonts w:hint="eastAsia" w:cs="Arial"/>
          <w:b/>
          <w:color w:val="000000" w:themeColor="text1"/>
          <w:szCs w:val="21"/>
          <w:highlight w:val="none"/>
          <w14:textFill>
            <w14:solidFill>
              <w14:schemeClr w14:val="tx1"/>
            </w14:solidFill>
          </w14:textFill>
        </w:rPr>
        <w:t>二、供应商资格证明文件</w:t>
      </w:r>
    </w:p>
    <w:p>
      <w:pPr>
        <w:tabs>
          <w:tab w:val="clear" w:pos="426"/>
        </w:tabs>
        <w:spacing w:beforeLines="50"/>
        <w:ind w:firstLine="424" w:firstLineChars="201"/>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pPr>
        <w:widowControl w:val="0"/>
        <w:shd w:val="clear" w:color="auto" w:fill="auto"/>
        <w:tabs>
          <w:tab w:val="clear" w:pos="426"/>
        </w:tabs>
        <w:adjustRightInd/>
        <w:snapToGrid/>
        <w:rPr>
          <w:rFonts w:cs="Arial"/>
          <w:b/>
          <w:color w:val="000000" w:themeColor="text1"/>
          <w:szCs w:val="21"/>
          <w:highlight w:val="none"/>
          <w14:textFill>
            <w14:solidFill>
              <w14:schemeClr w14:val="tx1"/>
            </w14:solidFill>
          </w14:textFill>
        </w:rPr>
      </w:pPr>
      <w:r>
        <w:rPr>
          <w:rFonts w:hint="eastAsia" w:cs="Arial"/>
          <w:b/>
          <w:color w:val="000000" w:themeColor="text1"/>
          <w:szCs w:val="21"/>
          <w:highlight w:val="none"/>
          <w14:textFill>
            <w14:solidFill>
              <w14:schemeClr w14:val="tx1"/>
            </w14:solidFill>
          </w14:textFill>
        </w:rPr>
        <w:t>三、</w:t>
      </w:r>
      <w:r>
        <w:rPr>
          <w:rFonts w:cs="Arial"/>
          <w:b/>
          <w:color w:val="000000" w:themeColor="text1"/>
          <w:szCs w:val="21"/>
          <w:highlight w:val="none"/>
          <w14:textFill>
            <w14:solidFill>
              <w14:schemeClr w14:val="tx1"/>
            </w14:solidFill>
          </w14:textFill>
        </w:rPr>
        <w:t>如联合体投标，投标人还必须提供《联合体投标协议》（格式自定）。</w:t>
      </w:r>
    </w:p>
    <w:p>
      <w:pPr>
        <w:tabs>
          <w:tab w:val="clear" w:pos="426"/>
        </w:tabs>
        <w:spacing w:line="500" w:lineRule="exact"/>
        <w:ind w:left="424" w:leftChars="202"/>
        <w:rPr>
          <w:color w:val="000000" w:themeColor="text1"/>
          <w:spacing w:val="4"/>
          <w:highlight w:val="none"/>
          <w14:textFill>
            <w14:solidFill>
              <w14:schemeClr w14:val="tx1"/>
            </w14:solidFill>
          </w14:textFill>
        </w:rPr>
      </w:pPr>
    </w:p>
    <w:p>
      <w:pPr>
        <w:tabs>
          <w:tab w:val="clear" w:pos="426"/>
        </w:tabs>
        <w:spacing w:line="500" w:lineRule="exact"/>
        <w:ind w:left="424" w:leftChars="202"/>
        <w:rPr>
          <w:color w:val="000000" w:themeColor="text1"/>
          <w:spacing w:val="4"/>
          <w:highlight w:val="none"/>
          <w14:textFill>
            <w14:solidFill>
              <w14:schemeClr w14:val="tx1"/>
            </w14:solidFill>
          </w14:textFill>
        </w:rPr>
      </w:pPr>
    </w:p>
    <w:p>
      <w:pPr>
        <w:tabs>
          <w:tab w:val="clear" w:pos="426"/>
        </w:tabs>
        <w:spacing w:line="500" w:lineRule="exact"/>
        <w:ind w:left="424" w:leftChars="202"/>
        <w:rPr>
          <w:color w:val="000000" w:themeColor="text1"/>
          <w:spacing w:val="4"/>
          <w:highlight w:val="none"/>
          <w14:textFill>
            <w14:solidFill>
              <w14:schemeClr w14:val="tx1"/>
            </w14:solidFill>
          </w14:textFill>
        </w:rPr>
      </w:pPr>
    </w:p>
    <w:p>
      <w:pPr>
        <w:tabs>
          <w:tab w:val="clear" w:pos="426"/>
        </w:tabs>
        <w:spacing w:line="500" w:lineRule="exact"/>
        <w:ind w:left="424" w:leftChars="202"/>
        <w:rPr>
          <w:color w:val="000000" w:themeColor="text1"/>
          <w:highlight w:val="none"/>
          <w:u w:val="single"/>
          <w14:textFill>
            <w14:solidFill>
              <w14:schemeClr w14:val="tx1"/>
            </w14:solidFill>
          </w14:textFill>
        </w:rPr>
      </w:pPr>
      <w:r>
        <w:rPr>
          <w:rFonts w:hint="eastAsia"/>
          <w:color w:val="000000" w:themeColor="text1"/>
          <w:spacing w:val="4"/>
          <w:highlight w:val="none"/>
          <w14:textFill>
            <w14:solidFill>
              <w14:schemeClr w14:val="tx1"/>
            </w14:solidFill>
          </w14:textFill>
        </w:rPr>
        <w:t>投标人名称（</w:t>
      </w:r>
      <w:r>
        <w:rPr>
          <w:rFonts w:hint="eastAsia"/>
          <w:color w:val="000000" w:themeColor="text1"/>
          <w:highlight w:val="none"/>
          <w14:textFill>
            <w14:solidFill>
              <w14:schemeClr w14:val="tx1"/>
            </w14:solidFill>
          </w14:textFill>
        </w:rPr>
        <w:t>单位盖</w:t>
      </w:r>
      <w:r>
        <w:rPr>
          <w:rFonts w:hint="eastAsia"/>
          <w:color w:val="000000" w:themeColor="text1"/>
          <w:spacing w:val="4"/>
          <w:highlight w:val="none"/>
          <w14:textFill>
            <w14:solidFill>
              <w14:schemeClr w14:val="tx1"/>
            </w14:solidFill>
          </w14:textFill>
        </w:rPr>
        <w:t>公章）：</w:t>
      </w:r>
      <w:r>
        <w:rPr>
          <w:rFonts w:hint="eastAsia"/>
          <w:color w:val="000000" w:themeColor="text1"/>
          <w:spacing w:val="4"/>
          <w:highlight w:val="none"/>
          <w:u w:val="single"/>
          <w14:textFill>
            <w14:solidFill>
              <w14:schemeClr w14:val="tx1"/>
            </w14:solidFill>
          </w14:textFill>
        </w:rPr>
        <w:t xml:space="preserve">                              </w:t>
      </w:r>
    </w:p>
    <w:p>
      <w:pPr>
        <w:tabs>
          <w:tab w:val="clear" w:pos="426"/>
        </w:tabs>
        <w:spacing w:line="520" w:lineRule="exact"/>
        <w:ind w:left="424" w:leftChars="202"/>
        <w:rPr>
          <w:color w:val="000000" w:themeColor="text1"/>
          <w:spacing w:val="4"/>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法定代表人或投标人授权代表（签名或盖章）：</w:t>
      </w:r>
      <w:r>
        <w:rPr>
          <w:color w:val="000000" w:themeColor="text1"/>
          <w:spacing w:val="4"/>
          <w:highlight w:val="none"/>
          <w:u w:val="single"/>
          <w14:textFill>
            <w14:solidFill>
              <w14:schemeClr w14:val="tx1"/>
            </w14:solidFill>
          </w14:textFill>
        </w:rPr>
        <w:t xml:space="preserve">        </w:t>
      </w:r>
      <w:r>
        <w:rPr>
          <w:rFonts w:hint="eastAsia"/>
          <w:color w:val="000000" w:themeColor="text1"/>
          <w:spacing w:val="4"/>
          <w:highlight w:val="none"/>
          <w:u w:val="single"/>
          <w14:textFill>
            <w14:solidFill>
              <w14:schemeClr w14:val="tx1"/>
            </w14:solidFill>
          </w14:textFill>
        </w:rPr>
        <w:t xml:space="preserve"> </w:t>
      </w:r>
      <w:r>
        <w:rPr>
          <w:color w:val="000000" w:themeColor="text1"/>
          <w:spacing w:val="4"/>
          <w:highlight w:val="none"/>
          <w:u w:val="single"/>
          <w14:textFill>
            <w14:solidFill>
              <w14:schemeClr w14:val="tx1"/>
            </w14:solidFill>
          </w14:textFill>
        </w:rPr>
        <w:t xml:space="preserve"> </w:t>
      </w:r>
      <w:r>
        <w:rPr>
          <w:rFonts w:hint="eastAsia"/>
          <w:color w:val="000000" w:themeColor="text1"/>
          <w:spacing w:val="4"/>
          <w:highlight w:val="none"/>
          <w:u w:val="single"/>
          <w14:textFill>
            <w14:solidFill>
              <w14:schemeClr w14:val="tx1"/>
            </w14:solidFill>
          </w14:textFill>
        </w:rPr>
        <w:t xml:space="preserve"> </w:t>
      </w:r>
      <w:r>
        <w:rPr>
          <w:color w:val="000000" w:themeColor="text1"/>
          <w:spacing w:val="4"/>
          <w:highlight w:val="none"/>
          <w:u w:val="single"/>
          <w14:textFill>
            <w14:solidFill>
              <w14:schemeClr w14:val="tx1"/>
            </w14:solidFill>
          </w14:textFill>
        </w:rPr>
        <w:t xml:space="preserve"> </w:t>
      </w:r>
      <w:r>
        <w:rPr>
          <w:rFonts w:hint="eastAsia"/>
          <w:color w:val="000000" w:themeColor="text1"/>
          <w:spacing w:val="4"/>
          <w:highlight w:val="none"/>
          <w:u w:val="single"/>
          <w14:textFill>
            <w14:solidFill>
              <w14:schemeClr w14:val="tx1"/>
            </w14:solidFill>
          </w14:textFill>
        </w:rPr>
        <w:t xml:space="preserve"> </w:t>
      </w:r>
      <w:r>
        <w:rPr>
          <w:color w:val="000000" w:themeColor="text1"/>
          <w:spacing w:val="4"/>
          <w:highlight w:val="none"/>
          <w:u w:val="single"/>
          <w14:textFill>
            <w14:solidFill>
              <w14:schemeClr w14:val="tx1"/>
            </w14:solidFill>
          </w14:textFill>
        </w:rPr>
        <w:t xml:space="preserve">   </w:t>
      </w:r>
    </w:p>
    <w:p>
      <w:pPr>
        <w:tabs>
          <w:tab w:val="clear" w:pos="426"/>
        </w:tabs>
        <w:spacing w:line="520" w:lineRule="exact"/>
        <w:ind w:left="424" w:leftChars="202"/>
        <w:rPr>
          <w:color w:val="000000" w:themeColor="text1"/>
          <w:spacing w:val="4"/>
          <w:highlight w:val="none"/>
          <w14:textFill>
            <w14:solidFill>
              <w14:schemeClr w14:val="tx1"/>
            </w14:solidFill>
          </w14:textFill>
        </w:rPr>
      </w:pPr>
      <w:r>
        <w:rPr>
          <w:rFonts w:hint="eastAsia"/>
          <w:color w:val="000000" w:themeColor="text1"/>
          <w:spacing w:val="4"/>
          <w:highlight w:val="none"/>
          <w14:textFill>
            <w14:solidFill>
              <w14:schemeClr w14:val="tx1"/>
            </w14:solidFill>
          </w14:textFill>
        </w:rPr>
        <w:t>职务：</w:t>
      </w:r>
      <w:r>
        <w:rPr>
          <w:color w:val="000000" w:themeColor="text1"/>
          <w:spacing w:val="4"/>
          <w:highlight w:val="none"/>
          <w:u w:val="single"/>
          <w14:textFill>
            <w14:solidFill>
              <w14:schemeClr w14:val="tx1"/>
            </w14:solidFill>
          </w14:textFill>
        </w:rPr>
        <w:t xml:space="preserve">    </w:t>
      </w:r>
      <w:r>
        <w:rPr>
          <w:rFonts w:hint="eastAsia"/>
          <w:color w:val="000000" w:themeColor="text1"/>
          <w:spacing w:val="4"/>
          <w:highlight w:val="none"/>
          <w:u w:val="single"/>
          <w14:textFill>
            <w14:solidFill>
              <w14:schemeClr w14:val="tx1"/>
            </w14:solidFill>
          </w14:textFill>
        </w:rPr>
        <w:t xml:space="preserve">                                         </w:t>
      </w:r>
      <w:r>
        <w:rPr>
          <w:color w:val="000000" w:themeColor="text1"/>
          <w:spacing w:val="4"/>
          <w:highlight w:val="none"/>
          <w:u w:val="single"/>
          <w14:textFill>
            <w14:solidFill>
              <w14:schemeClr w14:val="tx1"/>
            </w14:solidFill>
          </w14:textFill>
        </w:rPr>
        <w:t xml:space="preserve">    </w:t>
      </w:r>
    </w:p>
    <w:p>
      <w:pPr>
        <w:tabs>
          <w:tab w:val="clear" w:pos="426"/>
        </w:tabs>
        <w:spacing w:line="520" w:lineRule="exact"/>
        <w:ind w:left="424" w:leftChars="202"/>
        <w:rPr>
          <w:rFonts w:ascii="黑体" w:eastAsia="黑体"/>
          <w:b/>
          <w:bCs/>
          <w:color w:val="000000" w:themeColor="text1"/>
          <w:sz w:val="28"/>
          <w:highlight w:val="none"/>
          <w14:textFill>
            <w14:solidFill>
              <w14:schemeClr w14:val="tx1"/>
            </w14:solidFill>
          </w14:textFill>
        </w:rPr>
      </w:pPr>
      <w:r>
        <w:rPr>
          <w:rFonts w:hint="eastAsia"/>
          <w:color w:val="000000" w:themeColor="text1"/>
          <w:spacing w:val="4"/>
          <w:highlight w:val="none"/>
          <w14:textFill>
            <w14:solidFill>
              <w14:schemeClr w14:val="tx1"/>
            </w14:solidFill>
          </w14:textFill>
        </w:rPr>
        <w:t>日期</w:t>
      </w:r>
      <w:r>
        <w:rPr>
          <w:color w:val="000000" w:themeColor="text1"/>
          <w:spacing w:val="4"/>
          <w:highlight w:val="none"/>
          <w:u w:val="single"/>
          <w14:textFill>
            <w14:solidFill>
              <w14:schemeClr w14:val="tx1"/>
            </w14:solidFill>
          </w14:textFill>
        </w:rPr>
        <w:t xml:space="preserve">     </w:t>
      </w:r>
      <w:r>
        <w:rPr>
          <w:rFonts w:hint="eastAsia"/>
          <w:color w:val="000000" w:themeColor="text1"/>
          <w:spacing w:val="4"/>
          <w:highlight w:val="none"/>
          <w:u w:val="single"/>
          <w14:textFill>
            <w14:solidFill>
              <w14:schemeClr w14:val="tx1"/>
            </w14:solidFill>
          </w14:textFill>
        </w:rPr>
        <w:t xml:space="preserve">                                          </w:t>
      </w:r>
      <w:r>
        <w:rPr>
          <w:color w:val="000000" w:themeColor="text1"/>
          <w:spacing w:val="4"/>
          <w:highlight w:val="none"/>
          <w:u w:val="single"/>
          <w14:textFill>
            <w14:solidFill>
              <w14:schemeClr w14:val="tx1"/>
            </w14:solidFill>
          </w14:textFill>
        </w:rPr>
        <w:t xml:space="preserve">    </w:t>
      </w:r>
    </w:p>
    <w:p>
      <w:pPr>
        <w:tabs>
          <w:tab w:val="clear" w:pos="426"/>
        </w:tabs>
        <w:spacing w:line="520" w:lineRule="exact"/>
        <w:ind w:left="424" w:leftChars="202"/>
        <w:rPr>
          <w:rFonts w:ascii="黑体" w:eastAsia="黑体"/>
          <w:b/>
          <w:bCs/>
          <w:color w:val="000000" w:themeColor="text1"/>
          <w:sz w:val="28"/>
          <w:highlight w:val="none"/>
          <w14:textFill>
            <w14:solidFill>
              <w14:schemeClr w14:val="tx1"/>
            </w14:solidFill>
          </w14:textFill>
        </w:rPr>
      </w:pPr>
    </w:p>
    <w:p>
      <w:pPr>
        <w:tabs>
          <w:tab w:val="clear" w:pos="426"/>
        </w:tabs>
        <w:spacing w:line="520" w:lineRule="exact"/>
        <w:ind w:left="424" w:leftChars="202"/>
        <w:rPr>
          <w:rFonts w:ascii="黑体" w:eastAsia="黑体"/>
          <w:b/>
          <w:bCs/>
          <w:color w:val="000000" w:themeColor="text1"/>
          <w:sz w:val="28"/>
          <w:highlight w:val="none"/>
          <w14:textFill>
            <w14:solidFill>
              <w14:schemeClr w14:val="tx1"/>
            </w14:solidFill>
          </w14:textFill>
        </w:rPr>
      </w:pPr>
    </w:p>
    <w:p>
      <w:pPr>
        <w:numPr>
          <w:ilvl w:val="0"/>
          <w:numId w:val="25"/>
        </w:numPr>
        <w:adjustRightInd/>
        <w:snapToGrid/>
        <w:spacing w:before="280" w:after="290" w:line="377" w:lineRule="auto"/>
        <w:outlineLvl w:val="3"/>
        <w:rPr>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开标一览表(报价表)</w:t>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bookmarkStart w:id="72" w:name="_Toc480756075"/>
      <w:bookmarkStart w:id="73" w:name="_Toc480754208"/>
      <w:bookmarkStart w:id="74" w:name="_Toc480755929"/>
      <w:bookmarkStart w:id="75" w:name="_Toc480789479"/>
      <w:r>
        <w:rPr>
          <w:rFonts w:hint="eastAsia" w:cs="Times New Roman"/>
          <w:bCs/>
          <w:color w:val="000000" w:themeColor="text1"/>
          <w:kern w:val="2"/>
          <w:sz w:val="32"/>
          <w:szCs w:val="32"/>
          <w:highlight w:val="none"/>
          <w14:textFill>
            <w14:solidFill>
              <w14:schemeClr w14:val="tx1"/>
            </w14:solidFill>
          </w14:textFill>
        </w:rPr>
        <w:t>开标一览表(报价表)</w:t>
      </w:r>
      <w:bookmarkEnd w:id="72"/>
      <w:bookmarkEnd w:id="73"/>
      <w:bookmarkEnd w:id="74"/>
      <w:bookmarkEnd w:id="75"/>
    </w:p>
    <w:p>
      <w:pPr>
        <w:tabs>
          <w:tab w:val="clear" w:pos="426"/>
        </w:tabs>
        <w:jc w:val="left"/>
        <w:rPr>
          <w:color w:val="000000" w:themeColor="text1"/>
          <w:highlight w:val="none"/>
          <w14:textFill>
            <w14:solidFill>
              <w14:schemeClr w14:val="tx1"/>
            </w14:solidFill>
          </w14:textFill>
        </w:rPr>
      </w:pPr>
    </w:p>
    <w:p>
      <w:pPr>
        <w:tabs>
          <w:tab w:val="clear" w:pos="426"/>
        </w:tabs>
        <w:jc w:val="left"/>
        <w:rPr>
          <w:color w:val="000000" w:themeColor="text1"/>
          <w:sz w:val="24"/>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项目编号：</w:t>
      </w:r>
      <w:r>
        <w:rPr>
          <w:rFonts w:hint="eastAsia"/>
          <w:color w:val="000000" w:themeColor="text1"/>
          <w:highlight w:val="none"/>
          <w:u w:val="single"/>
          <w14:textFill>
            <w14:solidFill>
              <w14:schemeClr w14:val="tx1"/>
            </w14:solidFill>
          </w14:textFill>
        </w:rPr>
        <w:t xml:space="preserve">                         </w:t>
      </w:r>
    </w:p>
    <w:tbl>
      <w:tblPr>
        <w:tblStyle w:val="44"/>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757"/>
        <w:gridCol w:w="1177"/>
        <w:gridCol w:w="917"/>
        <w:gridCol w:w="1047"/>
        <w:gridCol w:w="1742"/>
        <w:gridCol w:w="117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34" w:type="dxa"/>
            <w:shd w:val="clear" w:color="auto" w:fill="auto"/>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序号</w:t>
            </w:r>
          </w:p>
        </w:tc>
        <w:tc>
          <w:tcPr>
            <w:tcW w:w="1757" w:type="dxa"/>
            <w:shd w:val="clear" w:color="auto" w:fill="auto"/>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项目名称</w:t>
            </w:r>
          </w:p>
        </w:tc>
        <w:tc>
          <w:tcPr>
            <w:tcW w:w="1177" w:type="dxa"/>
            <w:shd w:val="clear" w:color="auto" w:fill="auto"/>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设备名称</w:t>
            </w:r>
          </w:p>
        </w:tc>
        <w:tc>
          <w:tcPr>
            <w:tcW w:w="917" w:type="dxa"/>
            <w:shd w:val="clear" w:color="auto" w:fill="auto"/>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型号</w:t>
            </w:r>
          </w:p>
        </w:tc>
        <w:tc>
          <w:tcPr>
            <w:tcW w:w="1047" w:type="dxa"/>
            <w:shd w:val="clear" w:color="auto" w:fill="auto"/>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数量</w:t>
            </w:r>
          </w:p>
        </w:tc>
        <w:tc>
          <w:tcPr>
            <w:tcW w:w="1742" w:type="dxa"/>
            <w:shd w:val="clear" w:color="auto" w:fill="auto"/>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投标总价</w:t>
            </w:r>
          </w:p>
        </w:tc>
        <w:tc>
          <w:tcPr>
            <w:tcW w:w="1179" w:type="dxa"/>
            <w:shd w:val="clear" w:color="auto" w:fill="auto"/>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交货期</w:t>
            </w:r>
          </w:p>
        </w:tc>
        <w:tc>
          <w:tcPr>
            <w:tcW w:w="917" w:type="dxa"/>
            <w:shd w:val="clear" w:color="auto" w:fill="auto"/>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834" w:type="dxa"/>
            <w:shd w:val="clear" w:color="auto" w:fill="auto"/>
            <w:vAlign w:val="center"/>
          </w:tcPr>
          <w:p>
            <w:pPr>
              <w:tabs>
                <w:tab w:val="clear" w:pos="426"/>
              </w:tabs>
              <w:jc w:val="center"/>
              <w:rPr>
                <w:bCs/>
                <w:color w:val="000000" w:themeColor="text1"/>
                <w:szCs w:val="21"/>
                <w:highlight w:val="none"/>
                <w14:textFill>
                  <w14:solidFill>
                    <w14:schemeClr w14:val="tx1"/>
                  </w14:solidFill>
                </w14:textFill>
              </w:rPr>
            </w:pPr>
          </w:p>
        </w:tc>
        <w:tc>
          <w:tcPr>
            <w:tcW w:w="1757" w:type="dxa"/>
            <w:shd w:val="clear" w:color="auto" w:fill="auto"/>
            <w:vAlign w:val="center"/>
          </w:tcPr>
          <w:p>
            <w:pPr>
              <w:tabs>
                <w:tab w:val="clear" w:pos="426"/>
              </w:tabs>
              <w:jc w:val="center"/>
              <w:rPr>
                <w:color w:val="000000" w:themeColor="text1"/>
                <w:szCs w:val="21"/>
                <w:highlight w:val="none"/>
                <w14:textFill>
                  <w14:solidFill>
                    <w14:schemeClr w14:val="tx1"/>
                  </w14:solidFill>
                </w14:textFill>
              </w:rPr>
            </w:pPr>
          </w:p>
        </w:tc>
        <w:tc>
          <w:tcPr>
            <w:tcW w:w="1177" w:type="dxa"/>
            <w:shd w:val="clear" w:color="auto" w:fill="auto"/>
            <w:vAlign w:val="center"/>
          </w:tcPr>
          <w:p>
            <w:pPr>
              <w:tabs>
                <w:tab w:val="clear" w:pos="426"/>
              </w:tabs>
              <w:jc w:val="center"/>
              <w:rPr>
                <w:bCs/>
                <w:color w:val="000000" w:themeColor="text1"/>
                <w:szCs w:val="21"/>
                <w:highlight w:val="none"/>
                <w:u w:val="single"/>
                <w14:textFill>
                  <w14:solidFill>
                    <w14:schemeClr w14:val="tx1"/>
                  </w14:solidFill>
                </w14:textFill>
              </w:rPr>
            </w:pPr>
          </w:p>
        </w:tc>
        <w:tc>
          <w:tcPr>
            <w:tcW w:w="917" w:type="dxa"/>
            <w:shd w:val="clear" w:color="auto" w:fill="auto"/>
            <w:vAlign w:val="center"/>
          </w:tcPr>
          <w:p>
            <w:pPr>
              <w:tabs>
                <w:tab w:val="clear" w:pos="426"/>
              </w:tabs>
              <w:jc w:val="center"/>
              <w:rPr>
                <w:b/>
                <w:color w:val="000000" w:themeColor="text1"/>
                <w:szCs w:val="21"/>
                <w:highlight w:val="none"/>
                <w14:textFill>
                  <w14:solidFill>
                    <w14:schemeClr w14:val="tx1"/>
                  </w14:solidFill>
                </w14:textFill>
              </w:rPr>
            </w:pPr>
          </w:p>
        </w:tc>
        <w:tc>
          <w:tcPr>
            <w:tcW w:w="1047" w:type="dxa"/>
            <w:shd w:val="clear" w:color="auto" w:fill="auto"/>
            <w:vAlign w:val="center"/>
          </w:tcPr>
          <w:p>
            <w:pPr>
              <w:tabs>
                <w:tab w:val="clear" w:pos="426"/>
              </w:tabs>
              <w:jc w:val="center"/>
              <w:rPr>
                <w:b/>
                <w:color w:val="000000" w:themeColor="text1"/>
                <w:szCs w:val="21"/>
                <w:highlight w:val="none"/>
                <w14:textFill>
                  <w14:solidFill>
                    <w14:schemeClr w14:val="tx1"/>
                  </w14:solidFill>
                </w14:textFill>
              </w:rPr>
            </w:pPr>
          </w:p>
        </w:tc>
        <w:tc>
          <w:tcPr>
            <w:tcW w:w="1742" w:type="dxa"/>
            <w:shd w:val="clear" w:color="auto" w:fill="auto"/>
            <w:vAlign w:val="center"/>
          </w:tcPr>
          <w:p>
            <w:pPr>
              <w:tabs>
                <w:tab w:val="clear" w:pos="426"/>
              </w:tabs>
              <w:jc w:val="center"/>
              <w:rPr>
                <w:b/>
                <w:color w:val="000000" w:themeColor="text1"/>
                <w:szCs w:val="21"/>
                <w:highlight w:val="none"/>
                <w14:textFill>
                  <w14:solidFill>
                    <w14:schemeClr w14:val="tx1"/>
                  </w14:solidFill>
                </w14:textFill>
              </w:rPr>
            </w:pPr>
          </w:p>
        </w:tc>
        <w:tc>
          <w:tcPr>
            <w:tcW w:w="1179" w:type="dxa"/>
            <w:shd w:val="clear" w:color="auto" w:fill="auto"/>
            <w:vAlign w:val="center"/>
          </w:tcPr>
          <w:p>
            <w:pPr>
              <w:tabs>
                <w:tab w:val="clear" w:pos="426"/>
              </w:tabs>
              <w:jc w:val="center"/>
              <w:rPr>
                <w:b/>
                <w:color w:val="000000" w:themeColor="text1"/>
                <w:szCs w:val="21"/>
                <w:highlight w:val="none"/>
                <w14:textFill>
                  <w14:solidFill>
                    <w14:schemeClr w14:val="tx1"/>
                  </w14:solidFill>
                </w14:textFill>
              </w:rPr>
            </w:pPr>
          </w:p>
        </w:tc>
        <w:tc>
          <w:tcPr>
            <w:tcW w:w="917" w:type="dxa"/>
            <w:shd w:val="clear" w:color="auto" w:fill="auto"/>
            <w:vAlign w:val="center"/>
          </w:tcPr>
          <w:p>
            <w:pPr>
              <w:tabs>
                <w:tab w:val="clear" w:pos="426"/>
              </w:tabs>
              <w:jc w:val="center"/>
              <w:rPr>
                <w:b/>
                <w:color w:val="000000" w:themeColor="text1"/>
                <w:szCs w:val="21"/>
                <w:highlight w:val="none"/>
                <w14:textFill>
                  <w14:solidFill>
                    <w14:schemeClr w14:val="tx1"/>
                  </w14:solidFill>
                </w14:textFill>
              </w:rPr>
            </w:pPr>
          </w:p>
        </w:tc>
      </w:tr>
    </w:tbl>
    <w:p>
      <w:pPr>
        <w:tabs>
          <w:tab w:val="clear" w:pos="426"/>
        </w:tabs>
        <w:spacing w:line="500" w:lineRule="exact"/>
        <w:rPr>
          <w:color w:val="000000" w:themeColor="text1"/>
          <w:spacing w:val="4"/>
          <w:highlight w:val="none"/>
          <w14:textFill>
            <w14:solidFill>
              <w14:schemeClr w14:val="tx1"/>
            </w14:solidFill>
          </w14:textFill>
        </w:rPr>
      </w:pPr>
    </w:p>
    <w:p>
      <w:pPr>
        <w:tabs>
          <w:tab w:val="clear" w:pos="426"/>
        </w:tabs>
        <w:spacing w:line="500" w:lineRule="exact"/>
        <w:rPr>
          <w:color w:val="000000" w:themeColor="text1"/>
          <w:highlight w:val="none"/>
          <w:u w:val="single"/>
          <w14:textFill>
            <w14:solidFill>
              <w14:schemeClr w14:val="tx1"/>
            </w14:solidFill>
          </w14:textFill>
        </w:rPr>
      </w:pPr>
      <w:r>
        <w:rPr>
          <w:rFonts w:hint="eastAsia"/>
          <w:color w:val="000000" w:themeColor="text1"/>
          <w:spacing w:val="4"/>
          <w:highlight w:val="none"/>
          <w14:textFill>
            <w14:solidFill>
              <w14:schemeClr w14:val="tx1"/>
            </w14:solidFill>
          </w14:textFill>
        </w:rPr>
        <w:t>投标人名称（</w:t>
      </w:r>
      <w:r>
        <w:rPr>
          <w:rFonts w:hint="eastAsia"/>
          <w:color w:val="000000" w:themeColor="text1"/>
          <w:highlight w:val="none"/>
          <w14:textFill>
            <w14:solidFill>
              <w14:schemeClr w14:val="tx1"/>
            </w14:solidFill>
          </w14:textFill>
        </w:rPr>
        <w:t>单位盖</w:t>
      </w:r>
      <w:r>
        <w:rPr>
          <w:rFonts w:hint="eastAsia"/>
          <w:color w:val="000000" w:themeColor="text1"/>
          <w:spacing w:val="4"/>
          <w:highlight w:val="none"/>
          <w14:textFill>
            <w14:solidFill>
              <w14:schemeClr w14:val="tx1"/>
            </w14:solidFill>
          </w14:textFill>
        </w:rPr>
        <w:t>公章）：</w:t>
      </w:r>
      <w:r>
        <w:rPr>
          <w:rFonts w:hint="eastAsia"/>
          <w:color w:val="000000" w:themeColor="text1"/>
          <w:spacing w:val="4"/>
          <w:highlight w:val="none"/>
          <w:u w:val="single"/>
          <w14:textFill>
            <w14:solidFill>
              <w14:schemeClr w14:val="tx1"/>
            </w14:solidFill>
          </w14:textFill>
        </w:rPr>
        <w:t xml:space="preserve">                                                          </w:t>
      </w:r>
    </w:p>
    <w:p>
      <w:pPr>
        <w:tabs>
          <w:tab w:val="clear" w:pos="426"/>
        </w:tabs>
        <w:spacing w:line="520" w:lineRule="exact"/>
        <w:rPr>
          <w:color w:val="000000" w:themeColor="text1"/>
          <w:highlight w:val="none"/>
          <w14:textFill>
            <w14:solidFill>
              <w14:schemeClr w14:val="tx1"/>
            </w14:solidFill>
          </w14:textFill>
        </w:rPr>
      </w:pPr>
    </w:p>
    <w:p>
      <w:pPr>
        <w:tabs>
          <w:tab w:val="clear" w:pos="426"/>
        </w:tabs>
        <w:spacing w:line="520" w:lineRule="exact"/>
        <w:rPr>
          <w:color w:val="000000" w:themeColor="text1"/>
          <w:spacing w:val="4"/>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法定代表人或投标人授权代表（签名或盖章）：</w:t>
      </w:r>
      <w:r>
        <w:rPr>
          <w:color w:val="000000" w:themeColor="text1"/>
          <w:spacing w:val="4"/>
          <w:highlight w:val="none"/>
          <w:u w:val="single"/>
          <w14:textFill>
            <w14:solidFill>
              <w14:schemeClr w14:val="tx1"/>
            </w14:solidFill>
          </w14:textFill>
        </w:rPr>
        <w:t xml:space="preserve">             </w:t>
      </w:r>
      <w:r>
        <w:rPr>
          <w:color w:val="000000" w:themeColor="text1"/>
          <w:spacing w:val="4"/>
          <w:highlight w:val="none"/>
          <w14:textFill>
            <w14:solidFill>
              <w14:schemeClr w14:val="tx1"/>
            </w14:solidFill>
          </w14:textFill>
        </w:rPr>
        <w:t xml:space="preserve"> </w:t>
      </w:r>
      <w:r>
        <w:rPr>
          <w:rFonts w:hint="eastAsia"/>
          <w:color w:val="000000" w:themeColor="text1"/>
          <w:spacing w:val="4"/>
          <w:highlight w:val="none"/>
          <w14:textFill>
            <w14:solidFill>
              <w14:schemeClr w14:val="tx1"/>
            </w14:solidFill>
          </w14:textFill>
        </w:rPr>
        <w:t>职务：</w:t>
      </w:r>
      <w:r>
        <w:rPr>
          <w:color w:val="000000" w:themeColor="text1"/>
          <w:spacing w:val="4"/>
          <w:highlight w:val="none"/>
          <w:u w:val="single"/>
          <w14:textFill>
            <w14:solidFill>
              <w14:schemeClr w14:val="tx1"/>
            </w14:solidFill>
          </w14:textFill>
        </w:rPr>
        <w:t xml:space="preserve">        </w:t>
      </w:r>
      <w:r>
        <w:rPr>
          <w:color w:val="000000" w:themeColor="text1"/>
          <w:spacing w:val="4"/>
          <w:highlight w:val="none"/>
          <w14:textFill>
            <w14:solidFill>
              <w14:schemeClr w14:val="tx1"/>
            </w14:solidFill>
          </w14:textFill>
        </w:rPr>
        <w:t xml:space="preserve"> </w:t>
      </w:r>
      <w:r>
        <w:rPr>
          <w:rFonts w:hint="eastAsia"/>
          <w:color w:val="000000" w:themeColor="text1"/>
          <w:spacing w:val="4"/>
          <w:highlight w:val="none"/>
          <w14:textFill>
            <w14:solidFill>
              <w14:schemeClr w14:val="tx1"/>
            </w14:solidFill>
          </w14:textFill>
        </w:rPr>
        <w:t>日期</w:t>
      </w:r>
      <w:r>
        <w:rPr>
          <w:color w:val="000000" w:themeColor="text1"/>
          <w:spacing w:val="4"/>
          <w:highlight w:val="none"/>
          <w:u w:val="single"/>
          <w14:textFill>
            <w14:solidFill>
              <w14:schemeClr w14:val="tx1"/>
            </w14:solidFill>
          </w14:textFill>
        </w:rPr>
        <w:t xml:space="preserve">         </w:t>
      </w:r>
    </w:p>
    <w:p>
      <w:pPr>
        <w:tabs>
          <w:tab w:val="clear" w:pos="426"/>
        </w:tabs>
        <w:spacing w:line="400" w:lineRule="exac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备注：</w:t>
      </w:r>
    </w:p>
    <w:p>
      <w:pPr>
        <w:widowControl w:val="0"/>
        <w:numPr>
          <w:ilvl w:val="1"/>
          <w:numId w:val="27"/>
        </w:numPr>
        <w:shd w:val="clear" w:color="auto" w:fill="auto"/>
        <w:tabs>
          <w:tab w:val="clear" w:pos="426"/>
        </w:tabs>
        <w:adjustRightInd/>
        <w:ind w:left="0" w:firstLine="424" w:firstLineChars="201"/>
        <w:rPr>
          <w:b/>
          <w:bCs/>
          <w:color w:val="000000" w:themeColor="text1"/>
          <w:szCs w:val="21"/>
          <w:highlight w:val="none"/>
          <w14:textFill>
            <w14:solidFill>
              <w14:schemeClr w14:val="tx1"/>
            </w14:solidFill>
          </w14:textFill>
        </w:rPr>
      </w:pPr>
      <w:r>
        <w:rPr>
          <w:b/>
          <w:color w:val="000000" w:themeColor="text1"/>
          <w:highlight w:val="none"/>
          <w14:textFill>
            <w14:solidFill>
              <w14:schemeClr w14:val="tx1"/>
            </w14:solidFill>
          </w14:textFill>
        </w:rPr>
        <w:t>此表</w:t>
      </w:r>
      <w:r>
        <w:rPr>
          <w:rFonts w:hint="eastAsia"/>
          <w:b/>
          <w:color w:val="000000" w:themeColor="text1"/>
          <w:highlight w:val="none"/>
          <w14:textFill>
            <w14:solidFill>
              <w14:schemeClr w14:val="tx1"/>
            </w14:solidFill>
          </w14:textFill>
        </w:rPr>
        <w:t>为投标文件的组成部分，</w:t>
      </w:r>
      <w:r>
        <w:rPr>
          <w:b/>
          <w:color w:val="000000" w:themeColor="text1"/>
          <w:highlight w:val="none"/>
          <w14:textFill>
            <w14:solidFill>
              <w14:schemeClr w14:val="tx1"/>
            </w14:solidFill>
          </w14:textFill>
        </w:rPr>
        <w:t>须附在正、副本的投标文件中，并另封装一份于开标信封中</w:t>
      </w:r>
      <w:r>
        <w:rPr>
          <w:rFonts w:hint="eastAsia"/>
          <w:b/>
          <w:color w:val="000000" w:themeColor="text1"/>
          <w:highlight w:val="none"/>
          <w14:textFill>
            <w14:solidFill>
              <w14:schemeClr w14:val="tx1"/>
            </w14:solidFill>
          </w14:textFill>
        </w:rPr>
        <w:t>（信封中须同时提供法定代表人证明书、法定代表人授权委托书、被授权人身份证复印件）。</w:t>
      </w:r>
    </w:p>
    <w:p>
      <w:pPr>
        <w:widowControl w:val="0"/>
        <w:numPr>
          <w:ilvl w:val="1"/>
          <w:numId w:val="27"/>
        </w:numPr>
        <w:shd w:val="clear" w:color="auto" w:fill="auto"/>
        <w:tabs>
          <w:tab w:val="clear" w:pos="426"/>
        </w:tabs>
        <w:adjustRightInd/>
        <w:ind w:left="0" w:firstLine="424" w:firstLineChars="201"/>
        <w:rPr>
          <w:b/>
          <w:bCs/>
          <w:color w:val="000000" w:themeColor="text1"/>
          <w:szCs w:val="21"/>
          <w:highlight w:val="none"/>
          <w14:textFill>
            <w14:solidFill>
              <w14:schemeClr w14:val="tx1"/>
            </w14:solidFill>
          </w14:textFill>
        </w:rPr>
      </w:pPr>
      <w:r>
        <w:rPr>
          <w:rFonts w:hint="eastAsia"/>
          <w:b/>
          <w:color w:val="000000" w:themeColor="text1"/>
          <w:highlight w:val="none"/>
          <w14:textFill>
            <w14:solidFill>
              <w14:schemeClr w14:val="tx1"/>
            </w14:solidFill>
          </w14:textFill>
        </w:rPr>
        <w:t>此表内投标报价为最终价，开标信封及投标文件内不得含有任何对本报价进行修改的其他说明或资料，否则为无效投标</w:t>
      </w:r>
      <w:r>
        <w:rPr>
          <w:rFonts w:hint="eastAsia"/>
          <w:b/>
          <w:bCs/>
          <w:color w:val="000000" w:themeColor="text1"/>
          <w:szCs w:val="21"/>
          <w:highlight w:val="none"/>
          <w14:textFill>
            <w14:solidFill>
              <w14:schemeClr w14:val="tx1"/>
            </w14:solidFill>
          </w14:textFill>
        </w:rPr>
        <w:t>。</w:t>
      </w:r>
    </w:p>
    <w:p>
      <w:pPr>
        <w:widowControl w:val="0"/>
        <w:shd w:val="clear" w:color="auto" w:fill="auto"/>
        <w:tabs>
          <w:tab w:val="clear" w:pos="426"/>
        </w:tabs>
        <w:adjustRightInd/>
        <w:rPr>
          <w:b/>
          <w:bCs/>
          <w:color w:val="000000" w:themeColor="text1"/>
          <w:szCs w:val="21"/>
          <w:highlight w:val="none"/>
          <w14:textFill>
            <w14:solidFill>
              <w14:schemeClr w14:val="tx1"/>
            </w14:solidFill>
          </w14:textFill>
        </w:rPr>
      </w:pPr>
    </w:p>
    <w:p>
      <w:pPr>
        <w:widowControl w:val="0"/>
        <w:shd w:val="clear" w:color="auto" w:fill="auto"/>
        <w:tabs>
          <w:tab w:val="clear" w:pos="426"/>
        </w:tabs>
        <w:adjustRightInd/>
        <w:rPr>
          <w:b/>
          <w:bCs/>
          <w:color w:val="000000" w:themeColor="text1"/>
          <w:szCs w:val="21"/>
          <w:highlight w:val="none"/>
          <w14:textFill>
            <w14:solidFill>
              <w14:schemeClr w14:val="tx1"/>
            </w14:solidFill>
          </w14:textFill>
        </w:rPr>
      </w:pPr>
    </w:p>
    <w:p>
      <w:pPr>
        <w:widowControl w:val="0"/>
        <w:shd w:val="clear" w:color="auto" w:fill="auto"/>
        <w:tabs>
          <w:tab w:val="clear" w:pos="426"/>
        </w:tabs>
        <w:adjustRightInd/>
        <w:rPr>
          <w:b/>
          <w:bCs/>
          <w:color w:val="000000" w:themeColor="text1"/>
          <w:szCs w:val="21"/>
          <w:highlight w:val="none"/>
          <w14:textFill>
            <w14:solidFill>
              <w14:schemeClr w14:val="tx1"/>
            </w14:solidFill>
          </w14:textFill>
        </w:rPr>
      </w:pPr>
    </w:p>
    <w:p>
      <w:pPr>
        <w:widowControl w:val="0"/>
        <w:shd w:val="clear" w:color="auto" w:fill="auto"/>
        <w:tabs>
          <w:tab w:val="clear" w:pos="426"/>
        </w:tabs>
        <w:adjustRightInd/>
        <w:rPr>
          <w:b/>
          <w:bCs/>
          <w:color w:val="000000" w:themeColor="text1"/>
          <w:szCs w:val="21"/>
          <w:highlight w:val="none"/>
          <w14:textFill>
            <w14:solidFill>
              <w14:schemeClr w14:val="tx1"/>
            </w14:solidFill>
          </w14:textFill>
        </w:rPr>
      </w:pPr>
    </w:p>
    <w:p>
      <w:pPr>
        <w:numPr>
          <w:ilvl w:val="0"/>
          <w:numId w:val="25"/>
        </w:numPr>
        <w:adjustRightInd/>
        <w:snapToGrid/>
        <w:spacing w:before="280" w:after="290" w:line="377" w:lineRule="auto"/>
        <w:outlineLvl w:val="3"/>
        <w:rPr>
          <w:b/>
          <w:color w:val="000000" w:themeColor="text1"/>
          <w:sz w:val="24"/>
          <w:highlight w:val="none"/>
          <w14:textFill>
            <w14:solidFill>
              <w14:schemeClr w14:val="tx1"/>
            </w14:solidFill>
          </w14:textFill>
        </w:rPr>
      </w:pPr>
      <w:r>
        <w:rPr>
          <w:b/>
          <w:color w:val="000000" w:themeColor="text1"/>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货物清单</w:t>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bookmarkStart w:id="76" w:name="_Toc480789483"/>
      <w:bookmarkStart w:id="77" w:name="_Toc480754212"/>
      <w:bookmarkStart w:id="78" w:name="_Toc480756079"/>
      <w:bookmarkStart w:id="79" w:name="_Toc480755933"/>
      <w:r>
        <w:rPr>
          <w:rFonts w:hint="eastAsia" w:cs="Times New Roman"/>
          <w:bCs/>
          <w:color w:val="000000" w:themeColor="text1"/>
          <w:kern w:val="2"/>
          <w:sz w:val="32"/>
          <w:szCs w:val="32"/>
          <w:highlight w:val="none"/>
          <w14:textFill>
            <w14:solidFill>
              <w14:schemeClr w14:val="tx1"/>
            </w14:solidFill>
          </w14:textFill>
        </w:rPr>
        <w:t>货物清单一览表</w:t>
      </w:r>
      <w:bookmarkEnd w:id="76"/>
      <w:bookmarkEnd w:id="77"/>
      <w:bookmarkEnd w:id="78"/>
      <w:bookmarkEnd w:id="79"/>
    </w:p>
    <w:p>
      <w:pPr>
        <w:tabs>
          <w:tab w:val="clear" w:pos="426"/>
        </w:tabs>
        <w:rPr>
          <w:rFonts w:cs="Arial"/>
          <w:bCs/>
          <w:color w:val="000000" w:themeColor="text1"/>
          <w:szCs w:val="21"/>
          <w:highlight w:val="none"/>
          <w14:textFill>
            <w14:solidFill>
              <w14:schemeClr w14:val="tx1"/>
            </w14:solidFill>
          </w14:textFill>
        </w:rPr>
      </w:pPr>
    </w:p>
    <w:p>
      <w:pPr>
        <w:tabs>
          <w:tab w:val="clear" w:pos="426"/>
        </w:tabs>
        <w:rPr>
          <w:rFonts w:cs="Arial"/>
          <w:bCs/>
          <w:color w:val="000000" w:themeColor="text1"/>
          <w:szCs w:val="21"/>
          <w:highlight w:val="none"/>
          <w14:textFill>
            <w14:solidFill>
              <w14:schemeClr w14:val="tx1"/>
            </w14:solidFill>
          </w14:textFill>
        </w:rPr>
      </w:pPr>
      <w:r>
        <w:rPr>
          <w:rFonts w:hint="eastAsia" w:cs="Arial"/>
          <w:bCs/>
          <w:color w:val="000000" w:themeColor="text1"/>
          <w:szCs w:val="21"/>
          <w:highlight w:val="none"/>
          <w14:textFill>
            <w14:solidFill>
              <w14:schemeClr w14:val="tx1"/>
            </w14:solidFill>
          </w14:textFill>
        </w:rPr>
        <w:t>项目名称：</w:t>
      </w:r>
      <w:r>
        <w:rPr>
          <w:rFonts w:hint="eastAsia" w:cs="Arial"/>
          <w:bCs/>
          <w:color w:val="000000" w:themeColor="text1"/>
          <w:szCs w:val="21"/>
          <w:highlight w:val="none"/>
          <w:u w:val="single"/>
          <w14:textFill>
            <w14:solidFill>
              <w14:schemeClr w14:val="tx1"/>
            </w14:solidFill>
          </w14:textFill>
        </w:rPr>
        <w:t xml:space="preserve">                                 </w:t>
      </w:r>
      <w:r>
        <w:rPr>
          <w:rFonts w:hint="eastAsia" w:cs="Arial"/>
          <w:bCs/>
          <w:color w:val="000000" w:themeColor="text1"/>
          <w:szCs w:val="21"/>
          <w:highlight w:val="none"/>
          <w14:textFill>
            <w14:solidFill>
              <w14:schemeClr w14:val="tx1"/>
            </w14:solidFill>
          </w14:textFill>
        </w:rPr>
        <w:t>项目编号：</w:t>
      </w:r>
      <w:r>
        <w:rPr>
          <w:rFonts w:hint="eastAsia" w:cs="Arial"/>
          <w:bCs/>
          <w:color w:val="000000" w:themeColor="text1"/>
          <w:szCs w:val="21"/>
          <w:highlight w:val="none"/>
          <w:u w:val="single"/>
          <w14:textFill>
            <w14:solidFill>
              <w14:schemeClr w14:val="tx1"/>
            </w14:solidFill>
          </w14:textFill>
        </w:rPr>
        <w:t xml:space="preserve">              </w:t>
      </w:r>
      <w:r>
        <w:rPr>
          <w:rFonts w:hint="eastAsia" w:cs="Arial"/>
          <w:bCs/>
          <w:color w:val="000000" w:themeColor="text1"/>
          <w:szCs w:val="21"/>
          <w:highlight w:val="none"/>
          <w14:textFill>
            <w14:solidFill>
              <w14:schemeClr w14:val="tx1"/>
            </w14:solidFill>
          </w14:textFill>
        </w:rPr>
        <w:t>包号：</w:t>
      </w:r>
      <w:r>
        <w:rPr>
          <w:rFonts w:hint="eastAsia" w:cs="Arial"/>
          <w:bCs/>
          <w:color w:val="000000" w:themeColor="text1"/>
          <w:szCs w:val="21"/>
          <w:highlight w:val="none"/>
          <w:u w:val="single"/>
          <w14:textFill>
            <w14:solidFill>
              <w14:schemeClr w14:val="tx1"/>
            </w14:solidFill>
          </w14:textFill>
        </w:rPr>
        <w:t xml:space="preserve">             </w:t>
      </w:r>
      <w:r>
        <w:rPr>
          <w:rFonts w:hint="eastAsia" w:cs="Arial"/>
          <w:bCs/>
          <w:color w:val="000000" w:themeColor="text1"/>
          <w:szCs w:val="21"/>
          <w:highlight w:val="none"/>
          <w14:textFill>
            <w14:solidFill>
              <w14:schemeClr w14:val="tx1"/>
            </w14:solidFill>
          </w14:textFill>
        </w:rPr>
        <w:t xml:space="preserve"> </w:t>
      </w:r>
    </w:p>
    <w:tbl>
      <w:tblPr>
        <w:tblStyle w:val="44"/>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93"/>
        <w:gridCol w:w="1647"/>
        <w:gridCol w:w="824"/>
        <w:gridCol w:w="824"/>
        <w:gridCol w:w="824"/>
        <w:gridCol w:w="825"/>
        <w:gridCol w:w="984"/>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1993" w:type="dxa"/>
            <w:vAlign w:val="center"/>
          </w:tcPr>
          <w:p>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货物名称</w:t>
            </w:r>
          </w:p>
        </w:tc>
        <w:tc>
          <w:tcPr>
            <w:tcW w:w="1647" w:type="dxa"/>
            <w:vAlign w:val="center"/>
          </w:tcPr>
          <w:p>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规格及型号</w:t>
            </w:r>
          </w:p>
        </w:tc>
        <w:tc>
          <w:tcPr>
            <w:tcW w:w="824" w:type="dxa"/>
            <w:vAlign w:val="center"/>
          </w:tcPr>
          <w:p>
            <w:pPr>
              <w:spacing w:line="24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产地</w:t>
            </w:r>
          </w:p>
        </w:tc>
        <w:tc>
          <w:tcPr>
            <w:tcW w:w="824" w:type="dxa"/>
            <w:vAlign w:val="center"/>
          </w:tcPr>
          <w:p>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品牌</w:t>
            </w:r>
          </w:p>
        </w:tc>
        <w:tc>
          <w:tcPr>
            <w:tcW w:w="824" w:type="dxa"/>
            <w:vAlign w:val="center"/>
          </w:tcPr>
          <w:p>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数量</w:t>
            </w:r>
          </w:p>
        </w:tc>
        <w:tc>
          <w:tcPr>
            <w:tcW w:w="825" w:type="dxa"/>
            <w:vAlign w:val="center"/>
          </w:tcPr>
          <w:p>
            <w:pPr>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单位</w:t>
            </w:r>
          </w:p>
        </w:tc>
        <w:tc>
          <w:tcPr>
            <w:tcW w:w="984" w:type="dxa"/>
            <w:vAlign w:val="center"/>
          </w:tcPr>
          <w:p>
            <w:pPr>
              <w:tabs>
                <w:tab w:val="clear" w:pos="426"/>
              </w:tabs>
              <w:spacing w:line="240" w:lineRule="auto"/>
              <w:jc w:val="center"/>
              <w:rPr>
                <w:rFonts w:cs="Arial"/>
                <w:bCs/>
                <w:color w:val="000000" w:themeColor="text1"/>
                <w:szCs w:val="21"/>
                <w:highlight w:val="none"/>
                <w14:textFill>
                  <w14:solidFill>
                    <w14:schemeClr w14:val="tx1"/>
                  </w14:solidFill>
                </w14:textFill>
              </w:rPr>
            </w:pPr>
            <w:r>
              <w:rPr>
                <w:rFonts w:hint="eastAsia" w:cs="Arial"/>
                <w:bCs/>
                <w:color w:val="000000" w:themeColor="text1"/>
                <w:szCs w:val="21"/>
                <w:highlight w:val="none"/>
                <w14:textFill>
                  <w14:solidFill>
                    <w14:schemeClr w14:val="tx1"/>
                  </w14:solidFill>
                </w14:textFill>
              </w:rPr>
              <w:t>交货期</w:t>
            </w:r>
          </w:p>
        </w:tc>
        <w:tc>
          <w:tcPr>
            <w:tcW w:w="953" w:type="dxa"/>
            <w:vAlign w:val="center"/>
          </w:tcPr>
          <w:p>
            <w:pPr>
              <w:tabs>
                <w:tab w:val="clear" w:pos="426"/>
              </w:tabs>
              <w:spacing w:line="240" w:lineRule="auto"/>
              <w:jc w:val="center"/>
              <w:rPr>
                <w:rFonts w:cs="Arial"/>
                <w:bCs/>
                <w:color w:val="000000" w:themeColor="text1"/>
                <w:szCs w:val="21"/>
                <w:highlight w:val="none"/>
                <w14:textFill>
                  <w14:solidFill>
                    <w14:schemeClr w14:val="tx1"/>
                  </w14:solidFill>
                </w14:textFill>
              </w:rPr>
            </w:pPr>
            <w:r>
              <w:rPr>
                <w:rFonts w:hint="eastAsia" w:cs="Arial"/>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p>
        </w:tc>
        <w:tc>
          <w:tcPr>
            <w:tcW w:w="1993" w:type="dxa"/>
            <w:vAlign w:val="center"/>
          </w:tcPr>
          <w:p>
            <w:pPr>
              <w:spacing w:line="240" w:lineRule="auto"/>
              <w:jc w:val="center"/>
              <w:rPr>
                <w:color w:val="000000" w:themeColor="text1"/>
                <w:sz w:val="24"/>
                <w:highlight w:val="none"/>
                <w14:textFill>
                  <w14:solidFill>
                    <w14:schemeClr w14:val="tx1"/>
                  </w14:solidFill>
                </w14:textFill>
              </w:rPr>
            </w:pPr>
          </w:p>
        </w:tc>
        <w:tc>
          <w:tcPr>
            <w:tcW w:w="1647"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5" w:type="dxa"/>
            <w:vAlign w:val="center"/>
          </w:tcPr>
          <w:p>
            <w:pPr>
              <w:spacing w:line="240" w:lineRule="auto"/>
              <w:jc w:val="center"/>
              <w:rPr>
                <w:color w:val="000000" w:themeColor="text1"/>
                <w:sz w:val="24"/>
                <w:highlight w:val="none"/>
                <w14:textFill>
                  <w14:solidFill>
                    <w14:schemeClr w14:val="tx1"/>
                  </w14:solidFill>
                </w14:textFill>
              </w:rPr>
            </w:pPr>
          </w:p>
        </w:tc>
        <w:tc>
          <w:tcPr>
            <w:tcW w:w="984" w:type="dxa"/>
            <w:vAlign w:val="center"/>
          </w:tcPr>
          <w:p>
            <w:pPr>
              <w:spacing w:line="240" w:lineRule="auto"/>
              <w:jc w:val="center"/>
              <w:rPr>
                <w:color w:val="000000" w:themeColor="text1"/>
                <w:sz w:val="24"/>
                <w:highlight w:val="none"/>
                <w14:textFill>
                  <w14:solidFill>
                    <w14:schemeClr w14:val="tx1"/>
                  </w14:solidFill>
                </w14:textFill>
              </w:rPr>
            </w:pPr>
          </w:p>
        </w:tc>
        <w:tc>
          <w:tcPr>
            <w:tcW w:w="953" w:type="dxa"/>
            <w:vAlign w:val="center"/>
          </w:tcPr>
          <w:p>
            <w:pPr>
              <w:spacing w:line="240" w:lineRule="auto"/>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p>
        </w:tc>
        <w:tc>
          <w:tcPr>
            <w:tcW w:w="1993" w:type="dxa"/>
            <w:vAlign w:val="center"/>
          </w:tcPr>
          <w:p>
            <w:pPr>
              <w:spacing w:line="240" w:lineRule="auto"/>
              <w:jc w:val="center"/>
              <w:rPr>
                <w:color w:val="000000" w:themeColor="text1"/>
                <w:sz w:val="24"/>
                <w:highlight w:val="none"/>
                <w14:textFill>
                  <w14:solidFill>
                    <w14:schemeClr w14:val="tx1"/>
                  </w14:solidFill>
                </w14:textFill>
              </w:rPr>
            </w:pPr>
          </w:p>
        </w:tc>
        <w:tc>
          <w:tcPr>
            <w:tcW w:w="1647"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5" w:type="dxa"/>
            <w:vAlign w:val="center"/>
          </w:tcPr>
          <w:p>
            <w:pPr>
              <w:spacing w:line="240" w:lineRule="auto"/>
              <w:jc w:val="center"/>
              <w:rPr>
                <w:color w:val="000000" w:themeColor="text1"/>
                <w:sz w:val="24"/>
                <w:highlight w:val="none"/>
                <w14:textFill>
                  <w14:solidFill>
                    <w14:schemeClr w14:val="tx1"/>
                  </w14:solidFill>
                </w14:textFill>
              </w:rPr>
            </w:pPr>
          </w:p>
        </w:tc>
        <w:tc>
          <w:tcPr>
            <w:tcW w:w="984" w:type="dxa"/>
            <w:vAlign w:val="center"/>
          </w:tcPr>
          <w:p>
            <w:pPr>
              <w:spacing w:line="240" w:lineRule="auto"/>
              <w:jc w:val="center"/>
              <w:rPr>
                <w:color w:val="000000" w:themeColor="text1"/>
                <w:sz w:val="24"/>
                <w:highlight w:val="none"/>
                <w14:textFill>
                  <w14:solidFill>
                    <w14:schemeClr w14:val="tx1"/>
                  </w14:solidFill>
                </w14:textFill>
              </w:rPr>
            </w:pPr>
          </w:p>
        </w:tc>
        <w:tc>
          <w:tcPr>
            <w:tcW w:w="953" w:type="dxa"/>
            <w:vAlign w:val="center"/>
          </w:tcPr>
          <w:p>
            <w:pPr>
              <w:spacing w:line="240" w:lineRule="auto"/>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p>
        </w:tc>
        <w:tc>
          <w:tcPr>
            <w:tcW w:w="1993" w:type="dxa"/>
            <w:vAlign w:val="center"/>
          </w:tcPr>
          <w:p>
            <w:pPr>
              <w:spacing w:line="240" w:lineRule="auto"/>
              <w:jc w:val="center"/>
              <w:rPr>
                <w:color w:val="000000" w:themeColor="text1"/>
                <w:sz w:val="24"/>
                <w:highlight w:val="none"/>
                <w14:textFill>
                  <w14:solidFill>
                    <w14:schemeClr w14:val="tx1"/>
                  </w14:solidFill>
                </w14:textFill>
              </w:rPr>
            </w:pPr>
          </w:p>
        </w:tc>
        <w:tc>
          <w:tcPr>
            <w:tcW w:w="1647"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5" w:type="dxa"/>
            <w:vAlign w:val="center"/>
          </w:tcPr>
          <w:p>
            <w:pPr>
              <w:spacing w:line="240" w:lineRule="auto"/>
              <w:jc w:val="center"/>
              <w:rPr>
                <w:color w:val="000000" w:themeColor="text1"/>
                <w:sz w:val="24"/>
                <w:highlight w:val="none"/>
                <w14:textFill>
                  <w14:solidFill>
                    <w14:schemeClr w14:val="tx1"/>
                  </w14:solidFill>
                </w14:textFill>
              </w:rPr>
            </w:pPr>
          </w:p>
        </w:tc>
        <w:tc>
          <w:tcPr>
            <w:tcW w:w="984" w:type="dxa"/>
            <w:vAlign w:val="center"/>
          </w:tcPr>
          <w:p>
            <w:pPr>
              <w:spacing w:line="240" w:lineRule="auto"/>
              <w:jc w:val="center"/>
              <w:rPr>
                <w:color w:val="000000" w:themeColor="text1"/>
                <w:sz w:val="24"/>
                <w:highlight w:val="none"/>
                <w14:textFill>
                  <w14:solidFill>
                    <w14:schemeClr w14:val="tx1"/>
                  </w14:solidFill>
                </w14:textFill>
              </w:rPr>
            </w:pPr>
          </w:p>
        </w:tc>
        <w:tc>
          <w:tcPr>
            <w:tcW w:w="953" w:type="dxa"/>
            <w:vAlign w:val="center"/>
          </w:tcPr>
          <w:p>
            <w:pPr>
              <w:spacing w:line="240" w:lineRule="auto"/>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1993" w:type="dxa"/>
            <w:vAlign w:val="center"/>
          </w:tcPr>
          <w:p>
            <w:pPr>
              <w:spacing w:line="240" w:lineRule="auto"/>
              <w:jc w:val="center"/>
              <w:rPr>
                <w:color w:val="000000" w:themeColor="text1"/>
                <w:sz w:val="24"/>
                <w:highlight w:val="none"/>
                <w14:textFill>
                  <w14:solidFill>
                    <w14:schemeClr w14:val="tx1"/>
                  </w14:solidFill>
                </w14:textFill>
              </w:rPr>
            </w:pPr>
          </w:p>
        </w:tc>
        <w:tc>
          <w:tcPr>
            <w:tcW w:w="1647"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5" w:type="dxa"/>
            <w:vAlign w:val="center"/>
          </w:tcPr>
          <w:p>
            <w:pPr>
              <w:spacing w:line="240" w:lineRule="auto"/>
              <w:jc w:val="center"/>
              <w:rPr>
                <w:color w:val="000000" w:themeColor="text1"/>
                <w:sz w:val="24"/>
                <w:highlight w:val="none"/>
                <w14:textFill>
                  <w14:solidFill>
                    <w14:schemeClr w14:val="tx1"/>
                  </w14:solidFill>
                </w14:textFill>
              </w:rPr>
            </w:pPr>
          </w:p>
        </w:tc>
        <w:tc>
          <w:tcPr>
            <w:tcW w:w="984" w:type="dxa"/>
            <w:vAlign w:val="center"/>
          </w:tcPr>
          <w:p>
            <w:pPr>
              <w:spacing w:line="240" w:lineRule="auto"/>
              <w:jc w:val="center"/>
              <w:rPr>
                <w:color w:val="000000" w:themeColor="text1"/>
                <w:sz w:val="24"/>
                <w:highlight w:val="none"/>
                <w14:textFill>
                  <w14:solidFill>
                    <w14:schemeClr w14:val="tx1"/>
                  </w14:solidFill>
                </w14:textFill>
              </w:rPr>
            </w:pPr>
          </w:p>
        </w:tc>
        <w:tc>
          <w:tcPr>
            <w:tcW w:w="953" w:type="dxa"/>
            <w:vAlign w:val="center"/>
          </w:tcPr>
          <w:p>
            <w:pPr>
              <w:spacing w:line="240" w:lineRule="auto"/>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1993" w:type="dxa"/>
            <w:vAlign w:val="center"/>
          </w:tcPr>
          <w:p>
            <w:pPr>
              <w:spacing w:line="240" w:lineRule="auto"/>
              <w:jc w:val="center"/>
              <w:rPr>
                <w:color w:val="000000" w:themeColor="text1"/>
                <w:sz w:val="24"/>
                <w:highlight w:val="none"/>
                <w14:textFill>
                  <w14:solidFill>
                    <w14:schemeClr w14:val="tx1"/>
                  </w14:solidFill>
                </w14:textFill>
              </w:rPr>
            </w:pPr>
          </w:p>
        </w:tc>
        <w:tc>
          <w:tcPr>
            <w:tcW w:w="1647"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5" w:type="dxa"/>
            <w:vAlign w:val="center"/>
          </w:tcPr>
          <w:p>
            <w:pPr>
              <w:spacing w:line="240" w:lineRule="auto"/>
              <w:jc w:val="center"/>
              <w:rPr>
                <w:color w:val="000000" w:themeColor="text1"/>
                <w:sz w:val="24"/>
                <w:highlight w:val="none"/>
                <w14:textFill>
                  <w14:solidFill>
                    <w14:schemeClr w14:val="tx1"/>
                  </w14:solidFill>
                </w14:textFill>
              </w:rPr>
            </w:pPr>
          </w:p>
        </w:tc>
        <w:tc>
          <w:tcPr>
            <w:tcW w:w="984" w:type="dxa"/>
            <w:vAlign w:val="center"/>
          </w:tcPr>
          <w:p>
            <w:pPr>
              <w:spacing w:line="240" w:lineRule="auto"/>
              <w:jc w:val="center"/>
              <w:rPr>
                <w:color w:val="000000" w:themeColor="text1"/>
                <w:sz w:val="24"/>
                <w:highlight w:val="none"/>
                <w14:textFill>
                  <w14:solidFill>
                    <w14:schemeClr w14:val="tx1"/>
                  </w14:solidFill>
                </w14:textFill>
              </w:rPr>
            </w:pPr>
          </w:p>
        </w:tc>
        <w:tc>
          <w:tcPr>
            <w:tcW w:w="953" w:type="dxa"/>
            <w:vAlign w:val="center"/>
          </w:tcPr>
          <w:p>
            <w:pPr>
              <w:spacing w:line="240" w:lineRule="auto"/>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6" w:type="dxa"/>
            <w:vAlign w:val="center"/>
          </w:tcPr>
          <w:p>
            <w:pPr>
              <w:spacing w:line="240" w:lineRule="auto"/>
              <w:jc w:val="center"/>
              <w:rPr>
                <w:color w:val="000000" w:themeColor="text1"/>
                <w:sz w:val="24"/>
                <w:highlight w:val="none"/>
                <w14:textFill>
                  <w14:solidFill>
                    <w14:schemeClr w14:val="tx1"/>
                  </w14:solidFill>
                </w14:textFill>
              </w:rPr>
            </w:pPr>
          </w:p>
        </w:tc>
        <w:tc>
          <w:tcPr>
            <w:tcW w:w="1993" w:type="dxa"/>
            <w:vAlign w:val="center"/>
          </w:tcPr>
          <w:p>
            <w:pPr>
              <w:spacing w:line="240" w:lineRule="auto"/>
              <w:jc w:val="center"/>
              <w:rPr>
                <w:color w:val="000000" w:themeColor="text1"/>
                <w:sz w:val="24"/>
                <w:highlight w:val="none"/>
                <w14:textFill>
                  <w14:solidFill>
                    <w14:schemeClr w14:val="tx1"/>
                  </w14:solidFill>
                </w14:textFill>
              </w:rPr>
            </w:pPr>
          </w:p>
        </w:tc>
        <w:tc>
          <w:tcPr>
            <w:tcW w:w="1647"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4" w:type="dxa"/>
            <w:vAlign w:val="center"/>
          </w:tcPr>
          <w:p>
            <w:pPr>
              <w:spacing w:line="240" w:lineRule="auto"/>
              <w:jc w:val="center"/>
              <w:rPr>
                <w:color w:val="000000" w:themeColor="text1"/>
                <w:sz w:val="24"/>
                <w:highlight w:val="none"/>
                <w14:textFill>
                  <w14:solidFill>
                    <w14:schemeClr w14:val="tx1"/>
                  </w14:solidFill>
                </w14:textFill>
              </w:rPr>
            </w:pPr>
          </w:p>
        </w:tc>
        <w:tc>
          <w:tcPr>
            <w:tcW w:w="825" w:type="dxa"/>
            <w:vAlign w:val="center"/>
          </w:tcPr>
          <w:p>
            <w:pPr>
              <w:spacing w:line="240" w:lineRule="auto"/>
              <w:jc w:val="center"/>
              <w:rPr>
                <w:color w:val="000000" w:themeColor="text1"/>
                <w:sz w:val="24"/>
                <w:highlight w:val="none"/>
                <w14:textFill>
                  <w14:solidFill>
                    <w14:schemeClr w14:val="tx1"/>
                  </w14:solidFill>
                </w14:textFill>
              </w:rPr>
            </w:pPr>
          </w:p>
        </w:tc>
        <w:tc>
          <w:tcPr>
            <w:tcW w:w="984" w:type="dxa"/>
            <w:vAlign w:val="center"/>
          </w:tcPr>
          <w:p>
            <w:pPr>
              <w:spacing w:line="240" w:lineRule="auto"/>
              <w:jc w:val="center"/>
              <w:rPr>
                <w:color w:val="000000" w:themeColor="text1"/>
                <w:sz w:val="24"/>
                <w:highlight w:val="none"/>
                <w14:textFill>
                  <w14:solidFill>
                    <w14:schemeClr w14:val="tx1"/>
                  </w14:solidFill>
                </w14:textFill>
              </w:rPr>
            </w:pPr>
          </w:p>
        </w:tc>
        <w:tc>
          <w:tcPr>
            <w:tcW w:w="953" w:type="dxa"/>
            <w:vAlign w:val="center"/>
          </w:tcPr>
          <w:p>
            <w:pPr>
              <w:spacing w:line="240" w:lineRule="auto"/>
              <w:jc w:val="center"/>
              <w:rPr>
                <w:color w:val="000000" w:themeColor="text1"/>
                <w:sz w:val="24"/>
                <w:highlight w:val="none"/>
                <w14:textFill>
                  <w14:solidFill>
                    <w14:schemeClr w14:val="tx1"/>
                  </w14:solidFill>
                </w14:textFill>
              </w:rPr>
            </w:pPr>
          </w:p>
        </w:tc>
      </w:tr>
    </w:tbl>
    <w:p>
      <w:pPr>
        <w:tabs>
          <w:tab w:val="clear" w:pos="426"/>
        </w:tabs>
        <w:rPr>
          <w:rFonts w:cs="Arial"/>
          <w:bCs/>
          <w:color w:val="000000" w:themeColor="text1"/>
          <w:szCs w:val="21"/>
          <w:highlight w:val="none"/>
          <w14:textFill>
            <w14:solidFill>
              <w14:schemeClr w14:val="tx1"/>
            </w14:solidFill>
          </w14:textFill>
        </w:rPr>
      </w:pPr>
      <w:r>
        <w:rPr>
          <w:rFonts w:hint="eastAsia" w:cs="Arial"/>
          <w:bCs/>
          <w:color w:val="000000" w:themeColor="text1"/>
          <w:szCs w:val="21"/>
          <w:highlight w:val="none"/>
          <w14:textFill>
            <w14:solidFill>
              <w14:schemeClr w14:val="tx1"/>
            </w14:solidFill>
          </w14:textFill>
        </w:rPr>
        <w:t>备注：“产地”是指该产品的实际生产加工地，而非品牌总公司所在地。</w:t>
      </w:r>
    </w:p>
    <w:p>
      <w:pPr>
        <w:pStyle w:val="20"/>
        <w:rPr>
          <w:color w:val="000000" w:themeColor="text1"/>
          <w:highlight w:val="none"/>
          <w14:textFill>
            <w14:solidFill>
              <w14:schemeClr w14:val="tx1"/>
            </w14:solidFill>
          </w14:textFill>
        </w:rPr>
      </w:pPr>
    </w:p>
    <w:p>
      <w:pPr>
        <w:numPr>
          <w:ilvl w:val="0"/>
          <w:numId w:val="25"/>
        </w:numPr>
        <w:adjustRightInd/>
        <w:snapToGrid/>
        <w:spacing w:before="280" w:after="290" w:line="377" w:lineRule="auto"/>
        <w:outlineLvl w:val="2"/>
        <w:rPr>
          <w:b/>
          <w:color w:val="000000" w:themeColor="text1"/>
          <w:sz w:val="24"/>
          <w:highlight w:val="none"/>
          <w14:textFill>
            <w14:solidFill>
              <w14:schemeClr w14:val="tx1"/>
            </w14:solidFill>
          </w14:textFill>
        </w:rPr>
        <w:sectPr>
          <w:pgSz w:w="11906" w:h="16838"/>
          <w:pgMar w:top="1134" w:right="1134" w:bottom="1134" w:left="1838" w:header="851" w:footer="992" w:gutter="0"/>
          <w:cols w:space="720" w:num="1"/>
          <w:titlePg/>
          <w:docGrid w:linePitch="462" w:charSpace="0"/>
        </w:sectPr>
      </w:pPr>
    </w:p>
    <w:p>
      <w:pPr>
        <w:numPr>
          <w:ilvl w:val="0"/>
          <w:numId w:val="25"/>
        </w:numPr>
        <w:adjustRightInd/>
        <w:snapToGrid/>
        <w:spacing w:before="280" w:after="290" w:line="377" w:lineRule="auto"/>
        <w:jc w:val="left"/>
        <w:outlineLvl w:val="3"/>
        <w:rPr>
          <w:color w:val="000000" w:themeColor="text1"/>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技术响应措施</w:t>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bookmarkStart w:id="80" w:name="_Toc480756080"/>
      <w:bookmarkStart w:id="81" w:name="_Toc480755934"/>
      <w:bookmarkStart w:id="82" w:name="_Toc480754213"/>
      <w:bookmarkStart w:id="83" w:name="_Toc480789484"/>
      <w:bookmarkStart w:id="84" w:name="_Toc43264518"/>
      <w:bookmarkStart w:id="85" w:name="_Toc50691037"/>
      <w:bookmarkStart w:id="86" w:name="_Toc50703730"/>
      <w:r>
        <w:rPr>
          <w:rFonts w:hint="eastAsia" w:cs="Times New Roman"/>
          <w:bCs/>
          <w:color w:val="000000" w:themeColor="text1"/>
          <w:kern w:val="2"/>
          <w:sz w:val="32"/>
          <w:szCs w:val="32"/>
          <w:highlight w:val="none"/>
          <w14:textFill>
            <w14:solidFill>
              <w14:schemeClr w14:val="tx1"/>
            </w14:solidFill>
          </w14:textFill>
        </w:rPr>
        <w:t>技术规格偏离表</w:t>
      </w:r>
      <w:bookmarkEnd w:id="80"/>
      <w:bookmarkEnd w:id="81"/>
      <w:bookmarkEnd w:id="82"/>
      <w:bookmarkEnd w:id="83"/>
    </w:p>
    <w:p>
      <w:pPr>
        <w:tabs>
          <w:tab w:val="clear" w:pos="426"/>
        </w:tabs>
        <w:rPr>
          <w:color w:val="000000" w:themeColor="text1"/>
          <w:highlight w:val="none"/>
          <w14:textFill>
            <w14:solidFill>
              <w14:schemeClr w14:val="tx1"/>
            </w14:solidFill>
          </w14:textFill>
        </w:rPr>
      </w:pPr>
      <w:r>
        <w:rPr>
          <w:rFonts w:hint="eastAsia" w:cs="Arial"/>
          <w:bCs/>
          <w:color w:val="000000" w:themeColor="text1"/>
          <w:szCs w:val="21"/>
          <w:highlight w:val="none"/>
          <w14:textFill>
            <w14:solidFill>
              <w14:schemeClr w14:val="tx1"/>
            </w14:solidFill>
          </w14:textFill>
        </w:rPr>
        <w:t>项目名称：</w:t>
      </w:r>
      <w:r>
        <w:rPr>
          <w:rFonts w:hint="eastAsia" w:cs="Arial"/>
          <w:bCs/>
          <w:color w:val="000000" w:themeColor="text1"/>
          <w:szCs w:val="21"/>
          <w:highlight w:val="none"/>
          <w:u w:val="single"/>
          <w14:textFill>
            <w14:solidFill>
              <w14:schemeClr w14:val="tx1"/>
            </w14:solidFill>
          </w14:textFill>
        </w:rPr>
        <w:t xml:space="preserve">                                </w:t>
      </w:r>
      <w:r>
        <w:rPr>
          <w:rFonts w:hint="eastAsia" w:cs="Arial"/>
          <w:bCs/>
          <w:color w:val="000000" w:themeColor="text1"/>
          <w:szCs w:val="21"/>
          <w:highlight w:val="none"/>
          <w14:textFill>
            <w14:solidFill>
              <w14:schemeClr w14:val="tx1"/>
            </w14:solidFill>
          </w14:textFill>
        </w:rPr>
        <w:t xml:space="preserve">  项目编号：</w:t>
      </w:r>
      <w:r>
        <w:rPr>
          <w:rFonts w:hint="eastAsia" w:cs="Arial"/>
          <w:bCs/>
          <w:color w:val="000000" w:themeColor="text1"/>
          <w:szCs w:val="21"/>
          <w:highlight w:val="none"/>
          <w:u w:val="single"/>
          <w14:textFill>
            <w14:solidFill>
              <w14:schemeClr w14:val="tx1"/>
            </w14:solidFill>
          </w14:textFill>
        </w:rPr>
        <w:t xml:space="preserve">               </w:t>
      </w:r>
      <w:r>
        <w:rPr>
          <w:rFonts w:hint="eastAsia" w:cs="Arial"/>
          <w:bCs/>
          <w:color w:val="000000" w:themeColor="text1"/>
          <w:szCs w:val="21"/>
          <w:highlight w:val="none"/>
          <w14:textFill>
            <w14:solidFill>
              <w14:schemeClr w14:val="tx1"/>
            </w14:solidFill>
          </w14:textFill>
        </w:rPr>
        <w:t>包号：</w:t>
      </w:r>
      <w:r>
        <w:rPr>
          <w:rFonts w:hint="eastAsia" w:cs="Arial"/>
          <w:bCs/>
          <w:color w:val="000000" w:themeColor="text1"/>
          <w:szCs w:val="21"/>
          <w:highlight w:val="none"/>
          <w:u w:val="single"/>
          <w14:textFill>
            <w14:solidFill>
              <w14:schemeClr w14:val="tx1"/>
            </w14:solidFill>
          </w14:textFill>
        </w:rPr>
        <w:t xml:space="preserve">            </w:t>
      </w:r>
    </w:p>
    <w:tbl>
      <w:tblPr>
        <w:tblStyle w:val="44"/>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4067"/>
        <w:gridCol w:w="3366"/>
        <w:gridCol w:w="867"/>
        <w:gridCol w:w="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7"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4067"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技术参数要求</w:t>
            </w:r>
          </w:p>
        </w:tc>
        <w:tc>
          <w:tcPr>
            <w:tcW w:w="3366"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响应情况</w:t>
            </w:r>
          </w:p>
        </w:tc>
        <w:tc>
          <w:tcPr>
            <w:tcW w:w="867"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偏离情况</w:t>
            </w:r>
          </w:p>
        </w:tc>
        <w:tc>
          <w:tcPr>
            <w:tcW w:w="594" w:type="dxa"/>
            <w:vAlign w:val="center"/>
          </w:tcPr>
          <w:p>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一</w:t>
            </w:r>
          </w:p>
        </w:tc>
        <w:tc>
          <w:tcPr>
            <w:tcW w:w="4067"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底盘</w:t>
            </w:r>
          </w:p>
        </w:tc>
        <w:tc>
          <w:tcPr>
            <w:tcW w:w="3366" w:type="dxa"/>
            <w:vAlign w:val="center"/>
          </w:tcPr>
          <w:p>
            <w:pPr>
              <w:spacing w:line="276" w:lineRule="auto"/>
              <w:rPr>
                <w:b/>
                <w:bCs/>
                <w:color w:val="000000" w:themeColor="text1"/>
                <w:szCs w:val="21"/>
                <w:highlight w:val="none"/>
                <w14:textFill>
                  <w14:solidFill>
                    <w14:schemeClr w14:val="tx1"/>
                  </w14:solidFill>
                </w14:textFill>
              </w:rPr>
            </w:pPr>
          </w:p>
        </w:tc>
        <w:tc>
          <w:tcPr>
            <w:tcW w:w="867" w:type="dxa"/>
            <w:vAlign w:val="center"/>
          </w:tcPr>
          <w:p>
            <w:pPr>
              <w:spacing w:line="276" w:lineRule="auto"/>
              <w:rPr>
                <w:b/>
                <w:bCs/>
                <w:color w:val="000000" w:themeColor="text1"/>
                <w:szCs w:val="21"/>
                <w:highlight w:val="none"/>
                <w14:textFill>
                  <w14:solidFill>
                    <w14:schemeClr w14:val="tx1"/>
                  </w14:solidFill>
                </w14:textFill>
              </w:rPr>
            </w:pPr>
          </w:p>
        </w:tc>
        <w:tc>
          <w:tcPr>
            <w:tcW w:w="594" w:type="dxa"/>
            <w:vAlign w:val="center"/>
          </w:tcPr>
          <w:p>
            <w:pPr>
              <w:spacing w:line="276" w:lineRule="auto"/>
              <w:rPr>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p>
        </w:tc>
        <w:tc>
          <w:tcPr>
            <w:tcW w:w="4067" w:type="dxa"/>
            <w:vAlign w:val="center"/>
          </w:tcPr>
          <w:p>
            <w:pPr>
              <w:rPr>
                <w:b/>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颜色：白色/红色</w:t>
            </w:r>
          </w:p>
        </w:tc>
        <w:tc>
          <w:tcPr>
            <w:tcW w:w="3366" w:type="dxa"/>
            <w:vAlign w:val="center"/>
          </w:tcPr>
          <w:p>
            <w:pPr>
              <w:rPr>
                <w:b/>
                <w:bCs/>
                <w:color w:val="000000" w:themeColor="text1"/>
                <w:szCs w:val="21"/>
                <w:highlight w:val="none"/>
                <w14:textFill>
                  <w14:solidFill>
                    <w14:schemeClr w14:val="tx1"/>
                  </w14:solidFill>
                </w14:textFill>
              </w:rPr>
            </w:pPr>
          </w:p>
        </w:tc>
        <w:tc>
          <w:tcPr>
            <w:tcW w:w="867" w:type="dxa"/>
            <w:vAlign w:val="center"/>
          </w:tcPr>
          <w:p>
            <w:pPr>
              <w:rPr>
                <w:b/>
                <w:bCs/>
                <w:color w:val="000000" w:themeColor="text1"/>
                <w:szCs w:val="21"/>
                <w:highlight w:val="none"/>
                <w14:textFill>
                  <w14:solidFill>
                    <w14:schemeClr w14:val="tx1"/>
                  </w14:solidFill>
                </w14:textFill>
              </w:rPr>
            </w:pPr>
          </w:p>
        </w:tc>
        <w:tc>
          <w:tcPr>
            <w:tcW w:w="594" w:type="dxa"/>
            <w:vAlign w:val="center"/>
          </w:tcPr>
          <w:p>
            <w:pPr>
              <w:rPr>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p>
        </w:tc>
        <w:tc>
          <w:tcPr>
            <w:tcW w:w="4067" w:type="dxa"/>
            <w:vAlign w:val="center"/>
          </w:tcPr>
          <w:p>
            <w:pPr>
              <w:rPr>
                <w:b/>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知名品牌</w:t>
            </w:r>
            <w:r>
              <w:rPr>
                <w:b/>
                <w:bCs/>
                <w:color w:val="000000" w:themeColor="text1"/>
                <w:szCs w:val="21"/>
                <w:highlight w:val="none"/>
                <w14:textFill>
                  <w14:solidFill>
                    <w14:schemeClr w14:val="tx1"/>
                  </w14:solidFill>
                </w14:textFill>
              </w:rPr>
              <w:t>汽油整车</w:t>
            </w:r>
          </w:p>
        </w:tc>
        <w:tc>
          <w:tcPr>
            <w:tcW w:w="3366" w:type="dxa"/>
            <w:vAlign w:val="center"/>
          </w:tcPr>
          <w:p>
            <w:pPr>
              <w:rPr>
                <w:b/>
                <w:bCs/>
                <w:color w:val="000000" w:themeColor="text1"/>
                <w:szCs w:val="21"/>
                <w:highlight w:val="none"/>
                <w14:textFill>
                  <w14:solidFill>
                    <w14:schemeClr w14:val="tx1"/>
                  </w14:solidFill>
                </w14:textFill>
              </w:rPr>
            </w:pPr>
          </w:p>
        </w:tc>
        <w:tc>
          <w:tcPr>
            <w:tcW w:w="867" w:type="dxa"/>
            <w:vAlign w:val="center"/>
          </w:tcPr>
          <w:p>
            <w:pPr>
              <w:rPr>
                <w:b/>
                <w:bCs/>
                <w:color w:val="000000" w:themeColor="text1"/>
                <w:szCs w:val="21"/>
                <w:highlight w:val="none"/>
                <w14:textFill>
                  <w14:solidFill>
                    <w14:schemeClr w14:val="tx1"/>
                  </w14:solidFill>
                </w14:textFill>
              </w:rPr>
            </w:pPr>
          </w:p>
        </w:tc>
        <w:tc>
          <w:tcPr>
            <w:tcW w:w="594" w:type="dxa"/>
            <w:vAlign w:val="center"/>
          </w:tcPr>
          <w:p>
            <w:pPr>
              <w:rPr>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p>
        </w:tc>
        <w:tc>
          <w:tcPr>
            <w:tcW w:w="4067" w:type="dxa"/>
            <w:vAlign w:val="center"/>
          </w:tcPr>
          <w:p>
            <w:pPr>
              <w:rPr>
                <w:b/>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尺寸和质量</w:t>
            </w:r>
          </w:p>
        </w:tc>
        <w:tc>
          <w:tcPr>
            <w:tcW w:w="3366" w:type="dxa"/>
            <w:vAlign w:val="center"/>
          </w:tcPr>
          <w:p>
            <w:pPr>
              <w:rPr>
                <w:b/>
                <w:bCs/>
                <w:color w:val="000000" w:themeColor="text1"/>
                <w:szCs w:val="21"/>
                <w:highlight w:val="none"/>
                <w14:textFill>
                  <w14:solidFill>
                    <w14:schemeClr w14:val="tx1"/>
                  </w14:solidFill>
                </w14:textFill>
              </w:rPr>
            </w:pPr>
          </w:p>
        </w:tc>
        <w:tc>
          <w:tcPr>
            <w:tcW w:w="867" w:type="dxa"/>
            <w:vAlign w:val="center"/>
          </w:tcPr>
          <w:p>
            <w:pPr>
              <w:rPr>
                <w:b/>
                <w:bCs/>
                <w:color w:val="000000" w:themeColor="text1"/>
                <w:szCs w:val="21"/>
                <w:highlight w:val="none"/>
                <w14:textFill>
                  <w14:solidFill>
                    <w14:schemeClr w14:val="tx1"/>
                  </w14:solidFill>
                </w14:textFill>
              </w:rPr>
            </w:pPr>
          </w:p>
        </w:tc>
        <w:tc>
          <w:tcPr>
            <w:tcW w:w="594" w:type="dxa"/>
            <w:vAlign w:val="center"/>
          </w:tcPr>
          <w:p>
            <w:pPr>
              <w:rPr>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3.1</w:t>
            </w:r>
          </w:p>
        </w:tc>
        <w:tc>
          <w:tcPr>
            <w:tcW w:w="4067"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轴距</w:t>
            </w:r>
            <w:r>
              <w:rPr>
                <w:color w:val="000000" w:themeColor="text1"/>
                <w:szCs w:val="21"/>
                <w:highlight w:val="none"/>
                <w14:textFill>
                  <w14:solidFill>
                    <w14:schemeClr w14:val="tx1"/>
                  </w14:solidFill>
                </w14:textFill>
              </w:rPr>
              <w:t>mm</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3430-3600</w:t>
            </w:r>
          </w:p>
        </w:tc>
        <w:tc>
          <w:tcPr>
            <w:tcW w:w="3366" w:type="dxa"/>
            <w:vAlign w:val="center"/>
          </w:tcPr>
          <w:p>
            <w:pPr>
              <w:rPr>
                <w:color w:val="000000" w:themeColor="text1"/>
                <w:szCs w:val="21"/>
                <w:highlight w:val="none"/>
                <w14:textFill>
                  <w14:solidFill>
                    <w14:schemeClr w14:val="tx1"/>
                  </w14:solidFill>
                </w14:textFill>
              </w:rPr>
            </w:pPr>
          </w:p>
        </w:tc>
        <w:tc>
          <w:tcPr>
            <w:tcW w:w="867" w:type="dxa"/>
            <w:vAlign w:val="center"/>
          </w:tcPr>
          <w:p>
            <w:pPr>
              <w:rPr>
                <w:color w:val="000000" w:themeColor="text1"/>
                <w:szCs w:val="21"/>
                <w:highlight w:val="none"/>
                <w14:textFill>
                  <w14:solidFill>
                    <w14:schemeClr w14:val="tx1"/>
                  </w14:solidFill>
                </w14:textFill>
              </w:rPr>
            </w:pPr>
          </w:p>
        </w:tc>
        <w:tc>
          <w:tcPr>
            <w:tcW w:w="594" w:type="dxa"/>
            <w:vAlign w:val="center"/>
          </w:tcPr>
          <w:p>
            <w:pP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3.2</w:t>
            </w:r>
          </w:p>
        </w:tc>
        <w:tc>
          <w:tcPr>
            <w:tcW w:w="4067"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转弯直径</w:t>
            </w:r>
            <w:r>
              <w:rPr>
                <w:color w:val="000000" w:themeColor="text1"/>
                <w:szCs w:val="21"/>
                <w:highlight w:val="none"/>
                <w14:textFill>
                  <w14:solidFill>
                    <w14:schemeClr w14:val="tx1"/>
                  </w14:solidFill>
                </w14:textFill>
              </w:rPr>
              <w:t>m</w:t>
            </w:r>
            <w:r>
              <w:rPr>
                <w:rFonts w:hint="eastAsia"/>
                <w:color w:val="000000" w:themeColor="text1"/>
                <w:szCs w:val="21"/>
                <w:highlight w:val="none"/>
                <w14:textFill>
                  <w14:solidFill>
                    <w14:schemeClr w14:val="tx1"/>
                  </w14:solidFill>
                </w14:textFill>
              </w:rPr>
              <w:t>：≤12</w:t>
            </w:r>
          </w:p>
        </w:tc>
        <w:tc>
          <w:tcPr>
            <w:tcW w:w="3366" w:type="dxa"/>
            <w:vAlign w:val="center"/>
          </w:tcPr>
          <w:p>
            <w:pPr>
              <w:rPr>
                <w:color w:val="000000" w:themeColor="text1"/>
                <w:szCs w:val="21"/>
                <w:highlight w:val="none"/>
                <w14:textFill>
                  <w14:solidFill>
                    <w14:schemeClr w14:val="tx1"/>
                  </w14:solidFill>
                </w14:textFill>
              </w:rPr>
            </w:pPr>
          </w:p>
        </w:tc>
        <w:tc>
          <w:tcPr>
            <w:tcW w:w="867" w:type="dxa"/>
            <w:vAlign w:val="center"/>
          </w:tcPr>
          <w:p>
            <w:pPr>
              <w:rPr>
                <w:color w:val="000000" w:themeColor="text1"/>
                <w:szCs w:val="21"/>
                <w:highlight w:val="none"/>
                <w14:textFill>
                  <w14:solidFill>
                    <w14:schemeClr w14:val="tx1"/>
                  </w14:solidFill>
                </w14:textFill>
              </w:rPr>
            </w:pPr>
          </w:p>
        </w:tc>
        <w:tc>
          <w:tcPr>
            <w:tcW w:w="594" w:type="dxa"/>
            <w:vAlign w:val="center"/>
          </w:tcPr>
          <w:p>
            <w:pP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.2</w:t>
            </w:r>
          </w:p>
        </w:tc>
        <w:tc>
          <w:tcPr>
            <w:tcW w:w="4067"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车体尺寸</w:t>
            </w:r>
            <w:r>
              <w:rPr>
                <w:color w:val="000000" w:themeColor="text1"/>
                <w:szCs w:val="21"/>
                <w:highlight w:val="none"/>
                <w14:textFill>
                  <w14:solidFill>
                    <w14:schemeClr w14:val="tx1"/>
                  </w14:solidFill>
                </w14:textFill>
              </w:rPr>
              <w:t>mm</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5330×1930×2280</w:t>
            </w:r>
          </w:p>
        </w:tc>
        <w:tc>
          <w:tcPr>
            <w:tcW w:w="3366" w:type="dxa"/>
            <w:vAlign w:val="center"/>
          </w:tcPr>
          <w:p>
            <w:pPr>
              <w:rPr>
                <w:color w:val="000000" w:themeColor="text1"/>
                <w:szCs w:val="21"/>
                <w:highlight w:val="none"/>
                <w14:textFill>
                  <w14:solidFill>
                    <w14:schemeClr w14:val="tx1"/>
                  </w14:solidFill>
                </w14:textFill>
              </w:rPr>
            </w:pPr>
          </w:p>
        </w:tc>
        <w:tc>
          <w:tcPr>
            <w:tcW w:w="867" w:type="dxa"/>
            <w:vAlign w:val="center"/>
          </w:tcPr>
          <w:p>
            <w:pPr>
              <w:rPr>
                <w:color w:val="000000" w:themeColor="text1"/>
                <w:szCs w:val="21"/>
                <w:highlight w:val="none"/>
                <w14:textFill>
                  <w14:solidFill>
                    <w14:schemeClr w14:val="tx1"/>
                  </w14:solidFill>
                </w14:textFill>
              </w:rPr>
            </w:pPr>
          </w:p>
        </w:tc>
        <w:tc>
          <w:tcPr>
            <w:tcW w:w="594" w:type="dxa"/>
            <w:vAlign w:val="center"/>
          </w:tcPr>
          <w:p>
            <w:pP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.3</w:t>
            </w:r>
          </w:p>
        </w:tc>
        <w:tc>
          <w:tcPr>
            <w:tcW w:w="4067"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抢救舱尺寸</w:t>
            </w:r>
            <w:r>
              <w:rPr>
                <w:color w:val="000000" w:themeColor="text1"/>
                <w:szCs w:val="21"/>
                <w:highlight w:val="none"/>
                <w14:textFill>
                  <w14:solidFill>
                    <w14:schemeClr w14:val="tx1"/>
                  </w14:solidFill>
                </w14:textFill>
              </w:rPr>
              <w:t>mm</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2700×1650×1700</w:t>
            </w:r>
          </w:p>
        </w:tc>
        <w:tc>
          <w:tcPr>
            <w:tcW w:w="3366" w:type="dxa"/>
            <w:vAlign w:val="center"/>
          </w:tcPr>
          <w:p>
            <w:pPr>
              <w:rPr>
                <w:color w:val="000000" w:themeColor="text1"/>
                <w:szCs w:val="21"/>
                <w:highlight w:val="none"/>
                <w14:textFill>
                  <w14:solidFill>
                    <w14:schemeClr w14:val="tx1"/>
                  </w14:solidFill>
                </w14:textFill>
              </w:rPr>
            </w:pPr>
          </w:p>
        </w:tc>
        <w:tc>
          <w:tcPr>
            <w:tcW w:w="867" w:type="dxa"/>
            <w:vAlign w:val="center"/>
          </w:tcPr>
          <w:p>
            <w:pPr>
              <w:rPr>
                <w:color w:val="000000" w:themeColor="text1"/>
                <w:szCs w:val="21"/>
                <w:highlight w:val="none"/>
                <w14:textFill>
                  <w14:solidFill>
                    <w14:schemeClr w14:val="tx1"/>
                  </w14:solidFill>
                </w14:textFill>
              </w:rPr>
            </w:pPr>
          </w:p>
        </w:tc>
        <w:tc>
          <w:tcPr>
            <w:tcW w:w="594" w:type="dxa"/>
            <w:vAlign w:val="center"/>
          </w:tcPr>
          <w:p>
            <w:pP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.4</w:t>
            </w:r>
          </w:p>
        </w:tc>
        <w:tc>
          <w:tcPr>
            <w:tcW w:w="4067"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满载总质量</w:t>
            </w:r>
            <w:r>
              <w:rPr>
                <w:color w:val="000000" w:themeColor="text1"/>
                <w:szCs w:val="21"/>
                <w:highlight w:val="none"/>
                <w14:textFill>
                  <w14:solidFill>
                    <w14:schemeClr w14:val="tx1"/>
                  </w14:solidFill>
                </w14:textFill>
              </w:rPr>
              <w:t>kg</w:t>
            </w:r>
            <w:r>
              <w:rPr>
                <w:rFonts w:hint="eastAsia"/>
                <w:color w:val="000000" w:themeColor="text1"/>
                <w:szCs w:val="21"/>
                <w:highlight w:val="none"/>
                <w14:textFill>
                  <w14:solidFill>
                    <w14:schemeClr w14:val="tx1"/>
                  </w14:solidFill>
                </w14:textFill>
              </w:rPr>
              <w:t>：≥310</w:t>
            </w:r>
            <w:r>
              <w:rPr>
                <w:color w:val="000000" w:themeColor="text1"/>
                <w:szCs w:val="21"/>
                <w:highlight w:val="none"/>
                <w14:textFill>
                  <w14:solidFill>
                    <w14:schemeClr w14:val="tx1"/>
                  </w14:solidFill>
                </w14:textFill>
              </w:rPr>
              <w:t>0</w:t>
            </w:r>
          </w:p>
        </w:tc>
        <w:tc>
          <w:tcPr>
            <w:tcW w:w="3366" w:type="dxa"/>
            <w:vAlign w:val="center"/>
          </w:tcPr>
          <w:p>
            <w:pPr>
              <w:rPr>
                <w:color w:val="000000" w:themeColor="text1"/>
                <w:szCs w:val="21"/>
                <w:highlight w:val="none"/>
                <w14:textFill>
                  <w14:solidFill>
                    <w14:schemeClr w14:val="tx1"/>
                  </w14:solidFill>
                </w14:textFill>
              </w:rPr>
            </w:pPr>
          </w:p>
        </w:tc>
        <w:tc>
          <w:tcPr>
            <w:tcW w:w="867" w:type="dxa"/>
            <w:vAlign w:val="center"/>
          </w:tcPr>
          <w:p>
            <w:pPr>
              <w:rPr>
                <w:color w:val="000000" w:themeColor="text1"/>
                <w:szCs w:val="21"/>
                <w:highlight w:val="none"/>
                <w14:textFill>
                  <w14:solidFill>
                    <w14:schemeClr w14:val="tx1"/>
                  </w14:solidFill>
                </w14:textFill>
              </w:rPr>
            </w:pPr>
          </w:p>
        </w:tc>
        <w:tc>
          <w:tcPr>
            <w:tcW w:w="594" w:type="dxa"/>
            <w:vAlign w:val="center"/>
          </w:tcPr>
          <w:p>
            <w:pP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.5</w:t>
            </w:r>
          </w:p>
        </w:tc>
        <w:tc>
          <w:tcPr>
            <w:tcW w:w="4067"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整备质量</w:t>
            </w:r>
            <w:r>
              <w:rPr>
                <w:color w:val="000000" w:themeColor="text1"/>
                <w:szCs w:val="21"/>
                <w:highlight w:val="none"/>
                <w14:textFill>
                  <w14:solidFill>
                    <w14:schemeClr w14:val="tx1"/>
                  </w14:solidFill>
                </w14:textFill>
              </w:rPr>
              <w:t>kg</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2600</w:t>
            </w:r>
          </w:p>
        </w:tc>
        <w:tc>
          <w:tcPr>
            <w:tcW w:w="3366" w:type="dxa"/>
            <w:vAlign w:val="center"/>
          </w:tcPr>
          <w:p>
            <w:pPr>
              <w:rPr>
                <w:color w:val="000000" w:themeColor="text1"/>
                <w:szCs w:val="21"/>
                <w:highlight w:val="none"/>
                <w14:textFill>
                  <w14:solidFill>
                    <w14:schemeClr w14:val="tx1"/>
                  </w14:solidFill>
                </w14:textFill>
              </w:rPr>
            </w:pPr>
          </w:p>
        </w:tc>
        <w:tc>
          <w:tcPr>
            <w:tcW w:w="867" w:type="dxa"/>
            <w:vAlign w:val="center"/>
          </w:tcPr>
          <w:p>
            <w:pPr>
              <w:rPr>
                <w:color w:val="000000" w:themeColor="text1"/>
                <w:szCs w:val="21"/>
                <w:highlight w:val="none"/>
                <w14:textFill>
                  <w14:solidFill>
                    <w14:schemeClr w14:val="tx1"/>
                  </w14:solidFill>
                </w14:textFill>
              </w:rPr>
            </w:pPr>
          </w:p>
        </w:tc>
        <w:tc>
          <w:tcPr>
            <w:tcW w:w="594" w:type="dxa"/>
            <w:vAlign w:val="center"/>
          </w:tcPr>
          <w:p>
            <w:pP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b/>
                <w:bCs/>
                <w:color w:val="000000" w:themeColor="text1"/>
                <w:sz w:val="24"/>
                <w:highlight w:val="none"/>
                <w14:textFill>
                  <w14:solidFill>
                    <w14:schemeClr w14:val="tx1"/>
                  </w14:solidFill>
                </w14:textFill>
              </w:rPr>
              <w:t>.6</w:t>
            </w:r>
          </w:p>
        </w:tc>
        <w:tc>
          <w:tcPr>
            <w:tcW w:w="4067"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▲驱动方式：后轮驱动</w:t>
            </w:r>
          </w:p>
        </w:tc>
        <w:tc>
          <w:tcPr>
            <w:tcW w:w="3366" w:type="dxa"/>
            <w:vAlign w:val="center"/>
          </w:tcPr>
          <w:p>
            <w:pPr>
              <w:rPr>
                <w:color w:val="000000" w:themeColor="text1"/>
                <w:szCs w:val="21"/>
                <w:highlight w:val="none"/>
                <w14:textFill>
                  <w14:solidFill>
                    <w14:schemeClr w14:val="tx1"/>
                  </w14:solidFill>
                </w14:textFill>
              </w:rPr>
            </w:pPr>
          </w:p>
        </w:tc>
        <w:tc>
          <w:tcPr>
            <w:tcW w:w="867" w:type="dxa"/>
            <w:vAlign w:val="center"/>
          </w:tcPr>
          <w:p>
            <w:pPr>
              <w:rPr>
                <w:color w:val="000000" w:themeColor="text1"/>
                <w:szCs w:val="21"/>
                <w:highlight w:val="none"/>
                <w14:textFill>
                  <w14:solidFill>
                    <w14:schemeClr w14:val="tx1"/>
                  </w14:solidFill>
                </w14:textFill>
              </w:rPr>
            </w:pPr>
          </w:p>
        </w:tc>
        <w:tc>
          <w:tcPr>
            <w:tcW w:w="594" w:type="dxa"/>
            <w:vAlign w:val="center"/>
          </w:tcPr>
          <w:p>
            <w:pP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627" w:type="dxa"/>
            <w:vAlign w:val="center"/>
          </w:tcPr>
          <w:p>
            <w:pPr>
              <w:spacing w:line="276" w:lineRule="auto"/>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二</w:t>
            </w:r>
          </w:p>
        </w:tc>
        <w:tc>
          <w:tcPr>
            <w:tcW w:w="4067" w:type="dxa"/>
            <w:vAlign w:val="center"/>
          </w:tcPr>
          <w:p>
            <w:pPr>
              <w:rPr>
                <w:b/>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汽油发动机</w:t>
            </w:r>
          </w:p>
        </w:tc>
        <w:tc>
          <w:tcPr>
            <w:tcW w:w="3366" w:type="dxa"/>
            <w:vAlign w:val="center"/>
          </w:tcPr>
          <w:p>
            <w:pPr>
              <w:rPr>
                <w:b/>
                <w:bCs/>
                <w:color w:val="000000" w:themeColor="text1"/>
                <w:szCs w:val="21"/>
                <w:highlight w:val="none"/>
                <w14:textFill>
                  <w14:solidFill>
                    <w14:schemeClr w14:val="tx1"/>
                  </w14:solidFill>
                </w14:textFill>
              </w:rPr>
            </w:pPr>
          </w:p>
        </w:tc>
        <w:tc>
          <w:tcPr>
            <w:tcW w:w="867" w:type="dxa"/>
            <w:vAlign w:val="center"/>
          </w:tcPr>
          <w:p>
            <w:pPr>
              <w:rPr>
                <w:b/>
                <w:bCs/>
                <w:color w:val="000000" w:themeColor="text1"/>
                <w:szCs w:val="21"/>
                <w:highlight w:val="none"/>
                <w14:textFill>
                  <w14:solidFill>
                    <w14:schemeClr w14:val="tx1"/>
                  </w14:solidFill>
                </w14:textFill>
              </w:rPr>
            </w:pPr>
          </w:p>
        </w:tc>
        <w:tc>
          <w:tcPr>
            <w:tcW w:w="594" w:type="dxa"/>
            <w:vAlign w:val="center"/>
          </w:tcPr>
          <w:p>
            <w:pPr>
              <w:rPr>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p>
        </w:tc>
        <w:tc>
          <w:tcPr>
            <w:tcW w:w="4067"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工作方式：汽油发动机、涡轮增压、缸内直喷</w:t>
            </w:r>
          </w:p>
        </w:tc>
        <w:tc>
          <w:tcPr>
            <w:tcW w:w="3366" w:type="dxa"/>
            <w:vAlign w:val="center"/>
          </w:tcPr>
          <w:p>
            <w:pPr>
              <w:rPr>
                <w:color w:val="000000" w:themeColor="text1"/>
                <w:szCs w:val="21"/>
                <w:highlight w:val="none"/>
                <w14:textFill>
                  <w14:solidFill>
                    <w14:schemeClr w14:val="tx1"/>
                  </w14:solidFill>
                </w14:textFill>
              </w:rPr>
            </w:pPr>
          </w:p>
        </w:tc>
        <w:tc>
          <w:tcPr>
            <w:tcW w:w="867" w:type="dxa"/>
            <w:vAlign w:val="center"/>
          </w:tcPr>
          <w:p>
            <w:pPr>
              <w:rPr>
                <w:color w:val="000000" w:themeColor="text1"/>
                <w:szCs w:val="21"/>
                <w:highlight w:val="none"/>
                <w14:textFill>
                  <w14:solidFill>
                    <w14:schemeClr w14:val="tx1"/>
                  </w14:solidFill>
                </w14:textFill>
              </w:rPr>
            </w:pPr>
          </w:p>
        </w:tc>
        <w:tc>
          <w:tcPr>
            <w:tcW w:w="594" w:type="dxa"/>
            <w:vAlign w:val="center"/>
          </w:tcPr>
          <w:p>
            <w:pP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p>
        </w:tc>
        <w:tc>
          <w:tcPr>
            <w:tcW w:w="4067"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排气量：≥1.990L</w:t>
            </w:r>
          </w:p>
        </w:tc>
        <w:tc>
          <w:tcPr>
            <w:tcW w:w="3366" w:type="dxa"/>
            <w:vAlign w:val="center"/>
          </w:tcPr>
          <w:p>
            <w:pPr>
              <w:rPr>
                <w:color w:val="000000" w:themeColor="text1"/>
                <w:szCs w:val="21"/>
                <w:highlight w:val="none"/>
                <w14:textFill>
                  <w14:solidFill>
                    <w14:schemeClr w14:val="tx1"/>
                  </w14:solidFill>
                </w14:textFill>
              </w:rPr>
            </w:pPr>
          </w:p>
        </w:tc>
        <w:tc>
          <w:tcPr>
            <w:tcW w:w="867" w:type="dxa"/>
            <w:vAlign w:val="center"/>
          </w:tcPr>
          <w:p>
            <w:pPr>
              <w:rPr>
                <w:color w:val="000000" w:themeColor="text1"/>
                <w:szCs w:val="21"/>
                <w:highlight w:val="none"/>
                <w14:textFill>
                  <w14:solidFill>
                    <w14:schemeClr w14:val="tx1"/>
                  </w14:solidFill>
                </w14:textFill>
              </w:rPr>
            </w:pPr>
          </w:p>
        </w:tc>
        <w:tc>
          <w:tcPr>
            <w:tcW w:w="594" w:type="dxa"/>
            <w:vAlign w:val="center"/>
          </w:tcPr>
          <w:p>
            <w:pP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p>
        </w:tc>
        <w:tc>
          <w:tcPr>
            <w:tcW w:w="4067"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▲排放标准：国六排放标准</w:t>
            </w:r>
          </w:p>
        </w:tc>
        <w:tc>
          <w:tcPr>
            <w:tcW w:w="3366" w:type="dxa"/>
            <w:vAlign w:val="center"/>
          </w:tcPr>
          <w:p>
            <w:pPr>
              <w:rPr>
                <w:color w:val="000000" w:themeColor="text1"/>
                <w:szCs w:val="21"/>
                <w:highlight w:val="none"/>
                <w14:textFill>
                  <w14:solidFill>
                    <w14:schemeClr w14:val="tx1"/>
                  </w14:solidFill>
                </w14:textFill>
              </w:rPr>
            </w:pPr>
          </w:p>
        </w:tc>
        <w:tc>
          <w:tcPr>
            <w:tcW w:w="867" w:type="dxa"/>
            <w:vAlign w:val="center"/>
          </w:tcPr>
          <w:p>
            <w:pPr>
              <w:rPr>
                <w:color w:val="000000" w:themeColor="text1"/>
                <w:szCs w:val="21"/>
                <w:highlight w:val="none"/>
                <w14:textFill>
                  <w14:solidFill>
                    <w14:schemeClr w14:val="tx1"/>
                  </w14:solidFill>
                </w14:textFill>
              </w:rPr>
            </w:pPr>
          </w:p>
        </w:tc>
        <w:tc>
          <w:tcPr>
            <w:tcW w:w="594" w:type="dxa"/>
            <w:vAlign w:val="center"/>
          </w:tcPr>
          <w:p>
            <w:pP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p>
        </w:tc>
        <w:tc>
          <w:tcPr>
            <w:tcW w:w="4067"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额定功率</w:t>
            </w:r>
            <w:r>
              <w:rPr>
                <w:color w:val="000000" w:themeColor="text1"/>
                <w:szCs w:val="21"/>
                <w:highlight w:val="none"/>
                <w14:textFill>
                  <w14:solidFill>
                    <w14:schemeClr w14:val="tx1"/>
                  </w14:solidFill>
                </w14:textFill>
              </w:rPr>
              <w:t>kw/rpm</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155/5500</w:t>
            </w:r>
          </w:p>
        </w:tc>
        <w:tc>
          <w:tcPr>
            <w:tcW w:w="3366" w:type="dxa"/>
            <w:vAlign w:val="center"/>
          </w:tcPr>
          <w:p>
            <w:pPr>
              <w:rPr>
                <w:color w:val="000000" w:themeColor="text1"/>
                <w:szCs w:val="21"/>
                <w:highlight w:val="none"/>
                <w14:textFill>
                  <w14:solidFill>
                    <w14:schemeClr w14:val="tx1"/>
                  </w14:solidFill>
                </w14:textFill>
              </w:rPr>
            </w:pPr>
          </w:p>
        </w:tc>
        <w:tc>
          <w:tcPr>
            <w:tcW w:w="867" w:type="dxa"/>
            <w:vAlign w:val="center"/>
          </w:tcPr>
          <w:p>
            <w:pPr>
              <w:rPr>
                <w:color w:val="000000" w:themeColor="text1"/>
                <w:szCs w:val="21"/>
                <w:highlight w:val="none"/>
                <w14:textFill>
                  <w14:solidFill>
                    <w14:schemeClr w14:val="tx1"/>
                  </w14:solidFill>
                </w14:textFill>
              </w:rPr>
            </w:pPr>
          </w:p>
        </w:tc>
        <w:tc>
          <w:tcPr>
            <w:tcW w:w="594" w:type="dxa"/>
            <w:vAlign w:val="center"/>
          </w:tcPr>
          <w:p>
            <w:pP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p>
        </w:tc>
        <w:tc>
          <w:tcPr>
            <w:tcW w:w="4067"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最大扭力</w:t>
            </w:r>
            <w:r>
              <w:rPr>
                <w:color w:val="000000" w:themeColor="text1"/>
                <w:szCs w:val="21"/>
                <w:highlight w:val="none"/>
                <w14:textFill>
                  <w14:solidFill>
                    <w14:schemeClr w14:val="tx1"/>
                  </w14:solidFill>
                </w14:textFill>
              </w:rPr>
              <w:t>Nm/rpm</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350/1250-4000</w:t>
            </w:r>
          </w:p>
        </w:tc>
        <w:tc>
          <w:tcPr>
            <w:tcW w:w="3366" w:type="dxa"/>
            <w:vAlign w:val="center"/>
          </w:tcPr>
          <w:p>
            <w:pPr>
              <w:rPr>
                <w:color w:val="000000" w:themeColor="text1"/>
                <w:szCs w:val="21"/>
                <w:highlight w:val="none"/>
                <w14:textFill>
                  <w14:solidFill>
                    <w14:schemeClr w14:val="tx1"/>
                  </w14:solidFill>
                </w14:textFill>
              </w:rPr>
            </w:pPr>
          </w:p>
        </w:tc>
        <w:tc>
          <w:tcPr>
            <w:tcW w:w="867" w:type="dxa"/>
            <w:vAlign w:val="center"/>
          </w:tcPr>
          <w:p>
            <w:pPr>
              <w:rPr>
                <w:color w:val="000000" w:themeColor="text1"/>
                <w:szCs w:val="21"/>
                <w:highlight w:val="none"/>
                <w14:textFill>
                  <w14:solidFill>
                    <w14:schemeClr w14:val="tx1"/>
                  </w14:solidFill>
                </w14:textFill>
              </w:rPr>
            </w:pPr>
          </w:p>
        </w:tc>
        <w:tc>
          <w:tcPr>
            <w:tcW w:w="594" w:type="dxa"/>
            <w:vAlign w:val="center"/>
          </w:tcPr>
          <w:p>
            <w:pP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w:t>
            </w:r>
          </w:p>
        </w:tc>
        <w:tc>
          <w:tcPr>
            <w:tcW w:w="4067" w:type="dxa"/>
            <w:vAlign w:val="center"/>
          </w:tcPr>
          <w:p>
            <w:pPr>
              <w:rPr>
                <w:b/>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电气系统</w:t>
            </w:r>
          </w:p>
        </w:tc>
        <w:tc>
          <w:tcPr>
            <w:tcW w:w="3366" w:type="dxa"/>
            <w:vAlign w:val="center"/>
          </w:tcPr>
          <w:p>
            <w:pPr>
              <w:rPr>
                <w:b/>
                <w:bCs/>
                <w:color w:val="000000" w:themeColor="text1"/>
                <w:szCs w:val="21"/>
                <w:highlight w:val="none"/>
                <w14:textFill>
                  <w14:solidFill>
                    <w14:schemeClr w14:val="tx1"/>
                  </w14:solidFill>
                </w14:textFill>
              </w:rPr>
            </w:pPr>
          </w:p>
        </w:tc>
        <w:tc>
          <w:tcPr>
            <w:tcW w:w="867" w:type="dxa"/>
            <w:vAlign w:val="center"/>
          </w:tcPr>
          <w:p>
            <w:pPr>
              <w:rPr>
                <w:b/>
                <w:bCs/>
                <w:color w:val="000000" w:themeColor="text1"/>
                <w:szCs w:val="21"/>
                <w:highlight w:val="none"/>
                <w14:textFill>
                  <w14:solidFill>
                    <w14:schemeClr w14:val="tx1"/>
                  </w14:solidFill>
                </w14:textFill>
              </w:rPr>
            </w:pPr>
          </w:p>
        </w:tc>
        <w:tc>
          <w:tcPr>
            <w:tcW w:w="594" w:type="dxa"/>
            <w:vAlign w:val="center"/>
          </w:tcPr>
          <w:p>
            <w:pPr>
              <w:rPr>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1</w:t>
            </w:r>
          </w:p>
        </w:tc>
        <w:tc>
          <w:tcPr>
            <w:tcW w:w="4067" w:type="dxa"/>
            <w:vAlign w:val="center"/>
          </w:tcPr>
          <w:p>
            <w:pPr>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发电机</w:t>
            </w:r>
            <w:r>
              <w:rPr>
                <w:color w:val="000000" w:themeColor="text1"/>
                <w:szCs w:val="21"/>
                <w:highlight w:val="none"/>
                <w14:textFill>
                  <w14:solidFill>
                    <w14:schemeClr w14:val="tx1"/>
                  </w14:solidFill>
                </w14:textFill>
              </w:rPr>
              <w:t>V/A</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14/150</w:t>
            </w:r>
          </w:p>
        </w:tc>
        <w:tc>
          <w:tcPr>
            <w:tcW w:w="3366" w:type="dxa"/>
            <w:vAlign w:val="center"/>
          </w:tcPr>
          <w:p>
            <w:pPr>
              <w:rPr>
                <w:color w:val="000000" w:themeColor="text1"/>
                <w:szCs w:val="21"/>
                <w:highlight w:val="none"/>
                <w14:textFill>
                  <w14:solidFill>
                    <w14:schemeClr w14:val="tx1"/>
                  </w14:solidFill>
                </w14:textFill>
              </w:rPr>
            </w:pPr>
          </w:p>
        </w:tc>
        <w:tc>
          <w:tcPr>
            <w:tcW w:w="867" w:type="dxa"/>
            <w:vAlign w:val="center"/>
          </w:tcPr>
          <w:p>
            <w:pPr>
              <w:rPr>
                <w:color w:val="000000" w:themeColor="text1"/>
                <w:szCs w:val="21"/>
                <w:highlight w:val="none"/>
                <w14:textFill>
                  <w14:solidFill>
                    <w14:schemeClr w14:val="tx1"/>
                  </w14:solidFill>
                </w14:textFill>
              </w:rPr>
            </w:pPr>
          </w:p>
        </w:tc>
        <w:tc>
          <w:tcPr>
            <w:tcW w:w="594" w:type="dxa"/>
            <w:vAlign w:val="center"/>
          </w:tcPr>
          <w:p>
            <w:pP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蓄电池</w:t>
            </w:r>
            <w:r>
              <w:rPr>
                <w:color w:val="000000" w:themeColor="text1"/>
                <w:szCs w:val="21"/>
                <w:highlight w:val="none"/>
                <w14:textFill>
                  <w14:solidFill>
                    <w14:schemeClr w14:val="tx1"/>
                  </w14:solidFill>
                </w14:textFill>
              </w:rPr>
              <w:t>V/Ah</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12/88</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p>
        </w:tc>
        <w:tc>
          <w:tcPr>
            <w:tcW w:w="4067"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变速器：7G-TRONIC PLUS 7速自动变速箱增强版</w:t>
            </w:r>
          </w:p>
        </w:tc>
        <w:tc>
          <w:tcPr>
            <w:tcW w:w="3366" w:type="dxa"/>
            <w:vAlign w:val="center"/>
          </w:tcPr>
          <w:p>
            <w:pPr>
              <w:spacing w:line="276" w:lineRule="auto"/>
              <w:rPr>
                <w:b/>
                <w:bCs/>
                <w:color w:val="000000" w:themeColor="text1"/>
                <w:szCs w:val="21"/>
                <w:highlight w:val="none"/>
                <w14:textFill>
                  <w14:solidFill>
                    <w14:schemeClr w14:val="tx1"/>
                  </w14:solidFill>
                </w14:textFill>
              </w:rPr>
            </w:pPr>
          </w:p>
        </w:tc>
        <w:tc>
          <w:tcPr>
            <w:tcW w:w="867" w:type="dxa"/>
            <w:vAlign w:val="center"/>
          </w:tcPr>
          <w:p>
            <w:pPr>
              <w:spacing w:line="276" w:lineRule="auto"/>
              <w:rPr>
                <w:b/>
                <w:bCs/>
                <w:color w:val="000000" w:themeColor="text1"/>
                <w:szCs w:val="21"/>
                <w:highlight w:val="none"/>
                <w14:textFill>
                  <w14:solidFill>
                    <w14:schemeClr w14:val="tx1"/>
                  </w14:solidFill>
                </w14:textFill>
              </w:rPr>
            </w:pPr>
          </w:p>
        </w:tc>
        <w:tc>
          <w:tcPr>
            <w:tcW w:w="594" w:type="dxa"/>
            <w:vAlign w:val="center"/>
          </w:tcPr>
          <w:p>
            <w:pPr>
              <w:spacing w:line="276" w:lineRule="auto"/>
              <w:rPr>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p>
        </w:tc>
        <w:tc>
          <w:tcPr>
            <w:tcW w:w="4067"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制动：</w:t>
            </w:r>
            <w:r>
              <w:rPr>
                <w:rFonts w:hint="eastAsia"/>
                <w:color w:val="000000" w:themeColor="text1"/>
                <w:szCs w:val="21"/>
                <w:highlight w:val="none"/>
                <w14:textFill>
                  <w14:solidFill>
                    <w14:schemeClr w14:val="tx1"/>
                  </w14:solidFill>
                </w14:textFill>
              </w:rPr>
              <w:t>液压双回路制动并带有</w:t>
            </w:r>
            <w:r>
              <w:rPr>
                <w:color w:val="000000" w:themeColor="text1"/>
                <w:szCs w:val="21"/>
                <w:highlight w:val="none"/>
                <w14:textFill>
                  <w14:solidFill>
                    <w14:schemeClr w14:val="tx1"/>
                  </w14:solidFill>
                </w14:textFill>
              </w:rPr>
              <w:t>ABS</w:t>
            </w:r>
            <w:r>
              <w:rPr>
                <w:rFonts w:hint="eastAsia"/>
                <w:color w:val="000000" w:themeColor="text1"/>
                <w:szCs w:val="21"/>
                <w:highlight w:val="none"/>
                <w14:textFill>
                  <w14:solidFill>
                    <w14:schemeClr w14:val="tx1"/>
                  </w14:solidFill>
                </w14:textFill>
              </w:rPr>
              <w:t>防抱死制动系统。</w:t>
            </w:r>
          </w:p>
        </w:tc>
        <w:tc>
          <w:tcPr>
            <w:tcW w:w="3366" w:type="dxa"/>
            <w:vAlign w:val="center"/>
          </w:tcPr>
          <w:p>
            <w:pPr>
              <w:spacing w:line="276" w:lineRule="auto"/>
              <w:rPr>
                <w:b/>
                <w:bCs/>
                <w:color w:val="000000" w:themeColor="text1"/>
                <w:szCs w:val="21"/>
                <w:highlight w:val="none"/>
                <w14:textFill>
                  <w14:solidFill>
                    <w14:schemeClr w14:val="tx1"/>
                  </w14:solidFill>
                </w14:textFill>
              </w:rPr>
            </w:pPr>
          </w:p>
        </w:tc>
        <w:tc>
          <w:tcPr>
            <w:tcW w:w="867" w:type="dxa"/>
            <w:vAlign w:val="center"/>
          </w:tcPr>
          <w:p>
            <w:pPr>
              <w:spacing w:line="276" w:lineRule="auto"/>
              <w:rPr>
                <w:b/>
                <w:bCs/>
                <w:color w:val="000000" w:themeColor="text1"/>
                <w:szCs w:val="21"/>
                <w:highlight w:val="none"/>
                <w14:textFill>
                  <w14:solidFill>
                    <w14:schemeClr w14:val="tx1"/>
                  </w14:solidFill>
                </w14:textFill>
              </w:rPr>
            </w:pPr>
          </w:p>
        </w:tc>
        <w:tc>
          <w:tcPr>
            <w:tcW w:w="594" w:type="dxa"/>
            <w:vAlign w:val="center"/>
          </w:tcPr>
          <w:p>
            <w:pPr>
              <w:spacing w:line="276" w:lineRule="auto"/>
              <w:rPr>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p>
        </w:tc>
        <w:tc>
          <w:tcPr>
            <w:tcW w:w="4067"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安全系统：</w:t>
            </w:r>
            <w:r>
              <w:rPr>
                <w:color w:val="000000" w:themeColor="text1"/>
                <w:szCs w:val="21"/>
                <w:highlight w:val="none"/>
                <w14:textFill>
                  <w14:solidFill>
                    <w14:schemeClr w14:val="tx1"/>
                  </w14:solidFill>
                </w14:textFill>
              </w:rPr>
              <w:t>ESP</w:t>
            </w:r>
            <w:r>
              <w:rPr>
                <w:rFonts w:hint="eastAsia"/>
                <w:color w:val="000000" w:themeColor="text1"/>
                <w:szCs w:val="21"/>
                <w:highlight w:val="none"/>
                <w14:textFill>
                  <w14:solidFill>
                    <w14:schemeClr w14:val="tx1"/>
                  </w14:solidFill>
                </w14:textFill>
              </w:rPr>
              <w:t>车身电子稳定程序，</w:t>
            </w:r>
            <w:r>
              <w:rPr>
                <w:color w:val="000000" w:themeColor="text1"/>
                <w:szCs w:val="21"/>
                <w:highlight w:val="none"/>
                <w14:textFill>
                  <w14:solidFill>
                    <w14:schemeClr w14:val="tx1"/>
                  </w14:solidFill>
                </w14:textFill>
              </w:rPr>
              <w:t>ASR</w:t>
            </w:r>
            <w:r>
              <w:rPr>
                <w:rFonts w:hint="eastAsia"/>
                <w:color w:val="000000" w:themeColor="text1"/>
                <w:szCs w:val="21"/>
                <w:highlight w:val="none"/>
                <w14:textFill>
                  <w14:solidFill>
                    <w14:schemeClr w14:val="tx1"/>
                  </w14:solidFill>
                </w14:textFill>
              </w:rPr>
              <w:t>防侧滑系统和，</w:t>
            </w:r>
            <w:r>
              <w:rPr>
                <w:color w:val="000000" w:themeColor="text1"/>
                <w:szCs w:val="21"/>
                <w:highlight w:val="none"/>
                <w14:textFill>
                  <w14:solidFill>
                    <w14:schemeClr w14:val="tx1"/>
                  </w14:solidFill>
                </w14:textFill>
              </w:rPr>
              <w:t xml:space="preserve">EBD </w:t>
            </w:r>
            <w:r>
              <w:rPr>
                <w:rFonts w:hint="eastAsia"/>
                <w:color w:val="000000" w:themeColor="text1"/>
                <w:szCs w:val="21"/>
                <w:highlight w:val="none"/>
                <w14:textFill>
                  <w14:solidFill>
                    <w14:schemeClr w14:val="tx1"/>
                  </w14:solidFill>
                </w14:textFill>
              </w:rPr>
              <w:t>电子制动力分配系统，</w:t>
            </w:r>
            <w:r>
              <w:rPr>
                <w:color w:val="000000" w:themeColor="text1"/>
                <w:szCs w:val="21"/>
                <w:highlight w:val="none"/>
                <w14:textFill>
                  <w14:solidFill>
                    <w14:schemeClr w14:val="tx1"/>
                  </w14:solidFill>
                </w14:textFill>
              </w:rPr>
              <w:t xml:space="preserve">BAS </w:t>
            </w:r>
            <w:r>
              <w:rPr>
                <w:rFonts w:hint="eastAsia"/>
                <w:color w:val="000000" w:themeColor="text1"/>
                <w:szCs w:val="21"/>
                <w:highlight w:val="none"/>
                <w14:textFill>
                  <w14:solidFill>
                    <w14:schemeClr w14:val="tx1"/>
                  </w14:solidFill>
                </w14:textFill>
              </w:rPr>
              <w:t>制动辅助系统</w:t>
            </w:r>
          </w:p>
        </w:tc>
        <w:tc>
          <w:tcPr>
            <w:tcW w:w="3366" w:type="dxa"/>
            <w:vAlign w:val="center"/>
          </w:tcPr>
          <w:p>
            <w:pPr>
              <w:spacing w:line="276" w:lineRule="auto"/>
              <w:rPr>
                <w:b/>
                <w:bCs/>
                <w:color w:val="000000" w:themeColor="text1"/>
                <w:szCs w:val="21"/>
                <w:highlight w:val="none"/>
                <w14:textFill>
                  <w14:solidFill>
                    <w14:schemeClr w14:val="tx1"/>
                  </w14:solidFill>
                </w14:textFill>
              </w:rPr>
            </w:pPr>
          </w:p>
        </w:tc>
        <w:tc>
          <w:tcPr>
            <w:tcW w:w="867" w:type="dxa"/>
            <w:vAlign w:val="center"/>
          </w:tcPr>
          <w:p>
            <w:pPr>
              <w:spacing w:line="276" w:lineRule="auto"/>
              <w:rPr>
                <w:b/>
                <w:bCs/>
                <w:color w:val="000000" w:themeColor="text1"/>
                <w:szCs w:val="21"/>
                <w:highlight w:val="none"/>
                <w14:textFill>
                  <w14:solidFill>
                    <w14:schemeClr w14:val="tx1"/>
                  </w14:solidFill>
                </w14:textFill>
              </w:rPr>
            </w:pPr>
          </w:p>
        </w:tc>
        <w:tc>
          <w:tcPr>
            <w:tcW w:w="594" w:type="dxa"/>
            <w:vAlign w:val="center"/>
          </w:tcPr>
          <w:p>
            <w:pPr>
              <w:spacing w:line="276" w:lineRule="auto"/>
              <w:rPr>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w:t>
            </w:r>
          </w:p>
        </w:tc>
        <w:tc>
          <w:tcPr>
            <w:tcW w:w="4067"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驾驶室安全的转向柱，安全带张紧器，正副驾驶座双安全气囊</w:t>
            </w:r>
          </w:p>
        </w:tc>
        <w:tc>
          <w:tcPr>
            <w:tcW w:w="3366" w:type="dxa"/>
            <w:vAlign w:val="center"/>
          </w:tcPr>
          <w:p>
            <w:pPr>
              <w:spacing w:line="276" w:lineRule="auto"/>
              <w:rPr>
                <w:b/>
                <w:bCs/>
                <w:color w:val="000000" w:themeColor="text1"/>
                <w:szCs w:val="21"/>
                <w:highlight w:val="none"/>
                <w14:textFill>
                  <w14:solidFill>
                    <w14:schemeClr w14:val="tx1"/>
                  </w14:solidFill>
                </w14:textFill>
              </w:rPr>
            </w:pPr>
          </w:p>
        </w:tc>
        <w:tc>
          <w:tcPr>
            <w:tcW w:w="867" w:type="dxa"/>
            <w:vAlign w:val="center"/>
          </w:tcPr>
          <w:p>
            <w:pPr>
              <w:spacing w:line="276" w:lineRule="auto"/>
              <w:rPr>
                <w:b/>
                <w:bCs/>
                <w:color w:val="000000" w:themeColor="text1"/>
                <w:szCs w:val="21"/>
                <w:highlight w:val="none"/>
                <w14:textFill>
                  <w14:solidFill>
                    <w14:schemeClr w14:val="tx1"/>
                  </w14:solidFill>
                </w14:textFill>
              </w:rPr>
            </w:pPr>
          </w:p>
        </w:tc>
        <w:tc>
          <w:tcPr>
            <w:tcW w:w="594" w:type="dxa"/>
            <w:vAlign w:val="center"/>
          </w:tcPr>
          <w:p>
            <w:pPr>
              <w:spacing w:line="276" w:lineRule="auto"/>
              <w:rPr>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轮胎：</w:t>
            </w:r>
            <w:r>
              <w:rPr>
                <w:color w:val="000000" w:themeColor="text1"/>
                <w:szCs w:val="21"/>
                <w:highlight w:val="none"/>
                <w14:textFill>
                  <w14:solidFill>
                    <w14:schemeClr w14:val="tx1"/>
                  </w14:solidFill>
                </w14:textFill>
              </w:rPr>
              <w:t>235/55R17</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油箱容积（</w:t>
            </w:r>
            <w:r>
              <w:rPr>
                <w:color w:val="000000" w:themeColor="text1"/>
                <w:szCs w:val="21"/>
                <w:highlight w:val="none"/>
                <w14:textFill>
                  <w14:solidFill>
                    <w14:schemeClr w14:val="tx1"/>
                  </w14:solidFill>
                </w14:textFill>
              </w:rPr>
              <w:t>L</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70</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医疗舱车厢右侧原厂玻璃窗,后门原厂玻璃窗,窗户上贴1/2不透明膜</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四</w:t>
            </w:r>
          </w:p>
        </w:tc>
        <w:tc>
          <w:tcPr>
            <w:tcW w:w="4067"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空调及照明系统</w:t>
            </w:r>
          </w:p>
        </w:tc>
        <w:tc>
          <w:tcPr>
            <w:tcW w:w="3366" w:type="dxa"/>
            <w:vAlign w:val="center"/>
          </w:tcPr>
          <w:p>
            <w:pPr>
              <w:spacing w:line="276" w:lineRule="auto"/>
              <w:rPr>
                <w:b/>
                <w:bCs/>
                <w:color w:val="000000" w:themeColor="text1"/>
                <w:szCs w:val="21"/>
                <w:highlight w:val="none"/>
                <w14:textFill>
                  <w14:solidFill>
                    <w14:schemeClr w14:val="tx1"/>
                  </w14:solidFill>
                </w14:textFill>
              </w:rPr>
            </w:pPr>
          </w:p>
        </w:tc>
        <w:tc>
          <w:tcPr>
            <w:tcW w:w="867" w:type="dxa"/>
            <w:vAlign w:val="center"/>
          </w:tcPr>
          <w:p>
            <w:pPr>
              <w:spacing w:line="276" w:lineRule="auto"/>
              <w:rPr>
                <w:b/>
                <w:bCs/>
                <w:color w:val="000000" w:themeColor="text1"/>
                <w:szCs w:val="21"/>
                <w:highlight w:val="none"/>
                <w14:textFill>
                  <w14:solidFill>
                    <w14:schemeClr w14:val="tx1"/>
                  </w14:solidFill>
                </w14:textFill>
              </w:rPr>
            </w:pPr>
          </w:p>
        </w:tc>
        <w:tc>
          <w:tcPr>
            <w:tcW w:w="594" w:type="dxa"/>
            <w:vAlign w:val="center"/>
          </w:tcPr>
          <w:p>
            <w:pPr>
              <w:spacing w:line="276" w:lineRule="auto"/>
              <w:rPr>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倒车自动摄像显示屏</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医疗舱原厂独立控制空调（出风</w:t>
            </w:r>
            <w:r>
              <w:rPr>
                <w:color w:val="000000" w:themeColor="text1"/>
                <w:szCs w:val="21"/>
                <w:highlight w:val="none"/>
                <w14:textFill>
                  <w14:solidFill>
                    <w14:schemeClr w14:val="tx1"/>
                  </w14:solidFill>
                </w14:textFill>
              </w:rPr>
              <w:t>口重新设计）</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医疗舱安装通风系统（</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套）</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车顶外左右两侧救护车外场用LED照明灯各</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盏</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车顶尾部安装外场用LED照明灯</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盏</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Style w:val="301"/>
                <w:rFonts w:hint="eastAsia"/>
                <w:color w:val="000000" w:themeColor="text1"/>
                <w:szCs w:val="21"/>
                <w:highlight w:val="none"/>
                <w14:textFill>
                  <w14:solidFill>
                    <w14:schemeClr w14:val="tx1"/>
                  </w14:solidFill>
                </w14:textFill>
              </w:rPr>
              <w:t>医疗舱及乘员舱内2级可调亮度LED灯具照明，照明灯与车顶内饰完美结合，同时便于拆卸维修。可移动无影射灯（2盏）、计时消毒紫外光灯（1盏，经原车PSM控制，提供PSM模块逻辑编程控制图</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可转动LED射灯（</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盏）</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消毒紫外光灯（</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盏）</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五</w:t>
            </w:r>
          </w:p>
        </w:tc>
        <w:tc>
          <w:tcPr>
            <w:tcW w:w="4067"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中央电源分配系统</w:t>
            </w:r>
          </w:p>
        </w:tc>
        <w:tc>
          <w:tcPr>
            <w:tcW w:w="3366" w:type="dxa"/>
            <w:vAlign w:val="center"/>
          </w:tcPr>
          <w:p>
            <w:pPr>
              <w:spacing w:line="276" w:lineRule="auto"/>
              <w:rPr>
                <w:b/>
                <w:bCs/>
                <w:color w:val="000000" w:themeColor="text1"/>
                <w:szCs w:val="21"/>
                <w:highlight w:val="none"/>
                <w14:textFill>
                  <w14:solidFill>
                    <w14:schemeClr w14:val="tx1"/>
                  </w14:solidFill>
                </w14:textFill>
              </w:rPr>
            </w:pPr>
          </w:p>
        </w:tc>
        <w:tc>
          <w:tcPr>
            <w:tcW w:w="867" w:type="dxa"/>
            <w:vAlign w:val="center"/>
          </w:tcPr>
          <w:p>
            <w:pPr>
              <w:spacing w:line="276" w:lineRule="auto"/>
              <w:rPr>
                <w:b/>
                <w:bCs/>
                <w:color w:val="000000" w:themeColor="text1"/>
                <w:szCs w:val="21"/>
                <w:highlight w:val="none"/>
                <w14:textFill>
                  <w14:solidFill>
                    <w14:schemeClr w14:val="tx1"/>
                  </w14:solidFill>
                </w14:textFill>
              </w:rPr>
            </w:pPr>
          </w:p>
        </w:tc>
        <w:tc>
          <w:tcPr>
            <w:tcW w:w="594" w:type="dxa"/>
            <w:vAlign w:val="center"/>
          </w:tcPr>
          <w:p>
            <w:pPr>
              <w:spacing w:line="276" w:lineRule="auto"/>
              <w:rPr>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智能电源管理系统（管理全车用电、自动充电、保障发动机电池随时有充足的电量启动车辆）配套设备用电池</w:t>
            </w:r>
            <w:r>
              <w:rPr>
                <w:color w:val="000000" w:themeColor="text1"/>
                <w:szCs w:val="21"/>
                <w:highlight w:val="none"/>
                <w14:textFill>
                  <w14:solidFill>
                    <w14:schemeClr w14:val="tx1"/>
                  </w14:solidFill>
                </w14:textFill>
              </w:rPr>
              <w:t>12V 88A</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驾驶室内微电脑中央控制器</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p>
        </w:tc>
        <w:tc>
          <w:tcPr>
            <w:tcW w:w="4067" w:type="dxa"/>
            <w:vAlign w:val="center"/>
          </w:tcPr>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15m</w:t>
            </w:r>
            <w:r>
              <w:rPr>
                <w:rFonts w:hint="eastAsia"/>
                <w:color w:val="000000" w:themeColor="text1"/>
                <w:szCs w:val="21"/>
                <w:highlight w:val="none"/>
                <w14:textFill>
                  <w14:solidFill>
                    <w14:schemeClr w14:val="tx1"/>
                  </w14:solidFill>
                </w14:textFill>
              </w:rPr>
              <w:t>长移动电缆，连接</w:t>
            </w:r>
            <w:r>
              <w:rPr>
                <w:color w:val="000000" w:themeColor="text1"/>
                <w:szCs w:val="21"/>
                <w:highlight w:val="none"/>
                <w14:textFill>
                  <w14:solidFill>
                    <w14:schemeClr w14:val="tx1"/>
                  </w14:solidFill>
                </w14:textFill>
              </w:rPr>
              <w:t>220V/15A</w:t>
            </w:r>
            <w:r>
              <w:rPr>
                <w:rFonts w:hint="eastAsia"/>
                <w:color w:val="000000" w:themeColor="text1"/>
                <w:szCs w:val="21"/>
                <w:highlight w:val="none"/>
                <w14:textFill>
                  <w14:solidFill>
                    <w14:schemeClr w14:val="tx1"/>
                  </w14:solidFill>
                </w14:textFill>
              </w:rPr>
              <w:t>外接电源插头</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p>
        </w:tc>
        <w:tc>
          <w:tcPr>
            <w:tcW w:w="4067" w:type="dxa"/>
            <w:vAlign w:val="center"/>
          </w:tcPr>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220V/15A</w:t>
            </w:r>
            <w:r>
              <w:rPr>
                <w:rFonts w:hint="eastAsia"/>
                <w:color w:val="000000" w:themeColor="text1"/>
                <w:szCs w:val="21"/>
                <w:highlight w:val="none"/>
                <w14:textFill>
                  <w14:solidFill>
                    <w14:schemeClr w14:val="tx1"/>
                  </w14:solidFill>
                </w14:textFill>
              </w:rPr>
              <w:t>防水、带防护盖的中国规格外接电源插座</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医疗舱内安装3个</w:t>
            </w:r>
            <w:r>
              <w:rPr>
                <w:color w:val="000000" w:themeColor="text1"/>
                <w:szCs w:val="21"/>
                <w:highlight w:val="none"/>
                <w14:textFill>
                  <w14:solidFill>
                    <w14:schemeClr w14:val="tx1"/>
                  </w14:solidFill>
                </w14:textFill>
              </w:rPr>
              <w:t>220V</w:t>
            </w:r>
            <w:r>
              <w:rPr>
                <w:rFonts w:hint="eastAsia"/>
                <w:color w:val="000000" w:themeColor="text1"/>
                <w:szCs w:val="21"/>
                <w:highlight w:val="none"/>
                <w14:textFill>
                  <w14:solidFill>
                    <w14:schemeClr w14:val="tx1"/>
                  </w14:solidFill>
                </w14:textFill>
              </w:rPr>
              <w:t>插座</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医疗舱安装</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个</w:t>
            </w:r>
            <w:r>
              <w:rPr>
                <w:color w:val="000000" w:themeColor="text1"/>
                <w:szCs w:val="21"/>
                <w:highlight w:val="none"/>
                <w14:textFill>
                  <w14:solidFill>
                    <w14:schemeClr w14:val="tx1"/>
                  </w14:solidFill>
                </w14:textFill>
              </w:rPr>
              <w:t>12V</w:t>
            </w:r>
            <w:r>
              <w:rPr>
                <w:rFonts w:hint="eastAsia"/>
                <w:color w:val="000000" w:themeColor="text1"/>
                <w:szCs w:val="21"/>
                <w:highlight w:val="none"/>
                <w14:textFill>
                  <w14:solidFill>
                    <w14:schemeClr w14:val="tx1"/>
                  </w14:solidFill>
                </w14:textFill>
              </w:rPr>
              <w:t>插座</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六</w:t>
            </w:r>
          </w:p>
        </w:tc>
        <w:tc>
          <w:tcPr>
            <w:tcW w:w="4067"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紧急警报系统</w:t>
            </w:r>
          </w:p>
        </w:tc>
        <w:tc>
          <w:tcPr>
            <w:tcW w:w="3366" w:type="dxa"/>
            <w:vAlign w:val="center"/>
          </w:tcPr>
          <w:p>
            <w:pPr>
              <w:spacing w:line="276" w:lineRule="auto"/>
              <w:rPr>
                <w:b/>
                <w:bCs/>
                <w:color w:val="000000" w:themeColor="text1"/>
                <w:szCs w:val="21"/>
                <w:highlight w:val="none"/>
                <w14:textFill>
                  <w14:solidFill>
                    <w14:schemeClr w14:val="tx1"/>
                  </w14:solidFill>
                </w14:textFill>
              </w:rPr>
            </w:pPr>
          </w:p>
        </w:tc>
        <w:tc>
          <w:tcPr>
            <w:tcW w:w="867" w:type="dxa"/>
            <w:vAlign w:val="center"/>
          </w:tcPr>
          <w:p>
            <w:pPr>
              <w:spacing w:line="276" w:lineRule="auto"/>
              <w:rPr>
                <w:b/>
                <w:bCs/>
                <w:color w:val="000000" w:themeColor="text1"/>
                <w:szCs w:val="21"/>
                <w:highlight w:val="none"/>
                <w14:textFill>
                  <w14:solidFill>
                    <w14:schemeClr w14:val="tx1"/>
                  </w14:solidFill>
                </w14:textFill>
              </w:rPr>
            </w:pPr>
          </w:p>
        </w:tc>
        <w:tc>
          <w:tcPr>
            <w:tcW w:w="594" w:type="dxa"/>
            <w:vAlign w:val="center"/>
          </w:tcPr>
          <w:p>
            <w:pPr>
              <w:spacing w:line="276" w:lineRule="auto"/>
              <w:rPr>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驾驶室安装警报、警灯控制按扭</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车顶安装警报器：标准救护车警报声（</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套）</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p>
        </w:tc>
        <w:tc>
          <w:tcPr>
            <w:tcW w:w="4067" w:type="dxa"/>
            <w:vAlign w:val="center"/>
          </w:tcPr>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w:t>
            </w:r>
            <w:r>
              <w:rPr>
                <w:rFonts w:hint="eastAsia"/>
                <w:color w:val="000000" w:themeColor="text1"/>
                <w:szCs w:val="21"/>
                <w:highlight w:val="none"/>
                <w14:textFill>
                  <w14:solidFill>
                    <w14:schemeClr w14:val="tx1"/>
                  </w14:solidFill>
                </w14:textFill>
              </w:rPr>
              <w:t>车外扩音器内置于警报器内（</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套）</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车头安装</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盏</w:t>
            </w:r>
            <w:r>
              <w:rPr>
                <w:color w:val="000000" w:themeColor="text1"/>
                <w:szCs w:val="21"/>
                <w:highlight w:val="none"/>
                <w14:textFill>
                  <w14:solidFill>
                    <w14:schemeClr w14:val="tx1"/>
                  </w14:solidFill>
                </w14:textFill>
              </w:rPr>
              <w:t>LED</w:t>
            </w:r>
            <w:r>
              <w:rPr>
                <w:rFonts w:hint="eastAsia"/>
                <w:color w:val="000000" w:themeColor="text1"/>
                <w:szCs w:val="21"/>
                <w:highlight w:val="none"/>
                <w14:textFill>
                  <w14:solidFill>
                    <w14:schemeClr w14:val="tx1"/>
                  </w14:solidFill>
                </w14:textFill>
              </w:rPr>
              <w:t>警蓝色闪灯</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车顶前部安装长排警蓝色双闪灯（</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盏）</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车顶后部左右安装</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盏</w:t>
            </w:r>
            <w:r>
              <w:rPr>
                <w:color w:val="000000" w:themeColor="text1"/>
                <w:szCs w:val="21"/>
                <w:highlight w:val="none"/>
                <w14:textFill>
                  <w14:solidFill>
                    <w14:schemeClr w14:val="tx1"/>
                  </w14:solidFill>
                </w14:textFill>
              </w:rPr>
              <w:t>LED</w:t>
            </w:r>
            <w:r>
              <w:rPr>
                <w:rFonts w:hint="eastAsia"/>
                <w:color w:val="000000" w:themeColor="text1"/>
                <w:szCs w:val="21"/>
                <w:highlight w:val="none"/>
                <w14:textFill>
                  <w14:solidFill>
                    <w14:schemeClr w14:val="tx1"/>
                  </w14:solidFill>
                </w14:textFill>
              </w:rPr>
              <w:t>蓝色警灯</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车顶尾部安装</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盏</w:t>
            </w:r>
            <w:r>
              <w:rPr>
                <w:color w:val="000000" w:themeColor="text1"/>
                <w:szCs w:val="21"/>
                <w:highlight w:val="none"/>
                <w14:textFill>
                  <w14:solidFill>
                    <w14:schemeClr w14:val="tx1"/>
                  </w14:solidFill>
                </w14:textFill>
              </w:rPr>
              <w:t>LED</w:t>
            </w:r>
            <w:r>
              <w:rPr>
                <w:rFonts w:hint="eastAsia"/>
                <w:color w:val="000000" w:themeColor="text1"/>
                <w:szCs w:val="21"/>
                <w:highlight w:val="none"/>
                <w14:textFill>
                  <w14:solidFill>
                    <w14:schemeClr w14:val="tx1"/>
                  </w14:solidFill>
                </w14:textFill>
              </w:rPr>
              <w:t>蓝色警灯</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▲警报及汽车喇叭共享互通，可通过原车方向盘中央喇叭按键编程切换警报声及汽车喇叭声</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六</w:t>
            </w:r>
          </w:p>
        </w:tc>
        <w:tc>
          <w:tcPr>
            <w:tcW w:w="4067" w:type="dxa"/>
            <w:vAlign w:val="center"/>
          </w:tcPr>
          <w:p>
            <w:pPr>
              <w:spacing w:line="276" w:lineRule="auto"/>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医疗舱内装置</w:t>
            </w:r>
          </w:p>
        </w:tc>
        <w:tc>
          <w:tcPr>
            <w:tcW w:w="3366" w:type="dxa"/>
            <w:vAlign w:val="center"/>
          </w:tcPr>
          <w:p>
            <w:pPr>
              <w:spacing w:line="276" w:lineRule="auto"/>
              <w:rPr>
                <w:b/>
                <w:bCs/>
                <w:color w:val="000000" w:themeColor="text1"/>
                <w:szCs w:val="21"/>
                <w:highlight w:val="none"/>
                <w14:textFill>
                  <w14:solidFill>
                    <w14:schemeClr w14:val="tx1"/>
                  </w14:solidFill>
                </w14:textFill>
              </w:rPr>
            </w:pPr>
          </w:p>
        </w:tc>
        <w:tc>
          <w:tcPr>
            <w:tcW w:w="867" w:type="dxa"/>
            <w:vAlign w:val="center"/>
          </w:tcPr>
          <w:p>
            <w:pPr>
              <w:spacing w:line="276" w:lineRule="auto"/>
              <w:rPr>
                <w:b/>
                <w:bCs/>
                <w:color w:val="000000" w:themeColor="text1"/>
                <w:szCs w:val="21"/>
                <w:highlight w:val="none"/>
                <w14:textFill>
                  <w14:solidFill>
                    <w14:schemeClr w14:val="tx1"/>
                  </w14:solidFill>
                </w14:textFill>
              </w:rPr>
            </w:pPr>
          </w:p>
        </w:tc>
        <w:tc>
          <w:tcPr>
            <w:tcW w:w="594" w:type="dxa"/>
            <w:vAlign w:val="center"/>
          </w:tcPr>
          <w:p>
            <w:pPr>
              <w:spacing w:line="276" w:lineRule="auto"/>
              <w:rPr>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医疗舱与抢救舱免提对讲系统</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驾驶室与医疗舱安装分隔墙，分开前后车厢，分隔墙上有一个玻璃窗，窗户透明</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医疗舱右侧安装可坐</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人的病员躺椅</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张，安装安全带</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4</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医疗舱左侧安装一套医药柜、器械柜的橱柜组合（汽车专用抽屉锁）</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5</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▲10升氧气瓶</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个</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及储藏柜，配备手动氧气切换器，可根据2个氧气瓶的使用情况快速转换</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6</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内饰：包括医疗舱两边的墙壁、门、车顶用轻质保温材料及阻燃、防紫外线、耐冲击的高分子复合材料、一次真空吸塑成型内饰以防变形及霉变。地板采用进口蓝灰色耐酸、碱、防火、防滑地板，四周凸起包边以防灰尘的积累及防滑，方便冲洗。折边过渡包角，避免磕碰受伤。（医疗舱全部内饰不得</w:t>
            </w:r>
            <w:r>
              <w:rPr>
                <w:color w:val="000000" w:themeColor="text1"/>
                <w:szCs w:val="21"/>
                <w:highlight w:val="none"/>
                <w14:textFill>
                  <w14:solidFill>
                    <w14:schemeClr w14:val="tx1"/>
                  </w14:solidFill>
                </w14:textFill>
              </w:rPr>
              <w:t>使</w:t>
            </w:r>
            <w:r>
              <w:rPr>
                <w:rFonts w:hint="eastAsia"/>
                <w:color w:val="000000" w:themeColor="text1"/>
                <w:szCs w:val="21"/>
                <w:highlight w:val="none"/>
                <w14:textFill>
                  <w14:solidFill>
                    <w14:schemeClr w14:val="tx1"/>
                  </w14:solidFill>
                </w14:textFill>
              </w:rPr>
              <w:t>用地毯、布面和纤维类材料），非玻璃钢材质。</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p>
        </w:tc>
        <w:tc>
          <w:tcPr>
            <w:tcW w:w="4067" w:type="dxa"/>
            <w:vAlign w:val="center"/>
          </w:tcPr>
          <w:p>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车辆内饰防火性能应符合GB8410－</w:t>
            </w:r>
            <w:r>
              <w:rPr>
                <w:color w:val="000000" w:themeColor="text1"/>
                <w:szCs w:val="21"/>
                <w:highlight w:val="none"/>
                <w14:textFill>
                  <w14:solidFill>
                    <w14:schemeClr w14:val="tx1"/>
                  </w14:solidFill>
                </w14:textFill>
              </w:rPr>
              <w:t>2006</w:t>
            </w:r>
            <w:r>
              <w:rPr>
                <w:rFonts w:hint="eastAsia"/>
                <w:color w:val="000000" w:themeColor="text1"/>
                <w:szCs w:val="21"/>
                <w:highlight w:val="none"/>
                <w14:textFill>
                  <w14:solidFill>
                    <w14:schemeClr w14:val="tx1"/>
                  </w14:solidFill>
                </w14:textFill>
              </w:rPr>
              <w:t>《汽车内饰材料的燃烧特性》的要求</w:t>
            </w:r>
          </w:p>
        </w:tc>
        <w:tc>
          <w:tcPr>
            <w:tcW w:w="3366" w:type="dxa"/>
            <w:vAlign w:val="center"/>
          </w:tcPr>
          <w:p>
            <w:pPr>
              <w:rPr>
                <w:color w:val="000000" w:themeColor="text1"/>
                <w:szCs w:val="21"/>
                <w:highlight w:val="none"/>
                <w14:textFill>
                  <w14:solidFill>
                    <w14:schemeClr w14:val="tx1"/>
                  </w14:solidFill>
                </w14:textFill>
              </w:rPr>
            </w:pPr>
          </w:p>
        </w:tc>
        <w:tc>
          <w:tcPr>
            <w:tcW w:w="867" w:type="dxa"/>
            <w:vAlign w:val="center"/>
          </w:tcPr>
          <w:p>
            <w:pPr>
              <w:rPr>
                <w:color w:val="000000" w:themeColor="text1"/>
                <w:szCs w:val="21"/>
                <w:highlight w:val="none"/>
                <w14:textFill>
                  <w14:solidFill>
                    <w14:schemeClr w14:val="tx1"/>
                  </w14:solidFill>
                </w14:textFill>
              </w:rPr>
            </w:pPr>
          </w:p>
        </w:tc>
        <w:tc>
          <w:tcPr>
            <w:tcW w:w="594" w:type="dxa"/>
            <w:vAlign w:val="center"/>
          </w:tcPr>
          <w:p>
            <w:pP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8</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医疗舱安装加强型暖气机</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9</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医疗舱前侧翻转座椅（配安全带）</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0</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左侧设备柜（用于安装呼吸机，心电监护除颤仪、吸引器）三层式布置</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1</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医疗舱左边医疗柜子边沿高5cm</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2</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医疗舱右边安装一个有盖的废物桶</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3</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医疗舱顶部安装中央控制系统及一条安全扶手</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4</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医疗舱顶部安装二套可折起的输液瓶悬吊装置</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5</w:t>
            </w:r>
          </w:p>
        </w:tc>
        <w:tc>
          <w:tcPr>
            <w:tcW w:w="4067" w:type="dxa"/>
            <w:vAlign w:val="center"/>
          </w:tcPr>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2kg</w:t>
            </w:r>
            <w:r>
              <w:rPr>
                <w:rFonts w:hint="eastAsia"/>
                <w:color w:val="000000" w:themeColor="text1"/>
                <w:szCs w:val="21"/>
                <w:highlight w:val="none"/>
                <w14:textFill>
                  <w14:solidFill>
                    <w14:schemeClr w14:val="tx1"/>
                  </w14:solidFill>
                </w14:textFill>
              </w:rPr>
              <w:t>灭火器及支撑架（</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个）</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6</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车身腰部及顶部贴装彩带（外观按深圳地区院前急救统一标识）</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7</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铝合金铲式担架1套</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8</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楼梯担架1套</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b/>
                <w:bCs/>
                <w:color w:val="000000" w:themeColor="text1"/>
                <w:sz w:val="24"/>
                <w:highlight w:val="none"/>
                <w14:textFill>
                  <w14:solidFill>
                    <w14:schemeClr w14:val="tx1"/>
                  </w14:solidFill>
                </w14:textFill>
              </w:rPr>
              <w:t>9</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内外科急救箱各1套</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b/>
                <w:bCs/>
                <w:color w:val="000000" w:themeColor="text1"/>
                <w:sz w:val="24"/>
                <w:highlight w:val="none"/>
                <w14:textFill>
                  <w14:solidFill>
                    <w14:schemeClr w14:val="tx1"/>
                  </w14:solidFill>
                </w14:textFill>
              </w:rPr>
              <w:t>0</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订制自动上车担架底座（</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套）</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b/>
                <w:bCs/>
                <w:color w:val="000000" w:themeColor="text1"/>
                <w:sz w:val="24"/>
                <w:highlight w:val="none"/>
                <w14:textFill>
                  <w14:solidFill>
                    <w14:schemeClr w14:val="tx1"/>
                  </w14:solidFill>
                </w14:textFill>
              </w:rPr>
              <w:t>1</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自动上车担架1套：</w:t>
            </w:r>
          </w:p>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w:t>
            </w:r>
            <w:r>
              <w:rPr>
                <w:rFonts w:hint="eastAsia"/>
                <w:color w:val="000000" w:themeColor="text1"/>
                <w:szCs w:val="21"/>
                <w:highlight w:val="none"/>
                <w14:textFill>
                  <w14:solidFill>
                    <w14:schemeClr w14:val="tx1"/>
                  </w14:solidFill>
                </w14:textFill>
              </w:rPr>
              <w:t>1、可单人操控的自动折叠上下车担架</w:t>
            </w:r>
          </w:p>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w:t>
            </w:r>
            <w:r>
              <w:rPr>
                <w:rFonts w:hint="eastAsia"/>
                <w:color w:val="000000" w:themeColor="text1"/>
                <w:szCs w:val="21"/>
                <w:highlight w:val="none"/>
                <w14:textFill>
                  <w14:solidFill>
                    <w14:schemeClr w14:val="tx1"/>
                  </w14:solidFill>
                </w14:textFill>
              </w:rPr>
              <w:t>2、最舒适的担架，采用航空轮胎技术，宽轮直径≥190mm，长度≥1970mm、宽度≥570mm、自重≤32KG。</w:t>
            </w:r>
          </w:p>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w:t>
            </w:r>
            <w:r>
              <w:rPr>
                <w:rFonts w:hint="eastAsia"/>
                <w:color w:val="000000" w:themeColor="text1"/>
                <w:szCs w:val="21"/>
                <w:highlight w:val="none"/>
                <w14:textFill>
                  <w14:solidFill>
                    <w14:schemeClr w14:val="tx1"/>
                  </w14:solidFill>
                </w14:textFill>
              </w:rPr>
              <w:t>3、带有一块一次模压成型的病人固定板，安装于担架金属主体结构之上，病人床垫之下，可以避免骨折病人在转运过程中的二次伤害。</w:t>
            </w:r>
          </w:p>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w:t>
            </w:r>
            <w:r>
              <w:rPr>
                <w:rFonts w:hint="eastAsia"/>
                <w:color w:val="000000" w:themeColor="text1"/>
                <w:szCs w:val="21"/>
                <w:highlight w:val="none"/>
                <w14:textFill>
                  <w14:solidFill>
                    <w14:schemeClr w14:val="tx1"/>
                  </w14:solidFill>
                </w14:textFill>
              </w:rPr>
              <w:t>4、配置前固定器、后固定器、两段式床垫、可调节背板、安全带、后轮可调节轮锁</w:t>
            </w:r>
          </w:p>
          <w:p>
            <w:pPr>
              <w:spacing w:line="276"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21.</w:t>
            </w:r>
            <w:r>
              <w:rPr>
                <w:rFonts w:hint="eastAsia"/>
                <w:color w:val="000000" w:themeColor="text1"/>
                <w:szCs w:val="21"/>
                <w:highlight w:val="none"/>
                <w14:textFill>
                  <w14:solidFill>
                    <w14:schemeClr w14:val="tx1"/>
                  </w14:solidFill>
                </w14:textFill>
              </w:rPr>
              <w:t>5、上车高度可调节，适用于450-650mm医疗舱高度的不同救护车</w:t>
            </w:r>
          </w:p>
          <w:p>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▲6、产品需具备EN13485：2012医疗产品质量认证证书、欧盟freesales证书。投标人需出具该产品制造商或中国总代理商针对本项目的售后服务证明原件。</w:t>
            </w:r>
          </w:p>
        </w:tc>
        <w:tc>
          <w:tcPr>
            <w:tcW w:w="3366" w:type="dxa"/>
            <w:vAlign w:val="center"/>
          </w:tcPr>
          <w:p>
            <w:pPr>
              <w:spacing w:line="276" w:lineRule="auto"/>
              <w:rPr>
                <w:color w:val="000000" w:themeColor="text1"/>
                <w:szCs w:val="21"/>
                <w:highlight w:val="none"/>
                <w14:textFill>
                  <w14:solidFill>
                    <w14:schemeClr w14:val="tx1"/>
                  </w14:solidFill>
                </w14:textFill>
              </w:rPr>
            </w:pPr>
          </w:p>
        </w:tc>
        <w:tc>
          <w:tcPr>
            <w:tcW w:w="867" w:type="dxa"/>
            <w:vAlign w:val="center"/>
          </w:tcPr>
          <w:p>
            <w:pPr>
              <w:spacing w:line="276" w:lineRule="auto"/>
              <w:rPr>
                <w:color w:val="000000" w:themeColor="text1"/>
                <w:szCs w:val="21"/>
                <w:highlight w:val="none"/>
                <w14:textFill>
                  <w14:solidFill>
                    <w14:schemeClr w14:val="tx1"/>
                  </w14:solidFill>
                </w14:textFill>
              </w:rPr>
            </w:pPr>
          </w:p>
        </w:tc>
        <w:tc>
          <w:tcPr>
            <w:tcW w:w="594" w:type="dxa"/>
            <w:vAlign w:val="center"/>
          </w:tcPr>
          <w:p>
            <w:pPr>
              <w:spacing w:line="276" w:lineRule="auto"/>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b/>
                <w:bCs/>
                <w:color w:val="000000" w:themeColor="text1"/>
                <w:sz w:val="24"/>
                <w:highlight w:val="none"/>
                <w14:textFill>
                  <w14:solidFill>
                    <w14:schemeClr w14:val="tx1"/>
                  </w14:solidFill>
                </w14:textFill>
              </w:rPr>
              <w:t>1</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整个医疗舱任何部分均不含木质成份的材料。</w:t>
            </w:r>
          </w:p>
        </w:tc>
        <w:tc>
          <w:tcPr>
            <w:tcW w:w="3366" w:type="dxa"/>
            <w:vAlign w:val="center"/>
          </w:tcPr>
          <w:p>
            <w:pPr>
              <w:spacing w:line="276" w:lineRule="auto"/>
              <w:rPr>
                <w:b/>
                <w:bCs/>
                <w:color w:val="000000" w:themeColor="text1"/>
                <w:szCs w:val="21"/>
                <w:highlight w:val="none"/>
                <w14:textFill>
                  <w14:solidFill>
                    <w14:schemeClr w14:val="tx1"/>
                  </w14:solidFill>
                </w14:textFill>
              </w:rPr>
            </w:pPr>
          </w:p>
        </w:tc>
        <w:tc>
          <w:tcPr>
            <w:tcW w:w="867" w:type="dxa"/>
            <w:vAlign w:val="center"/>
          </w:tcPr>
          <w:p>
            <w:pPr>
              <w:spacing w:line="276" w:lineRule="auto"/>
              <w:rPr>
                <w:b/>
                <w:bCs/>
                <w:color w:val="000000" w:themeColor="text1"/>
                <w:szCs w:val="21"/>
                <w:highlight w:val="none"/>
                <w14:textFill>
                  <w14:solidFill>
                    <w14:schemeClr w14:val="tx1"/>
                  </w14:solidFill>
                </w14:textFill>
              </w:rPr>
            </w:pPr>
          </w:p>
        </w:tc>
        <w:tc>
          <w:tcPr>
            <w:tcW w:w="594" w:type="dxa"/>
            <w:vAlign w:val="center"/>
          </w:tcPr>
          <w:p>
            <w:pPr>
              <w:spacing w:line="276" w:lineRule="auto"/>
              <w:rPr>
                <w:b/>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27" w:type="dxa"/>
            <w:vAlign w:val="center"/>
          </w:tcPr>
          <w:p>
            <w:pPr>
              <w:spacing w:line="276"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2</w:t>
            </w:r>
            <w:r>
              <w:rPr>
                <w:b/>
                <w:bCs/>
                <w:color w:val="000000" w:themeColor="text1"/>
                <w:sz w:val="24"/>
                <w:highlight w:val="none"/>
                <w14:textFill>
                  <w14:solidFill>
                    <w14:schemeClr w14:val="tx1"/>
                  </w14:solidFill>
                </w14:textFill>
              </w:rPr>
              <w:t>3</w:t>
            </w:r>
          </w:p>
        </w:tc>
        <w:tc>
          <w:tcPr>
            <w:tcW w:w="4067" w:type="dxa"/>
            <w:vAlign w:val="center"/>
          </w:tcPr>
          <w:p>
            <w:pPr>
              <w:spacing w:line="276" w:lineRule="auto"/>
              <w:rPr>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所投车辆必须符合国家环境保护部国VI环保要求，符合深圳地区上牌要求。</w:t>
            </w:r>
          </w:p>
        </w:tc>
        <w:tc>
          <w:tcPr>
            <w:tcW w:w="3366" w:type="dxa"/>
            <w:vAlign w:val="center"/>
          </w:tcPr>
          <w:p>
            <w:pPr>
              <w:spacing w:line="276" w:lineRule="auto"/>
              <w:rPr>
                <w:b/>
                <w:bCs/>
                <w:color w:val="000000" w:themeColor="text1"/>
                <w:szCs w:val="21"/>
                <w:highlight w:val="none"/>
                <w14:textFill>
                  <w14:solidFill>
                    <w14:schemeClr w14:val="tx1"/>
                  </w14:solidFill>
                </w14:textFill>
              </w:rPr>
            </w:pPr>
          </w:p>
        </w:tc>
        <w:tc>
          <w:tcPr>
            <w:tcW w:w="867" w:type="dxa"/>
            <w:vAlign w:val="center"/>
          </w:tcPr>
          <w:p>
            <w:pPr>
              <w:spacing w:line="276" w:lineRule="auto"/>
              <w:rPr>
                <w:b/>
                <w:bCs/>
                <w:color w:val="000000" w:themeColor="text1"/>
                <w:szCs w:val="21"/>
                <w:highlight w:val="none"/>
                <w14:textFill>
                  <w14:solidFill>
                    <w14:schemeClr w14:val="tx1"/>
                  </w14:solidFill>
                </w14:textFill>
              </w:rPr>
            </w:pPr>
          </w:p>
        </w:tc>
        <w:tc>
          <w:tcPr>
            <w:tcW w:w="594" w:type="dxa"/>
            <w:vAlign w:val="center"/>
          </w:tcPr>
          <w:p>
            <w:pPr>
              <w:spacing w:line="276" w:lineRule="auto"/>
              <w:rPr>
                <w:b/>
                <w:bCs/>
                <w:color w:val="000000" w:themeColor="text1"/>
                <w:szCs w:val="21"/>
                <w:highlight w:val="none"/>
                <w14:textFill>
                  <w14:solidFill>
                    <w14:schemeClr w14:val="tx1"/>
                  </w14:solidFill>
                </w14:textFill>
              </w:rPr>
            </w:pPr>
          </w:p>
        </w:tc>
      </w:tr>
    </w:tbl>
    <w:p>
      <w:pPr>
        <w:tabs>
          <w:tab w:val="clear" w:pos="426"/>
        </w:tabs>
        <w:spacing w:line="240" w:lineRule="auto"/>
        <w:rPr>
          <w:rFonts w:cs="Arial"/>
          <w:bCs/>
          <w:color w:val="000000" w:themeColor="text1"/>
          <w:szCs w:val="21"/>
          <w:highlight w:val="none"/>
          <w14:textFill>
            <w14:solidFill>
              <w14:schemeClr w14:val="tx1"/>
            </w14:solidFill>
          </w14:textFill>
        </w:rPr>
      </w:pPr>
      <w:bookmarkStart w:id="87" w:name="_Hlk535526122"/>
      <w:r>
        <w:rPr>
          <w:rFonts w:hint="eastAsia" w:cs="Arial"/>
          <w:bCs/>
          <w:color w:val="000000" w:themeColor="text1"/>
          <w:szCs w:val="21"/>
          <w:highlight w:val="none"/>
          <w14:textFill>
            <w14:solidFill>
              <w14:schemeClr w14:val="tx1"/>
            </w14:solidFill>
          </w14:textFill>
        </w:rPr>
        <w:t>备注：</w:t>
      </w:r>
    </w:p>
    <w:p>
      <w:pPr>
        <w:tabs>
          <w:tab w:val="clear" w:pos="426"/>
        </w:tabs>
        <w:spacing w:line="240" w:lineRule="auto"/>
        <w:ind w:firstLine="420" w:firstLineChars="200"/>
        <w:rPr>
          <w:rFonts w:cs="Arial"/>
          <w:b/>
          <w:color w:val="000000" w:themeColor="text1"/>
          <w:szCs w:val="21"/>
          <w:highlight w:val="none"/>
          <w14:textFill>
            <w14:solidFill>
              <w14:schemeClr w14:val="tx1"/>
            </w14:solidFill>
          </w14:textFill>
        </w:rPr>
      </w:pPr>
      <w:r>
        <w:rPr>
          <w:rFonts w:cs="Arial"/>
          <w:bCs/>
          <w:color w:val="000000" w:themeColor="text1"/>
          <w:szCs w:val="21"/>
          <w:highlight w:val="none"/>
          <w14:textFill>
            <w14:solidFill>
              <w14:schemeClr w14:val="tx1"/>
            </w14:solidFill>
          </w14:textFill>
        </w:rPr>
        <w:t>1</w:t>
      </w:r>
      <w:r>
        <w:rPr>
          <w:rFonts w:cs="Arial"/>
          <w:b/>
          <w:color w:val="000000" w:themeColor="text1"/>
          <w:szCs w:val="21"/>
          <w:highlight w:val="none"/>
          <w14:textFill>
            <w14:solidFill>
              <w14:schemeClr w14:val="tx1"/>
            </w14:solidFill>
          </w14:textFill>
        </w:rPr>
        <w:t>.“招标技术要求”一栏应填写招标文件第三章“具体技术要求”的内容，"投标技术响应"一</w:t>
      </w:r>
      <w:r>
        <w:rPr>
          <w:rFonts w:hint="eastAsia" w:cs="Arial"/>
          <w:b/>
          <w:color w:val="000000" w:themeColor="text1"/>
          <w:szCs w:val="21"/>
          <w:highlight w:val="none"/>
          <w14:textFill>
            <w14:solidFill>
              <w14:schemeClr w14:val="tx1"/>
            </w14:solidFill>
          </w14:textFill>
        </w:rPr>
        <w:t>栏必须详细填写投标产品的具体参数，不得照搬照抄招标文件的技术要求，否则评标委员会有权认定为不合格响应，“偏离情况”一栏应如实填写“正偏离”、“负偏离”或“无偏离”。</w:t>
      </w:r>
    </w:p>
    <w:p>
      <w:pPr>
        <w:tabs>
          <w:tab w:val="clear" w:pos="426"/>
        </w:tabs>
        <w:spacing w:line="240" w:lineRule="auto"/>
        <w:ind w:firstLine="420" w:firstLineChars="200"/>
        <w:rPr>
          <w:rFonts w:cs="Arial"/>
          <w:bCs/>
          <w:color w:val="000000" w:themeColor="text1"/>
          <w:szCs w:val="21"/>
          <w:highlight w:val="none"/>
          <w14:textFill>
            <w14:solidFill>
              <w14:schemeClr w14:val="tx1"/>
            </w14:solidFill>
          </w14:textFill>
        </w:rPr>
      </w:pPr>
      <w:r>
        <w:rPr>
          <w:rFonts w:cs="Arial"/>
          <w:bCs/>
          <w:color w:val="000000" w:themeColor="text1"/>
          <w:szCs w:val="21"/>
          <w:highlight w:val="none"/>
          <w14:textFill>
            <w14:solidFill>
              <w14:schemeClr w14:val="tx1"/>
            </w14:solidFill>
          </w14:textFill>
        </w:rPr>
        <w:t>2.若“招标技术要求”要求对投标产品的技术参数提供相应的证明资料，以证明投标人响应的真实性，投标人应按照招标文件的要求提供证明资料（例如：制造商公布的产品说明书、或产品彩页、或我国政府机构出具的产品检验和核准证件等）。投标人应在"说明"一栏中列出技术参数的证明资料名称，并指明该证明资料在投标文件中的具体位置。</w:t>
      </w:r>
    </w:p>
    <w:p>
      <w:pPr>
        <w:tabs>
          <w:tab w:val="clear" w:pos="426"/>
        </w:tabs>
        <w:spacing w:line="240" w:lineRule="auto"/>
        <w:ind w:firstLine="420" w:firstLineChars="200"/>
        <w:rPr>
          <w:rFonts w:cs="Arial"/>
          <w:bCs/>
          <w:color w:val="000000" w:themeColor="text1"/>
          <w:szCs w:val="21"/>
          <w:highlight w:val="none"/>
          <w14:textFill>
            <w14:solidFill>
              <w14:schemeClr w14:val="tx1"/>
            </w14:solidFill>
          </w14:textFill>
        </w:rPr>
      </w:pPr>
      <w:r>
        <w:rPr>
          <w:rFonts w:hint="eastAsia" w:cs="Arial"/>
          <w:bCs/>
          <w:color w:val="000000" w:themeColor="text1"/>
          <w:szCs w:val="21"/>
          <w:highlight w:val="none"/>
          <w14:textFill>
            <w14:solidFill>
              <w14:schemeClr w14:val="tx1"/>
            </w14:solidFill>
          </w14:textFill>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pPr>
        <w:tabs>
          <w:tab w:val="clear" w:pos="426"/>
        </w:tabs>
        <w:spacing w:line="240" w:lineRule="auto"/>
        <w:ind w:firstLine="420" w:firstLineChars="200"/>
        <w:rPr>
          <w:rFonts w:cs="Arial"/>
          <w:bCs/>
          <w:color w:val="000000" w:themeColor="text1"/>
          <w:szCs w:val="21"/>
          <w:highlight w:val="none"/>
          <w14:textFill>
            <w14:solidFill>
              <w14:schemeClr w14:val="tx1"/>
            </w14:solidFill>
          </w14:textFill>
        </w:rPr>
      </w:pPr>
      <w:r>
        <w:rPr>
          <w:rFonts w:hint="eastAsia" w:cs="Arial"/>
          <w:bCs/>
          <w:color w:val="000000" w:themeColor="text1"/>
          <w:szCs w:val="21"/>
          <w:highlight w:val="none"/>
          <w14:textFill>
            <w14:solidFill>
              <w14:schemeClr w14:val="tx1"/>
            </w14:solidFill>
          </w14:textFill>
        </w:rPr>
        <w:t>3. 证明资料（均为原件复印件）的提供要求：</w:t>
      </w:r>
    </w:p>
    <w:p>
      <w:pPr>
        <w:tabs>
          <w:tab w:val="clear" w:pos="426"/>
        </w:tabs>
        <w:spacing w:line="240" w:lineRule="auto"/>
        <w:ind w:firstLine="420" w:firstLineChars="200"/>
        <w:rPr>
          <w:rFonts w:cs="Arial"/>
          <w:bCs/>
          <w:color w:val="000000" w:themeColor="text1"/>
          <w:szCs w:val="21"/>
          <w:highlight w:val="none"/>
          <w14:textFill>
            <w14:solidFill>
              <w14:schemeClr w14:val="tx1"/>
            </w14:solidFill>
          </w14:textFill>
        </w:rPr>
      </w:pPr>
      <w:r>
        <w:rPr>
          <w:rFonts w:hint="eastAsia" w:cs="Arial"/>
          <w:bCs/>
          <w:color w:val="000000" w:themeColor="text1"/>
          <w:szCs w:val="21"/>
          <w:highlight w:val="none"/>
          <w14:textFill>
            <w14:solidFill>
              <w14:schemeClr w14:val="tx1"/>
            </w14:solidFill>
          </w14:textFill>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纸质文件上被阅读、识别和判断；</w:t>
      </w:r>
    </w:p>
    <w:p>
      <w:pPr>
        <w:tabs>
          <w:tab w:val="clear" w:pos="426"/>
        </w:tabs>
        <w:spacing w:line="240" w:lineRule="auto"/>
        <w:ind w:firstLine="420" w:firstLineChars="200"/>
        <w:rPr>
          <w:rFonts w:cs="Arial"/>
          <w:bCs/>
          <w:color w:val="000000" w:themeColor="text1"/>
          <w:szCs w:val="21"/>
          <w:highlight w:val="none"/>
          <w14:textFill>
            <w14:solidFill>
              <w14:schemeClr w14:val="tx1"/>
            </w14:solidFill>
          </w14:textFill>
        </w:rPr>
      </w:pPr>
      <w:r>
        <w:rPr>
          <w:rFonts w:hint="eastAsia" w:cs="Arial"/>
          <w:bCs/>
          <w:color w:val="000000" w:themeColor="text1"/>
          <w:szCs w:val="21"/>
          <w:highlight w:val="none"/>
          <w14:textFill>
            <w14:solidFill>
              <w14:schemeClr w14:val="tx1"/>
            </w14:solidFill>
          </w14:textFill>
        </w:rPr>
        <w:t>（2）我国政府机构出具的产品检验和核准证件应为证件正面、背面和附件标注的全部具体内容；产品检验和核准证件的尺寸和清晰度应该能够被阅读、识别和判断。</w:t>
      </w:r>
    </w:p>
    <w:p>
      <w:pPr>
        <w:tabs>
          <w:tab w:val="clear" w:pos="426"/>
        </w:tabs>
        <w:spacing w:line="240" w:lineRule="auto"/>
        <w:ind w:firstLine="420" w:firstLineChars="200"/>
        <w:rPr>
          <w:rFonts w:cs="Arial"/>
          <w:bCs/>
          <w:color w:val="000000" w:themeColor="text1"/>
          <w:szCs w:val="21"/>
          <w:highlight w:val="none"/>
          <w14:textFill>
            <w14:solidFill>
              <w14:schemeClr w14:val="tx1"/>
            </w14:solidFill>
          </w14:textFill>
        </w:rPr>
      </w:pPr>
      <w:r>
        <w:rPr>
          <w:rFonts w:hint="eastAsia" w:cs="Arial"/>
          <w:bCs/>
          <w:color w:val="000000" w:themeColor="text1"/>
          <w:szCs w:val="21"/>
          <w:highlight w:val="none"/>
          <w14:textFill>
            <w14:solidFill>
              <w14:schemeClr w14:val="tx1"/>
            </w14:solidFill>
          </w14:textFill>
        </w:rPr>
        <w:t>（3）未达到以上提供要求的，评标委员会有权认定为不合格响应，其相关分数予以扣减。</w:t>
      </w:r>
    </w:p>
    <w:bookmarkEnd w:id="87"/>
    <w:p>
      <w:pPr>
        <w:tabs>
          <w:tab w:val="clear" w:pos="426"/>
        </w:tabs>
        <w:spacing w:line="520" w:lineRule="exact"/>
        <w:rPr>
          <w:color w:val="000000" w:themeColor="text1"/>
          <w:spacing w:val="4"/>
          <w:highlight w:val="none"/>
          <w:u w:val="single"/>
          <w14:textFill>
            <w14:solidFill>
              <w14:schemeClr w14:val="tx1"/>
            </w14:solidFill>
          </w14:textFill>
        </w:rPr>
      </w:pPr>
    </w:p>
    <w:p>
      <w:pPr>
        <w:tabs>
          <w:tab w:val="clear" w:pos="426"/>
        </w:tabs>
        <w:spacing w:line="520" w:lineRule="exact"/>
        <w:rPr>
          <w:color w:val="000000" w:themeColor="text1"/>
          <w:spacing w:val="4"/>
          <w:highlight w:val="none"/>
          <w:u w:val="single"/>
          <w14:textFill>
            <w14:solidFill>
              <w14:schemeClr w14:val="tx1"/>
            </w14:solidFill>
          </w14:textFill>
        </w:rPr>
      </w:pPr>
    </w:p>
    <w:p>
      <w:pPr>
        <w:numPr>
          <w:ilvl w:val="0"/>
          <w:numId w:val="25"/>
        </w:numPr>
        <w:adjustRightInd/>
        <w:snapToGrid/>
        <w:spacing w:before="280" w:after="290" w:line="377" w:lineRule="auto"/>
        <w:jc w:val="left"/>
        <w:outlineLvl w:val="3"/>
        <w:rPr>
          <w:b/>
          <w:color w:val="000000" w:themeColor="text1"/>
          <w:sz w:val="24"/>
          <w:highlight w:val="none"/>
          <w14:textFill>
            <w14:solidFill>
              <w14:schemeClr w14:val="tx1"/>
            </w14:solidFill>
          </w14:textFill>
        </w:rPr>
        <w:sectPr>
          <w:pgSz w:w="11906" w:h="16838"/>
          <w:pgMar w:top="1134" w:right="1134" w:bottom="1134" w:left="1418" w:header="851" w:footer="992" w:gutter="0"/>
          <w:cols w:space="425" w:num="1"/>
          <w:titlePg/>
          <w:docGrid w:linePitch="462" w:charSpace="0"/>
        </w:sectPr>
      </w:pPr>
      <w:bookmarkStart w:id="88" w:name="_Toc43264525"/>
      <w:r>
        <w:rPr>
          <w:color w:val="000000" w:themeColor="text1"/>
          <w:spacing w:val="4"/>
          <w:highlight w:val="none"/>
          <w:u w:val="single"/>
          <w14:textFill>
            <w14:solidFill>
              <w14:schemeClr w14:val="tx1"/>
            </w14:solidFill>
          </w14:textFill>
        </w:rPr>
        <w:br w:type="page"/>
      </w:r>
      <w:r>
        <w:rPr>
          <w:rFonts w:hint="eastAsia"/>
          <w:b/>
          <w:color w:val="000000" w:themeColor="text1"/>
          <w:sz w:val="24"/>
          <w:highlight w:val="none"/>
          <w14:textFill>
            <w14:solidFill>
              <w14:schemeClr w14:val="tx1"/>
            </w14:solidFill>
          </w14:textFill>
        </w:rPr>
        <w:t>整体方案和技术分析理解</w:t>
      </w:r>
    </w:p>
    <w:p>
      <w:pPr>
        <w:numPr>
          <w:ilvl w:val="0"/>
          <w:numId w:val="25"/>
        </w:numPr>
        <w:adjustRightInd/>
        <w:snapToGrid/>
        <w:spacing w:before="280" w:after="290" w:line="377" w:lineRule="auto"/>
        <w:outlineLvl w:val="3"/>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布置图、效果图</w:t>
      </w:r>
    </w:p>
    <w:p>
      <w:pPr>
        <w:tabs>
          <w:tab w:val="clear" w:pos="426"/>
        </w:tabs>
        <w:ind w:firstLine="424" w:firstLineChars="202"/>
        <w:rPr>
          <w:rFonts w:cs="Arial"/>
          <w:bCs/>
          <w:color w:val="000000" w:themeColor="text1"/>
          <w:szCs w:val="21"/>
          <w:highlight w:val="none"/>
          <w14:textFill>
            <w14:solidFill>
              <w14:schemeClr w14:val="tx1"/>
            </w14:solidFill>
          </w14:textFill>
        </w:rPr>
      </w:pPr>
    </w:p>
    <w:p>
      <w:pPr>
        <w:tabs>
          <w:tab w:val="clear" w:pos="426"/>
        </w:tabs>
        <w:ind w:firstLine="424" w:firstLineChars="202"/>
        <w:rPr>
          <w:rFonts w:cs="Arial"/>
          <w:bCs/>
          <w:color w:val="000000" w:themeColor="text1"/>
          <w:szCs w:val="21"/>
          <w:highlight w:val="none"/>
          <w14:textFill>
            <w14:solidFill>
              <w14:schemeClr w14:val="tx1"/>
            </w14:solidFill>
          </w14:textFill>
        </w:rPr>
      </w:pPr>
    </w:p>
    <w:p>
      <w:pPr>
        <w:tabs>
          <w:tab w:val="clear" w:pos="426"/>
        </w:tabs>
        <w:ind w:firstLine="424" w:firstLineChars="202"/>
        <w:rPr>
          <w:rFonts w:cs="Arial"/>
          <w:bCs/>
          <w:color w:val="000000" w:themeColor="text1"/>
          <w:szCs w:val="21"/>
          <w:highlight w:val="none"/>
          <w14:textFill>
            <w14:solidFill>
              <w14:schemeClr w14:val="tx1"/>
            </w14:solidFill>
          </w14:textFill>
        </w:rPr>
      </w:pPr>
    </w:p>
    <w:p>
      <w:pPr>
        <w:numPr>
          <w:ilvl w:val="0"/>
          <w:numId w:val="25"/>
        </w:numPr>
        <w:adjustRightInd/>
        <w:snapToGrid/>
        <w:spacing w:before="280" w:after="290" w:line="377" w:lineRule="auto"/>
        <w:outlineLvl w:val="3"/>
        <w:rPr>
          <w:b/>
          <w:color w:val="000000" w:themeColor="text1"/>
          <w:sz w:val="24"/>
          <w:highlight w:val="none"/>
          <w14:textFill>
            <w14:solidFill>
              <w14:schemeClr w14:val="tx1"/>
            </w14:solidFill>
          </w14:textFill>
        </w:rPr>
      </w:pPr>
      <w:r>
        <w:rPr>
          <w:rFonts w:cs="Arial"/>
          <w:bCs/>
          <w:color w:val="000000" w:themeColor="text1"/>
          <w:highlight w:val="none"/>
          <w14:textFill>
            <w14:solidFill>
              <w14:schemeClr w14:val="tx1"/>
            </w14:solidFill>
          </w14:textFill>
        </w:rPr>
        <w:br w:type="page"/>
      </w:r>
      <w:r>
        <w:rPr>
          <w:rFonts w:hint="eastAsia"/>
          <w:b/>
          <w:color w:val="000000" w:themeColor="text1"/>
          <w:sz w:val="24"/>
          <w:highlight w:val="none"/>
          <w14:textFill>
            <w14:solidFill>
              <w14:schemeClr w14:val="tx1"/>
            </w14:solidFill>
          </w14:textFill>
        </w:rPr>
        <w:t>产品质量保证</w:t>
      </w:r>
    </w:p>
    <w:p>
      <w:pPr>
        <w:pStyle w:val="20"/>
        <w:rPr>
          <w:color w:val="000000" w:themeColor="text1"/>
          <w:highlight w:val="none"/>
          <w14:textFill>
            <w14:solidFill>
              <w14:schemeClr w14:val="tx1"/>
            </w14:solidFill>
          </w14:textFill>
        </w:rPr>
      </w:pPr>
    </w:p>
    <w:p>
      <w:pPr>
        <w:numPr>
          <w:ilvl w:val="0"/>
          <w:numId w:val="25"/>
        </w:numPr>
        <w:adjustRightInd/>
        <w:snapToGrid/>
        <w:spacing w:before="280" w:after="290" w:line="377" w:lineRule="auto"/>
        <w:outlineLvl w:val="3"/>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维修服务机构情况</w:t>
      </w:r>
    </w:p>
    <w:p>
      <w:pPr>
        <w:tabs>
          <w:tab w:val="clear" w:pos="426"/>
        </w:tabs>
        <w:ind w:firstLine="420" w:firstLineChars="200"/>
        <w:rPr>
          <w:rFonts w:cs="Arial"/>
          <w:bCs/>
          <w:color w:val="000000" w:themeColor="text1"/>
          <w:szCs w:val="21"/>
          <w:highlight w:val="none"/>
          <w14:textFill>
            <w14:solidFill>
              <w14:schemeClr w14:val="tx1"/>
            </w14:solidFill>
          </w14:textFill>
        </w:rPr>
      </w:pPr>
    </w:p>
    <w:p>
      <w:pPr>
        <w:tabs>
          <w:tab w:val="clear" w:pos="426"/>
        </w:tabs>
        <w:ind w:firstLine="420" w:firstLineChars="200"/>
        <w:rPr>
          <w:rFonts w:cs="Arial"/>
          <w:bCs/>
          <w:color w:val="000000" w:themeColor="text1"/>
          <w:szCs w:val="21"/>
          <w:highlight w:val="none"/>
          <w14:textFill>
            <w14:solidFill>
              <w14:schemeClr w14:val="tx1"/>
            </w14:solidFill>
          </w14:textFill>
        </w:rPr>
      </w:pPr>
    </w:p>
    <w:p>
      <w:pPr>
        <w:numPr>
          <w:ilvl w:val="0"/>
          <w:numId w:val="25"/>
        </w:numPr>
        <w:adjustRightInd/>
        <w:snapToGrid/>
        <w:spacing w:before="280" w:after="290" w:line="377" w:lineRule="auto"/>
        <w:outlineLvl w:val="3"/>
        <w:rPr>
          <w:b/>
          <w:color w:val="000000" w:themeColor="text1"/>
          <w:sz w:val="24"/>
          <w:highlight w:val="none"/>
          <w14:textFill>
            <w14:solidFill>
              <w14:schemeClr w14:val="tx1"/>
            </w14:solidFill>
          </w14:textFill>
        </w:rPr>
      </w:pPr>
      <w:r>
        <w:rPr>
          <w:color w:val="000000" w:themeColor="text1"/>
          <w:spacing w:val="4"/>
          <w:highlight w:val="none"/>
          <w:u w:val="single"/>
          <w14:textFill>
            <w14:solidFill>
              <w14:schemeClr w14:val="tx1"/>
            </w14:solidFill>
          </w14:textFill>
        </w:rPr>
        <w:br w:type="page"/>
      </w:r>
      <w:r>
        <w:rPr>
          <w:rFonts w:hint="eastAsia"/>
          <w:b/>
          <w:color w:val="000000" w:themeColor="text1"/>
          <w:sz w:val="24"/>
          <w:highlight w:val="none"/>
          <w14:textFill>
            <w14:solidFill>
              <w14:schemeClr w14:val="tx1"/>
            </w14:solidFill>
          </w14:textFill>
        </w:rPr>
        <w:t>企业综合实力</w:t>
      </w:r>
    </w:p>
    <w:p>
      <w:pPr>
        <w:pStyle w:val="20"/>
        <w:rPr>
          <w:color w:val="000000" w:themeColor="text1"/>
          <w:highlight w:val="none"/>
          <w14:textFill>
            <w14:solidFill>
              <w14:schemeClr w14:val="tx1"/>
            </w14:solidFill>
          </w14:textFill>
        </w:rPr>
      </w:pPr>
    </w:p>
    <w:p>
      <w:pPr>
        <w:numPr>
          <w:ilvl w:val="0"/>
          <w:numId w:val="25"/>
        </w:numPr>
        <w:adjustRightInd/>
        <w:snapToGrid/>
        <w:spacing w:before="280" w:after="290" w:line="377" w:lineRule="auto"/>
        <w:outlineLvl w:val="3"/>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同类项目业绩</w:t>
      </w:r>
    </w:p>
    <w:p>
      <w:pPr>
        <w:numPr>
          <w:ilvl w:val="0"/>
          <w:numId w:val="25"/>
        </w:numPr>
        <w:adjustRightInd/>
        <w:snapToGrid/>
        <w:spacing w:before="280" w:after="290" w:line="377" w:lineRule="auto"/>
        <w:outlineLvl w:val="3"/>
        <w:rPr>
          <w:b/>
          <w:color w:val="000000" w:themeColor="text1"/>
          <w:sz w:val="24"/>
          <w:highlight w:val="none"/>
          <w14:textFill>
            <w14:solidFill>
              <w14:schemeClr w14:val="tx1"/>
            </w14:solidFill>
          </w14:textFill>
        </w:rPr>
      </w:pPr>
      <w:r>
        <w:rPr>
          <w:rFonts w:hint="eastAsia" w:cs="Times New Roman"/>
          <w:b/>
          <w:color w:val="000000" w:themeColor="text1"/>
          <w:kern w:val="2"/>
          <w:sz w:val="28"/>
          <w:szCs w:val="28"/>
          <w:highlight w:val="none"/>
          <w14:textFill>
            <w14:solidFill>
              <w14:schemeClr w14:val="tx1"/>
            </w14:solidFill>
          </w14:textFill>
        </w:rPr>
        <w:t>商务要求偏离</w:t>
      </w:r>
      <w:bookmarkStart w:id="389" w:name="_GoBack"/>
      <w:bookmarkEnd w:id="389"/>
    </w:p>
    <w:tbl>
      <w:tblPr>
        <w:tblStyle w:val="44"/>
        <w:tblW w:w="9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66"/>
        <w:gridCol w:w="4530"/>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80" w:type="dxa"/>
            <w:vAlign w:val="center"/>
          </w:tcPr>
          <w:p>
            <w:pPr>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666" w:type="dxa"/>
            <w:vAlign w:val="center"/>
          </w:tcPr>
          <w:p>
            <w:pPr>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目录</w:t>
            </w:r>
          </w:p>
        </w:tc>
        <w:tc>
          <w:tcPr>
            <w:tcW w:w="4530" w:type="dxa"/>
            <w:vAlign w:val="center"/>
          </w:tcPr>
          <w:p>
            <w:pPr>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招标商务需求</w:t>
            </w:r>
          </w:p>
        </w:tc>
        <w:tc>
          <w:tcPr>
            <w:tcW w:w="3667" w:type="dxa"/>
            <w:vAlign w:val="center"/>
          </w:tcPr>
          <w:p>
            <w:pPr>
              <w:spacing w:line="240" w:lineRule="auto"/>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投标响应情况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43" w:type="dxa"/>
            <w:gridSpan w:val="4"/>
            <w:vAlign w:val="center"/>
          </w:tcPr>
          <w:p>
            <w:pPr>
              <w:spacing w:line="240" w:lineRule="auto"/>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（一）保修期内售后服务要求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680" w:type="dxa"/>
            <w:vAlign w:val="center"/>
          </w:tcPr>
          <w:p>
            <w:pPr>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w:t>
            </w:r>
          </w:p>
        </w:tc>
        <w:tc>
          <w:tcPr>
            <w:tcW w:w="666"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保修期</w:t>
            </w:r>
          </w:p>
        </w:tc>
        <w:tc>
          <w:tcPr>
            <w:tcW w:w="4530" w:type="dxa"/>
            <w:vAlign w:val="center"/>
          </w:tcPr>
          <w:p>
            <w:pPr>
              <w:jc w:val="left"/>
              <w:rPr>
                <w:b/>
                <w:color w:val="000000" w:themeColor="text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w:t>
            </w:r>
            <w:r>
              <w:rPr>
                <w:rFonts w:hint="eastAsia"/>
                <w:b/>
                <w:color w:val="000000" w:themeColor="text1"/>
                <w:highlight w:val="none"/>
                <w14:textFill>
                  <w14:solidFill>
                    <w14:schemeClr w14:val="tx1"/>
                  </w14:solidFill>
                </w14:textFill>
              </w:rPr>
              <w:t>1.1底盘车辆提供不低于2年五万公里的保修标准（以先到为准）。</w:t>
            </w:r>
          </w:p>
          <w:p>
            <w:pPr>
              <w:jc w:val="left"/>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1.2改装部分提供不低于1年的保修服务。保修期内，由非人为因素引起的故障均在保修范围内，供应商完全免费提供保修服务。保修期外，供应商提供终生的维修服务，且要求相关配件及人工费用低于平均市场价格。</w:t>
            </w:r>
          </w:p>
          <w:p>
            <w:pPr>
              <w:jc w:val="left"/>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1.3供应商需提供至少3人/次的培训服务，确保用户方至少有2名操作人员可熟练使用。  </w:t>
            </w:r>
          </w:p>
        </w:tc>
        <w:tc>
          <w:tcPr>
            <w:tcW w:w="3667" w:type="dxa"/>
            <w:vAlign w:val="center"/>
          </w:tcPr>
          <w:p>
            <w:pPr>
              <w:jc w:val="left"/>
              <w:rPr>
                <w:rFonts w:hint="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680" w:type="dxa"/>
            <w:vAlign w:val="center"/>
          </w:tcPr>
          <w:p>
            <w:pPr>
              <w:spacing w:line="240" w:lineRule="auto"/>
              <w:jc w:val="center"/>
              <w:rPr>
                <w:b/>
                <w:color w:val="000000" w:themeColor="text1"/>
                <w:highlight w:val="none"/>
                <w14:textFill>
                  <w14:solidFill>
                    <w14:schemeClr w14:val="tx1"/>
                  </w14:solidFill>
                </w14:textFill>
              </w:rPr>
            </w:pPr>
          </w:p>
        </w:tc>
        <w:tc>
          <w:tcPr>
            <w:tcW w:w="666"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维修响应及故障解决时间</w:t>
            </w:r>
          </w:p>
        </w:tc>
        <w:tc>
          <w:tcPr>
            <w:tcW w:w="4530" w:type="dxa"/>
            <w:vAlign w:val="center"/>
          </w:tcPr>
          <w:p>
            <w:pPr>
              <w:jc w:val="left"/>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在保修期内，一旦发生质量问题，投标人保证在接到通知24小时内进行响应。  </w:t>
            </w:r>
          </w:p>
        </w:tc>
        <w:tc>
          <w:tcPr>
            <w:tcW w:w="3667" w:type="dxa"/>
            <w:vAlign w:val="center"/>
          </w:tcPr>
          <w:p>
            <w:pPr>
              <w:jc w:val="left"/>
              <w:rPr>
                <w:rFonts w:hint="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680" w:type="dxa"/>
            <w:vAlign w:val="center"/>
          </w:tcPr>
          <w:p>
            <w:pPr>
              <w:spacing w:line="240" w:lineRule="auto"/>
              <w:jc w:val="center"/>
              <w:rPr>
                <w:b/>
                <w:color w:val="000000" w:themeColor="text1"/>
                <w:highlight w:val="none"/>
                <w14:textFill>
                  <w14:solidFill>
                    <w14:schemeClr w14:val="tx1"/>
                  </w14:solidFill>
                </w14:textFill>
              </w:rPr>
            </w:pPr>
          </w:p>
        </w:tc>
        <w:tc>
          <w:tcPr>
            <w:tcW w:w="666" w:type="dxa"/>
            <w:vAlign w:val="center"/>
          </w:tcPr>
          <w:p>
            <w:pPr>
              <w:spacing w:line="24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技术支持服务 </w:t>
            </w:r>
          </w:p>
        </w:tc>
        <w:tc>
          <w:tcPr>
            <w:tcW w:w="4530" w:type="dxa"/>
            <w:vAlign w:val="center"/>
          </w:tcPr>
          <w:p>
            <w:pPr>
              <w:jc w:val="left"/>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 xml:space="preserve">投标人须保持与招标人的联系，随时交流设备使用情况，成立专门工作小组为用户解决遇到的问题。服务范围包括：故障排除、车辆运行情况、帮助日常检查等。  </w:t>
            </w:r>
          </w:p>
        </w:tc>
        <w:tc>
          <w:tcPr>
            <w:tcW w:w="3667" w:type="dxa"/>
            <w:vAlign w:val="center"/>
          </w:tcPr>
          <w:p>
            <w:pPr>
              <w:jc w:val="left"/>
              <w:rPr>
                <w:rFonts w:hint="eastAsia"/>
                <w:b/>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680" w:type="dxa"/>
            <w:vAlign w:val="center"/>
          </w:tcPr>
          <w:p>
            <w:pPr>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w:t>
            </w:r>
          </w:p>
        </w:tc>
        <w:tc>
          <w:tcPr>
            <w:tcW w:w="666" w:type="dxa"/>
            <w:vAlign w:val="center"/>
          </w:tcPr>
          <w:p>
            <w:pPr>
              <w:spacing w:line="240" w:lineRule="auto"/>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w:t>
            </w:r>
          </w:p>
        </w:tc>
        <w:tc>
          <w:tcPr>
            <w:tcW w:w="4530" w:type="dxa"/>
            <w:vAlign w:val="center"/>
          </w:tcPr>
          <w:p>
            <w:pPr>
              <w:spacing w:line="380" w:lineRule="exact"/>
              <w:jc w:val="left"/>
              <w:rPr>
                <w:b/>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投标人应按其投标文件中的承诺，进行其他售后服务工作。  </w:t>
            </w:r>
          </w:p>
        </w:tc>
        <w:tc>
          <w:tcPr>
            <w:tcW w:w="3667" w:type="dxa"/>
            <w:vAlign w:val="center"/>
          </w:tcPr>
          <w:p>
            <w:pPr>
              <w:spacing w:line="380" w:lineRule="exact"/>
              <w:jc w:val="left"/>
              <w:rPr>
                <w:rFonts w:hint="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9543" w:type="dxa"/>
            <w:gridSpan w:val="4"/>
            <w:vAlign w:val="center"/>
          </w:tcPr>
          <w:p>
            <w:pPr>
              <w:spacing w:line="240" w:lineRule="auto"/>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680" w:type="dxa"/>
            <w:vAlign w:val="center"/>
          </w:tcPr>
          <w:p>
            <w:pPr>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w:t>
            </w:r>
          </w:p>
        </w:tc>
        <w:tc>
          <w:tcPr>
            <w:tcW w:w="666" w:type="dxa"/>
            <w:vAlign w:val="center"/>
          </w:tcPr>
          <w:p>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关于交货</w:t>
            </w:r>
          </w:p>
        </w:tc>
        <w:tc>
          <w:tcPr>
            <w:tcW w:w="4530" w:type="dxa"/>
            <w:vAlign w:val="center"/>
          </w:tcPr>
          <w:p>
            <w:pPr>
              <w:rPr>
                <w:rFonts w:cs="Times New Roman"/>
                <w:color w:val="000000" w:themeColor="text1"/>
                <w:kern w:val="2"/>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★1.1合同签订后</w:t>
            </w:r>
            <w:r>
              <w:rPr>
                <w:rFonts w:hint="eastAsia" w:cs="Times New Roman"/>
                <w:color w:val="000000" w:themeColor="text1"/>
                <w:kern w:val="2"/>
                <w:szCs w:val="21"/>
                <w:highlight w:val="none"/>
                <w:lang w:val="en-US" w:eastAsia="zh-CN"/>
                <w14:textFill>
                  <w14:solidFill>
                    <w14:schemeClr w14:val="tx1"/>
                  </w14:solidFill>
                </w14:textFill>
              </w:rPr>
              <w:t>30</w:t>
            </w:r>
            <w:r>
              <w:rPr>
                <w:rFonts w:hint="eastAsia" w:cs="Times New Roman"/>
                <w:color w:val="000000" w:themeColor="text1"/>
                <w:kern w:val="2"/>
                <w:szCs w:val="21"/>
                <w:highlight w:val="none"/>
                <w14:textFill>
                  <w14:solidFill>
                    <w14:schemeClr w14:val="tx1"/>
                  </w14:solidFill>
                </w14:textFill>
              </w:rPr>
              <w:t>个</w:t>
            </w:r>
            <w:r>
              <w:rPr>
                <w:rFonts w:hint="eastAsia" w:cs="Times New Roman"/>
                <w:color w:val="000000" w:themeColor="text1"/>
                <w:kern w:val="2"/>
                <w:szCs w:val="21"/>
                <w:highlight w:val="none"/>
                <w:lang w:eastAsia="zh-CN"/>
                <w14:textFill>
                  <w14:solidFill>
                    <w14:schemeClr w14:val="tx1"/>
                  </w14:solidFill>
                </w14:textFill>
              </w:rPr>
              <w:t>日历日</w:t>
            </w:r>
            <w:r>
              <w:rPr>
                <w:rFonts w:hint="eastAsia" w:cs="Times New Roman"/>
                <w:color w:val="000000" w:themeColor="text1"/>
                <w:kern w:val="2"/>
                <w:szCs w:val="21"/>
                <w:highlight w:val="none"/>
                <w14:textFill>
                  <w14:solidFill>
                    <w14:schemeClr w14:val="tx1"/>
                  </w14:solidFill>
                </w14:textFill>
              </w:rPr>
              <w:t>内交货。</w:t>
            </w:r>
          </w:p>
          <w:p>
            <w:pPr>
              <w:rPr>
                <w:bCs/>
                <w:color w:val="000000" w:themeColor="text1"/>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1.</w:t>
            </w:r>
            <w:r>
              <w:rPr>
                <w:rFonts w:hint="eastAsia" w:cs="Times New Roman"/>
                <w:color w:val="000000" w:themeColor="text1"/>
                <w:kern w:val="2"/>
                <w:szCs w:val="21"/>
                <w:highlight w:val="none"/>
                <w:lang w:val="en-US" w:eastAsia="zh-CN"/>
                <w14:textFill>
                  <w14:solidFill>
                    <w14:schemeClr w14:val="tx1"/>
                  </w14:solidFill>
                </w14:textFill>
              </w:rPr>
              <w:t>2</w:t>
            </w:r>
            <w:r>
              <w:rPr>
                <w:rFonts w:hint="eastAsia" w:cs="Times New Roman"/>
                <w:color w:val="000000" w:themeColor="text1"/>
                <w:kern w:val="2"/>
                <w:szCs w:val="21"/>
                <w:highlight w:val="none"/>
                <w14:textFill>
                  <w14:solidFill>
                    <w14:schemeClr w14:val="tx1"/>
                  </w14:solidFill>
                </w14:textFill>
              </w:rPr>
              <w:t xml:space="preserve">投标人必须承担的设备运输、安装调试、验收检测和提供设备操作说明书、图纸等其他类似的义务。  </w:t>
            </w:r>
          </w:p>
        </w:tc>
        <w:tc>
          <w:tcPr>
            <w:tcW w:w="3667" w:type="dxa"/>
            <w:vAlign w:val="center"/>
          </w:tcPr>
          <w:p>
            <w:pPr>
              <w:rPr>
                <w:rFonts w:hint="eastAsia" w:cs="Times New Roman"/>
                <w:color w:val="000000" w:themeColor="text1"/>
                <w:kern w:val="2"/>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atLeast"/>
        </w:trPr>
        <w:tc>
          <w:tcPr>
            <w:tcW w:w="680" w:type="dxa"/>
            <w:vAlign w:val="center"/>
          </w:tcPr>
          <w:p>
            <w:pPr>
              <w:spacing w:line="240" w:lineRule="auto"/>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w:t>
            </w:r>
          </w:p>
        </w:tc>
        <w:tc>
          <w:tcPr>
            <w:tcW w:w="666" w:type="dxa"/>
            <w:vAlign w:val="center"/>
          </w:tcPr>
          <w:p>
            <w:pPr>
              <w:spacing w:line="24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关于验收</w:t>
            </w:r>
          </w:p>
        </w:tc>
        <w:tc>
          <w:tcPr>
            <w:tcW w:w="4530" w:type="dxa"/>
            <w:vAlign w:val="center"/>
          </w:tcPr>
          <w:p>
            <w:pPr>
              <w:tabs>
                <w:tab w:val="left" w:pos="1260"/>
              </w:tabs>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 xml:space="preserve">2.1投标人货物经过双方检验认可后，签署验收报告，产品保修期自验收合格之日起算，由投标人提供产品保修文件。  </w:t>
            </w:r>
          </w:p>
          <w:p>
            <w:pPr>
              <w:tabs>
                <w:tab w:val="left" w:pos="1260"/>
              </w:tabs>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2.2当满足以下条件时，采购人才向中标人签发货物验收报告：a、中标人已按照合同规定提供了全部产品及完整的技术资料。b、货物符合招标文件技术规格书的要求，性能满足要求。c、货物具备产品合格证。</w:t>
            </w:r>
          </w:p>
        </w:tc>
        <w:tc>
          <w:tcPr>
            <w:tcW w:w="3667" w:type="dxa"/>
            <w:vAlign w:val="center"/>
          </w:tcPr>
          <w:p>
            <w:pPr>
              <w:tabs>
                <w:tab w:val="left" w:pos="1260"/>
              </w:tabs>
              <w:rPr>
                <w:rFonts w:hint="eastAsia"/>
                <w:bCs/>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80" w:type="dxa"/>
            <w:vAlign w:val="center"/>
          </w:tcPr>
          <w:p>
            <w:pPr>
              <w:spacing w:line="240" w:lineRule="auto"/>
              <w:jc w:val="center"/>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3</w:t>
            </w:r>
          </w:p>
        </w:tc>
        <w:tc>
          <w:tcPr>
            <w:tcW w:w="666" w:type="dxa"/>
            <w:vAlign w:val="center"/>
          </w:tcPr>
          <w:p>
            <w:pPr>
              <w:spacing w:line="240" w:lineRule="auto"/>
              <w:jc w:val="center"/>
              <w:rPr>
                <w:b/>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付款方式</w:t>
            </w:r>
          </w:p>
        </w:tc>
        <w:tc>
          <w:tcPr>
            <w:tcW w:w="4530" w:type="dxa"/>
            <w:vAlign w:val="center"/>
          </w:tcPr>
          <w:p>
            <w:pPr>
              <w:jc w:val="left"/>
              <w:rPr>
                <w:color w:val="000000" w:themeColor="text1"/>
                <w:szCs w:val="21"/>
                <w:highlight w:val="none"/>
                <w14:textFill>
                  <w14:solidFill>
                    <w14:schemeClr w14:val="tx1"/>
                  </w14:solidFill>
                </w14:textFill>
              </w:rPr>
            </w:pPr>
            <w:r>
              <w:rPr>
                <w:rFonts w:hint="eastAsia" w:cs="Times New Roman"/>
                <w:color w:val="000000" w:themeColor="text1"/>
                <w:kern w:val="2"/>
                <w:szCs w:val="21"/>
                <w:highlight w:val="none"/>
                <w14:textFill>
                  <w14:solidFill>
                    <w14:schemeClr w14:val="tx1"/>
                  </w14:solidFill>
                </w14:textFill>
              </w:rPr>
              <w:t>★</w:t>
            </w:r>
            <w:r>
              <w:rPr>
                <w:rFonts w:hint="eastAsia"/>
                <w:bCs/>
                <w:color w:val="000000" w:themeColor="text1"/>
                <w:szCs w:val="21"/>
                <w:highlight w:val="none"/>
                <w14:textFill>
                  <w14:solidFill>
                    <w14:schemeClr w14:val="tx1"/>
                  </w14:solidFill>
                </w14:textFill>
              </w:rPr>
              <w:t>签订合同后，10个工作日内</w:t>
            </w:r>
            <w:r>
              <w:rPr>
                <w:rFonts w:hint="eastAsia"/>
                <w:color w:val="000000" w:themeColor="text1"/>
                <w:szCs w:val="21"/>
                <w:highlight w:val="none"/>
                <w14:textFill>
                  <w14:solidFill>
                    <w14:schemeClr w14:val="tx1"/>
                  </w14:solidFill>
                </w14:textFill>
              </w:rPr>
              <w:t>采购方向中标人</w:t>
            </w:r>
            <w:r>
              <w:rPr>
                <w:rFonts w:hint="eastAsia"/>
                <w:bCs/>
                <w:color w:val="000000" w:themeColor="text1"/>
                <w:szCs w:val="21"/>
                <w:highlight w:val="none"/>
                <w14:textFill>
                  <w14:solidFill>
                    <w14:schemeClr w14:val="tx1"/>
                  </w14:solidFill>
                </w14:textFill>
              </w:rPr>
              <w:t>支付合同总金额的30%作为定金</w:t>
            </w:r>
            <w:r>
              <w:rPr>
                <w:rFonts w:hint="eastAsia"/>
                <w:color w:val="000000" w:themeColor="text1"/>
                <w:szCs w:val="21"/>
                <w:highlight w:val="none"/>
                <w14:textFill>
                  <w14:solidFill>
                    <w14:schemeClr w14:val="tx1"/>
                  </w14:solidFill>
                </w14:textFill>
              </w:rPr>
              <w:t xml:space="preserve">。车辆验收合格后，7个工作日内采购方向中标人支付至合同总金额的80%款项。全部货物到达交货地点，安装、调试并验收合格，采购人按合同办理支付手续支付余额。 </w:t>
            </w:r>
          </w:p>
          <w:p>
            <w:pPr>
              <w:jc w:val="left"/>
              <w:rPr>
                <w:b/>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备注：具体付款方式需按深圳市坪山区财政局有关规定执行。 </w:t>
            </w:r>
          </w:p>
        </w:tc>
        <w:tc>
          <w:tcPr>
            <w:tcW w:w="3667" w:type="dxa"/>
            <w:vAlign w:val="center"/>
          </w:tcPr>
          <w:p>
            <w:pPr>
              <w:jc w:val="left"/>
              <w:rPr>
                <w:rFonts w:hint="eastAsia"/>
                <w:color w:val="000000" w:themeColor="text1"/>
                <w:szCs w:val="21"/>
                <w:highlight w:val="none"/>
                <w14:textFill>
                  <w14:solidFill>
                    <w14:schemeClr w14:val="tx1"/>
                  </w14:solidFill>
                </w14:textFill>
              </w:rPr>
            </w:pPr>
          </w:p>
        </w:tc>
      </w:tr>
    </w:tbl>
    <w:p>
      <w:pPr>
        <w:adjustRightInd/>
        <w:snapToGrid/>
        <w:spacing w:before="280" w:after="290" w:line="377" w:lineRule="auto"/>
        <w:outlineLvl w:val="3"/>
        <w:rPr>
          <w:b/>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十五、中小企业声明函及残疾人福利性单位声明函（或省级以上监狱管理局、戒毒管理局（含新疆生产建设兵团）出具的属于监狱企业的证明文件）（可选）</w:t>
      </w:r>
    </w:p>
    <w:p>
      <w:pPr>
        <w:tabs>
          <w:tab w:val="clear" w:pos="426"/>
        </w:tabs>
        <w:ind w:left="-2" w:leftChars="-1" w:firstLine="420" w:firstLineChars="20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1）中小企业声明函（仅限中小企业）</w:t>
      </w:r>
    </w:p>
    <w:p>
      <w:pPr>
        <w:tabs>
          <w:tab w:val="clear" w:pos="426"/>
        </w:tabs>
        <w:ind w:left="-2" w:leftChars="-1" w:firstLine="420" w:firstLineChars="200"/>
        <w:rPr>
          <w:bCs/>
          <w:color w:val="000000" w:themeColor="text1"/>
          <w:szCs w:val="21"/>
          <w:highlight w:val="none"/>
          <w14:textFill>
            <w14:solidFill>
              <w14:schemeClr w14:val="tx1"/>
            </w14:solidFill>
          </w14:textFill>
        </w:rPr>
      </w:pPr>
    </w:p>
    <w:p>
      <w:pPr>
        <w:tabs>
          <w:tab w:val="clear" w:pos="426"/>
        </w:tabs>
        <w:ind w:left="-2" w:leftChars="-1" w:firstLine="420" w:firstLineChars="20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本公司郑重声明，根据《政府采购促进中小企业发展暂行办法》（财库〔</w:t>
      </w:r>
      <w:r>
        <w:rPr>
          <w:bCs/>
          <w:color w:val="000000" w:themeColor="text1"/>
          <w:szCs w:val="21"/>
          <w:highlight w:val="none"/>
          <w14:textFill>
            <w14:solidFill>
              <w14:schemeClr w14:val="tx1"/>
            </w14:solidFill>
          </w14:textFill>
        </w:rPr>
        <w:t>2011〕181号）的规定，本公司为______（请填写：中型、小型、微型）企业。即，本公司同时满足以下条件：</w:t>
      </w:r>
    </w:p>
    <w:p>
      <w:pPr>
        <w:tabs>
          <w:tab w:val="clear" w:pos="426"/>
        </w:tabs>
        <w:ind w:left="-2" w:leftChars="-1" w:firstLine="420" w:firstLineChars="20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1.根据《工业和信息化部、国家统计局、国家发展和改革委员会、财政部关于印发中小企业划型标准规定的通知》（工信部联企业〔2011〕300号）规定的划分标准，本公司为______（请填写：中型、小型、微型）企业。</w:t>
      </w:r>
    </w:p>
    <w:p>
      <w:pPr>
        <w:tabs>
          <w:tab w:val="clear" w:pos="426"/>
        </w:tabs>
        <w:ind w:left="-2" w:leftChars="-1" w:firstLine="420" w:firstLineChars="20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tabs>
          <w:tab w:val="clear" w:pos="426"/>
        </w:tabs>
        <w:ind w:left="-2" w:leftChars="-1" w:firstLine="420" w:firstLineChars="20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本公司对上述声明的真实性负责。如有虚假，将依法承担相应责任。</w:t>
      </w:r>
      <w:r>
        <w:rPr>
          <w:bCs/>
          <w:color w:val="000000" w:themeColor="text1"/>
          <w:szCs w:val="21"/>
          <w:highlight w:val="none"/>
          <w14:textFill>
            <w14:solidFill>
              <w14:schemeClr w14:val="tx1"/>
            </w14:solidFill>
          </w14:textFill>
        </w:rPr>
        <w:t xml:space="preserve"> </w:t>
      </w:r>
    </w:p>
    <w:p>
      <w:pPr>
        <w:tabs>
          <w:tab w:val="clear" w:pos="426"/>
        </w:tabs>
        <w:ind w:left="-2" w:leftChars="-1" w:firstLine="420" w:firstLineChars="200"/>
        <w:rPr>
          <w:bCs/>
          <w:color w:val="000000" w:themeColor="text1"/>
          <w:szCs w:val="21"/>
          <w:highlight w:val="none"/>
          <w14:textFill>
            <w14:solidFill>
              <w14:schemeClr w14:val="tx1"/>
            </w14:solidFill>
          </w14:textFill>
        </w:rPr>
      </w:pPr>
    </w:p>
    <w:p>
      <w:pPr>
        <w:tabs>
          <w:tab w:val="clear" w:pos="426"/>
        </w:tabs>
        <w:ind w:left="-2" w:leftChars="-1" w:firstLine="420" w:firstLineChars="20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2）残疾人福利性单位声明函（仅限残疾人福利性单位）</w:t>
      </w:r>
    </w:p>
    <w:p>
      <w:pPr>
        <w:tabs>
          <w:tab w:val="clear" w:pos="426"/>
        </w:tabs>
        <w:ind w:left="-2" w:leftChars="-1" w:firstLine="420" w:firstLineChars="200"/>
        <w:rPr>
          <w:bCs/>
          <w:color w:val="000000" w:themeColor="text1"/>
          <w:szCs w:val="21"/>
          <w:highlight w:val="none"/>
          <w14:textFill>
            <w14:solidFill>
              <w14:schemeClr w14:val="tx1"/>
            </w14:solidFill>
          </w14:textFill>
        </w:rPr>
      </w:pPr>
    </w:p>
    <w:p>
      <w:pPr>
        <w:tabs>
          <w:tab w:val="clear" w:pos="426"/>
        </w:tabs>
        <w:ind w:left="-2" w:leftChars="-1" w:firstLine="420" w:firstLineChars="20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本单位郑重声明，根据《财政部</w:t>
      </w:r>
      <w:r>
        <w:rPr>
          <w:bCs/>
          <w:color w:val="000000" w:themeColor="text1"/>
          <w:szCs w:val="21"/>
          <w:highlight w:val="none"/>
          <w14:textFill>
            <w14:solidFill>
              <w14:schemeClr w14:val="tx1"/>
            </w14:solidFill>
          </w14:textFill>
        </w:rPr>
        <w:t xml:space="preserve">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clear" w:pos="426"/>
        </w:tabs>
        <w:ind w:left="-2" w:leftChars="-1" w:firstLine="420" w:firstLineChars="20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本单位对上述声明的真实性负责。如有虚假，将依法承担相应责任。</w:t>
      </w:r>
    </w:p>
    <w:p>
      <w:pPr>
        <w:tabs>
          <w:tab w:val="clear" w:pos="426"/>
        </w:tabs>
        <w:ind w:left="-2" w:leftChars="-1" w:firstLine="420" w:firstLineChars="200"/>
        <w:rPr>
          <w:bCs/>
          <w:color w:val="000000" w:themeColor="text1"/>
          <w:szCs w:val="21"/>
          <w:highlight w:val="none"/>
          <w14:textFill>
            <w14:solidFill>
              <w14:schemeClr w14:val="tx1"/>
            </w14:solidFill>
          </w14:textFill>
        </w:rPr>
      </w:pPr>
    </w:p>
    <w:p>
      <w:pPr>
        <w:tabs>
          <w:tab w:val="clear" w:pos="426"/>
        </w:tabs>
        <w:ind w:left="-2" w:leftChars="-1" w:firstLine="420" w:firstLineChars="200"/>
        <w:rPr>
          <w:bCs/>
          <w:color w:val="000000" w:themeColor="text1"/>
          <w:szCs w:val="21"/>
          <w:highlight w:val="none"/>
          <w:lang w:val="en-GB"/>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3）省级以上监狱管理局、戒毒管理局（含新疆生产建设兵团）出具的属于监狱企业的证明文件（仅限监狱企业，格式自定）</w:t>
      </w:r>
    </w:p>
    <w:p>
      <w:pPr>
        <w:tabs>
          <w:tab w:val="clear" w:pos="426"/>
        </w:tabs>
        <w:ind w:firstLine="420" w:firstLineChars="200"/>
        <w:rPr>
          <w:color w:val="000000" w:themeColor="text1"/>
          <w:highlight w:val="none"/>
          <w14:textFill>
            <w14:solidFill>
              <w14:schemeClr w14:val="tx1"/>
            </w14:solidFill>
          </w14:textFill>
        </w:rPr>
      </w:pPr>
    </w:p>
    <w:p>
      <w:pPr>
        <w:tabs>
          <w:tab w:val="clear" w:pos="426"/>
        </w:tabs>
        <w:spacing w:line="500" w:lineRule="exact"/>
        <w:rPr>
          <w:color w:val="000000" w:themeColor="text1"/>
          <w:highlight w:val="none"/>
          <w:u w:val="single"/>
          <w14:textFill>
            <w14:solidFill>
              <w14:schemeClr w14:val="tx1"/>
            </w14:solidFill>
          </w14:textFill>
        </w:rPr>
      </w:pPr>
      <w:r>
        <w:rPr>
          <w:rFonts w:hint="eastAsia"/>
          <w:color w:val="000000" w:themeColor="text1"/>
          <w:spacing w:val="4"/>
          <w:highlight w:val="none"/>
          <w14:textFill>
            <w14:solidFill>
              <w14:schemeClr w14:val="tx1"/>
            </w14:solidFill>
          </w14:textFill>
        </w:rPr>
        <w:t>投标人名称（盖公章）：</w:t>
      </w:r>
      <w:r>
        <w:rPr>
          <w:rFonts w:hint="eastAsia"/>
          <w:color w:val="000000" w:themeColor="text1"/>
          <w:spacing w:val="4"/>
          <w:highlight w:val="none"/>
          <w:u w:val="single"/>
          <w14:textFill>
            <w14:solidFill>
              <w14:schemeClr w14:val="tx1"/>
            </w14:solidFill>
          </w14:textFill>
        </w:rPr>
        <w:t xml:space="preserve">                                      </w:t>
      </w:r>
    </w:p>
    <w:p>
      <w:pPr>
        <w:tabs>
          <w:tab w:val="clear" w:pos="426"/>
        </w:tabs>
        <w:spacing w:line="440" w:lineRule="exact"/>
        <w:rPr>
          <w:color w:val="000000" w:themeColor="text1"/>
          <w:spacing w:val="4"/>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法定代表人或投标人授权代表（签名或盖章）：</w:t>
      </w:r>
      <w:r>
        <w:rPr>
          <w:color w:val="000000" w:themeColor="text1"/>
          <w:spacing w:val="4"/>
          <w:highlight w:val="none"/>
          <w:u w:val="single"/>
          <w14:textFill>
            <w14:solidFill>
              <w14:schemeClr w14:val="tx1"/>
            </w14:solidFill>
          </w14:textFill>
        </w:rPr>
        <w:t xml:space="preserve">       </w:t>
      </w:r>
      <w:r>
        <w:rPr>
          <w:rFonts w:hint="eastAsia"/>
          <w:color w:val="000000" w:themeColor="text1"/>
          <w:spacing w:val="4"/>
          <w:highlight w:val="none"/>
          <w:u w:val="single"/>
          <w14:textFill>
            <w14:solidFill>
              <w14:schemeClr w14:val="tx1"/>
            </w14:solidFill>
          </w14:textFill>
        </w:rPr>
        <w:t xml:space="preserve">       </w:t>
      </w:r>
      <w:r>
        <w:rPr>
          <w:color w:val="000000" w:themeColor="text1"/>
          <w:spacing w:val="4"/>
          <w:highlight w:val="none"/>
          <w:u w:val="single"/>
          <w14:textFill>
            <w14:solidFill>
              <w14:schemeClr w14:val="tx1"/>
            </w14:solidFill>
          </w14:textFill>
        </w:rPr>
        <w:t xml:space="preserve">      </w:t>
      </w:r>
      <w:r>
        <w:rPr>
          <w:color w:val="000000" w:themeColor="text1"/>
          <w:spacing w:val="4"/>
          <w:highlight w:val="none"/>
          <w14:textFill>
            <w14:solidFill>
              <w14:schemeClr w14:val="tx1"/>
            </w14:solidFill>
          </w14:textFill>
        </w:rPr>
        <w:t xml:space="preserve"> </w:t>
      </w:r>
    </w:p>
    <w:p>
      <w:pPr>
        <w:tabs>
          <w:tab w:val="clear" w:pos="426"/>
        </w:tabs>
        <w:spacing w:line="440" w:lineRule="exact"/>
        <w:rPr>
          <w:color w:val="000000" w:themeColor="text1"/>
          <w:spacing w:val="4"/>
          <w:highlight w:val="none"/>
          <w:u w:val="single"/>
          <w14:textFill>
            <w14:solidFill>
              <w14:schemeClr w14:val="tx1"/>
            </w14:solidFill>
          </w14:textFill>
        </w:rPr>
      </w:pPr>
      <w:r>
        <w:rPr>
          <w:rFonts w:hint="eastAsia"/>
          <w:color w:val="000000" w:themeColor="text1"/>
          <w:spacing w:val="4"/>
          <w:highlight w:val="none"/>
          <w14:textFill>
            <w14:solidFill>
              <w14:schemeClr w14:val="tx1"/>
            </w14:solidFill>
          </w14:textFill>
        </w:rPr>
        <w:t>职务：</w:t>
      </w:r>
      <w:r>
        <w:rPr>
          <w:color w:val="000000" w:themeColor="text1"/>
          <w:spacing w:val="4"/>
          <w:highlight w:val="none"/>
          <w:u w:val="single"/>
          <w14:textFill>
            <w14:solidFill>
              <w14:schemeClr w14:val="tx1"/>
            </w14:solidFill>
          </w14:textFill>
        </w:rPr>
        <w:t xml:space="preserve">     </w:t>
      </w:r>
      <w:r>
        <w:rPr>
          <w:rFonts w:hint="eastAsia"/>
          <w:color w:val="000000" w:themeColor="text1"/>
          <w:spacing w:val="4"/>
          <w:highlight w:val="none"/>
          <w:u w:val="single"/>
          <w14:textFill>
            <w14:solidFill>
              <w14:schemeClr w14:val="tx1"/>
            </w14:solidFill>
          </w14:textFill>
        </w:rPr>
        <w:t xml:space="preserve">                                               </w:t>
      </w:r>
      <w:r>
        <w:rPr>
          <w:color w:val="000000" w:themeColor="text1"/>
          <w:spacing w:val="4"/>
          <w:highlight w:val="none"/>
          <w:u w:val="single"/>
          <w14:textFill>
            <w14:solidFill>
              <w14:schemeClr w14:val="tx1"/>
            </w14:solidFill>
          </w14:textFill>
        </w:rPr>
        <w:t xml:space="preserve">   </w:t>
      </w:r>
    </w:p>
    <w:p>
      <w:pPr>
        <w:tabs>
          <w:tab w:val="clear" w:pos="426"/>
        </w:tabs>
        <w:spacing w:line="440" w:lineRule="exact"/>
        <w:rPr>
          <w:color w:val="000000" w:themeColor="text1"/>
          <w:spacing w:val="4"/>
          <w:highlight w:val="none"/>
          <w:u w:val="single"/>
          <w14:textFill>
            <w14:solidFill>
              <w14:schemeClr w14:val="tx1"/>
            </w14:solidFill>
          </w14:textFill>
        </w:rPr>
      </w:pPr>
      <w:r>
        <w:rPr>
          <w:rFonts w:hint="eastAsia"/>
          <w:color w:val="000000" w:themeColor="text1"/>
          <w:spacing w:val="4"/>
          <w:highlight w:val="none"/>
          <w14:textFill>
            <w14:solidFill>
              <w14:schemeClr w14:val="tx1"/>
            </w14:solidFill>
          </w14:textFill>
        </w:rPr>
        <w:t>日期：</w:t>
      </w:r>
      <w:r>
        <w:rPr>
          <w:color w:val="000000" w:themeColor="text1"/>
          <w:spacing w:val="4"/>
          <w:highlight w:val="none"/>
          <w:u w:val="single"/>
          <w14:textFill>
            <w14:solidFill>
              <w14:schemeClr w14:val="tx1"/>
            </w14:solidFill>
          </w14:textFill>
        </w:rPr>
        <w:t xml:space="preserve">    </w:t>
      </w:r>
      <w:r>
        <w:rPr>
          <w:rFonts w:hint="eastAsia"/>
          <w:color w:val="000000" w:themeColor="text1"/>
          <w:spacing w:val="4"/>
          <w:highlight w:val="none"/>
          <w:u w:val="single"/>
          <w14:textFill>
            <w14:solidFill>
              <w14:schemeClr w14:val="tx1"/>
            </w14:solidFill>
          </w14:textFill>
        </w:rPr>
        <w:t xml:space="preserve">                                               </w:t>
      </w:r>
      <w:r>
        <w:rPr>
          <w:color w:val="000000" w:themeColor="text1"/>
          <w:spacing w:val="4"/>
          <w:highlight w:val="none"/>
          <w:u w:val="single"/>
          <w14:textFill>
            <w14:solidFill>
              <w14:schemeClr w14:val="tx1"/>
            </w14:solidFill>
          </w14:textFill>
        </w:rPr>
        <w:t xml:space="preserve">    </w:t>
      </w:r>
    </w:p>
    <w:p>
      <w:pPr>
        <w:tabs>
          <w:tab w:val="clear" w:pos="426"/>
        </w:tabs>
        <w:spacing w:line="440" w:lineRule="exact"/>
        <w:rPr>
          <w:rFonts w:cs="Times New Roman"/>
          <w:bCs/>
          <w:color w:val="000000" w:themeColor="text1"/>
          <w:kern w:val="2"/>
          <w:sz w:val="32"/>
          <w:szCs w:val="32"/>
          <w:highlight w:val="none"/>
          <w14:textFill>
            <w14:solidFill>
              <w14:schemeClr w14:val="tx1"/>
            </w14:solidFill>
          </w14:textFill>
        </w:rPr>
      </w:pPr>
    </w:p>
    <w:p>
      <w:pPr>
        <w:adjustRightInd/>
        <w:snapToGrid/>
        <w:spacing w:before="280" w:after="290" w:line="377" w:lineRule="auto"/>
        <w:outlineLvl w:val="3"/>
        <w:rPr>
          <w:rFonts w:cs="Times New Roman"/>
          <w:bCs/>
          <w:color w:val="000000" w:themeColor="text1"/>
          <w:kern w:val="2"/>
          <w:sz w:val="32"/>
          <w:szCs w:val="32"/>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十六、招标代理服务费承诺书</w:t>
      </w:r>
      <w:bookmarkStart w:id="89" w:name="_Toc480754217"/>
      <w:bookmarkStart w:id="90" w:name="_Toc275865624"/>
      <w:bookmarkStart w:id="91" w:name="_Toc480756084"/>
      <w:bookmarkStart w:id="92" w:name="_Toc480789488"/>
      <w:bookmarkStart w:id="93" w:name="_Toc480755938"/>
    </w:p>
    <w:p>
      <w:pPr>
        <w:adjustRightInd/>
        <w:snapToGrid/>
        <w:spacing w:before="280" w:after="290" w:line="377" w:lineRule="auto"/>
        <w:jc w:val="center"/>
        <w:rPr>
          <w:rFonts w:cs="Times New Roman"/>
          <w:bCs/>
          <w:color w:val="000000" w:themeColor="text1"/>
          <w:kern w:val="2"/>
          <w:sz w:val="32"/>
          <w:szCs w:val="32"/>
          <w:highlight w:val="none"/>
          <w14:textFill>
            <w14:solidFill>
              <w14:schemeClr w14:val="tx1"/>
            </w14:solidFill>
          </w14:textFill>
        </w:rPr>
      </w:pPr>
      <w:r>
        <w:rPr>
          <w:rFonts w:hint="eastAsia" w:cs="Times New Roman"/>
          <w:bCs/>
          <w:color w:val="000000" w:themeColor="text1"/>
          <w:kern w:val="2"/>
          <w:sz w:val="32"/>
          <w:szCs w:val="32"/>
          <w:highlight w:val="none"/>
          <w14:textFill>
            <w14:solidFill>
              <w14:schemeClr w14:val="tx1"/>
            </w14:solidFill>
          </w14:textFill>
        </w:rPr>
        <w:t>招标代理服务费承诺书</w:t>
      </w:r>
      <w:bookmarkEnd w:id="89"/>
      <w:bookmarkEnd w:id="90"/>
      <w:bookmarkEnd w:id="91"/>
      <w:bookmarkEnd w:id="92"/>
      <w:bookmarkEnd w:id="93"/>
    </w:p>
    <w:p>
      <w:pPr>
        <w:tabs>
          <w:tab w:val="clear" w:pos="426"/>
        </w:tabs>
        <w:adjustRightInd/>
        <w:snapToGrid/>
        <w:rPr>
          <w:b/>
          <w:color w:val="000000" w:themeColor="text1"/>
          <w:highlight w:val="none"/>
          <w14:textFill>
            <w14:solidFill>
              <w14:schemeClr w14:val="tx1"/>
            </w14:solidFill>
          </w14:textFill>
        </w:rPr>
      </w:pPr>
    </w:p>
    <w:p>
      <w:pPr>
        <w:tabs>
          <w:tab w:val="clear" w:pos="426"/>
        </w:tabs>
        <w:adjustRightInd/>
        <w:snapToGrid/>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深圳市深水水务咨询有限公司：</w:t>
      </w:r>
    </w:p>
    <w:p>
      <w:pPr>
        <w:tabs>
          <w:tab w:val="clear" w:pos="426"/>
        </w:tabs>
        <w:adjustRightInd/>
        <w:snapToGrid/>
        <w:ind w:firstLine="420" w:firstLineChars="200"/>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本公司</w:t>
      </w:r>
      <w:r>
        <w:rPr>
          <w:rFonts w:hint="eastAsia"/>
          <w:color w:val="000000" w:themeColor="text1"/>
          <w:highlight w:val="none"/>
          <w:u w:val="single"/>
          <w14:textFill>
            <w14:solidFill>
              <w14:schemeClr w14:val="tx1"/>
            </w14:solidFill>
          </w14:textFill>
        </w:rPr>
        <w:t xml:space="preserve">  (投标人名称)  </w:t>
      </w:r>
      <w:r>
        <w:rPr>
          <w:rFonts w:hint="eastAsia"/>
          <w:color w:val="000000" w:themeColor="text1"/>
          <w:highlight w:val="none"/>
          <w14:textFill>
            <w14:solidFill>
              <w14:schemeClr w14:val="tx1"/>
            </w14:solidFill>
          </w14:textFill>
        </w:rPr>
        <w:t>在参加</w:t>
      </w:r>
      <w:r>
        <w:rPr>
          <w:rFonts w:hint="eastAsia"/>
          <w:color w:val="000000" w:themeColor="text1"/>
          <w:highlight w:val="none"/>
          <w:u w:val="single"/>
          <w14:textFill>
            <w14:solidFill>
              <w14:schemeClr w14:val="tx1"/>
            </w14:solidFill>
          </w14:textFill>
        </w:rPr>
        <w:t xml:space="preserve"> </w:t>
      </w:r>
      <w:r>
        <w:rPr>
          <w:rFonts w:hint="eastAsia"/>
          <w:b/>
          <w:color w:val="000000" w:themeColor="text1"/>
          <w:highlight w:val="none"/>
          <w:u w:val="singl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 xml:space="preserve">（项目名称） </w:t>
      </w:r>
      <w:r>
        <w:rPr>
          <w:rFonts w:hint="eastAsia"/>
          <w:b/>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(项目编号：</w:t>
      </w:r>
      <w:r>
        <w:rPr>
          <w:rFonts w:hint="eastAsia"/>
          <w:color w:val="000000" w:themeColor="text1"/>
          <w:highlight w:val="none"/>
          <w:u w:val="single"/>
          <w14:textFill>
            <w14:solidFill>
              <w14:schemeClr w14:val="tx1"/>
            </w14:solidFill>
          </w14:textFill>
        </w:rPr>
        <w:t xml:space="preserve">  （项目编号）  </w:t>
      </w:r>
      <w:r>
        <w:rPr>
          <w:rFonts w:hint="eastAsia"/>
          <w:color w:val="000000" w:themeColor="text1"/>
          <w:highlight w:val="none"/>
          <w14:textFill>
            <w14:solidFill>
              <w14:schemeClr w14:val="tx1"/>
            </w14:solidFill>
          </w14:textFill>
        </w:rPr>
        <w:t>)的招标中如获中标</w:t>
      </w:r>
      <w:r>
        <w:rPr>
          <w:rFonts w:hint="eastAsia"/>
          <w:color w:val="000000" w:themeColor="text1"/>
          <w:szCs w:val="21"/>
          <w:highlight w:val="none"/>
          <w14:textFill>
            <w14:solidFill>
              <w14:schemeClr w14:val="tx1"/>
            </w14:solidFill>
          </w14:textFill>
        </w:rPr>
        <w:t>，我公司保证按照招标文件</w:t>
      </w:r>
      <w:r>
        <w:rPr>
          <w:rFonts w:hint="eastAsia"/>
          <w:color w:val="000000" w:themeColor="text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规定缴纳“招标代理服务费”后，凭领取人身份证复印件并加盖公章领取《中标通知书》。如采用电汇或银行转账，我</w:t>
      </w:r>
      <w:r>
        <w:rPr>
          <w:rFonts w:hint="eastAsia"/>
          <w:color w:val="000000" w:themeColor="text1"/>
          <w:highlight w:val="none"/>
          <w14:textFill>
            <w14:solidFill>
              <w14:schemeClr w14:val="tx1"/>
            </w14:solidFill>
          </w14:textFill>
        </w:rPr>
        <w:t>公</w:t>
      </w:r>
      <w:r>
        <w:rPr>
          <w:rFonts w:hint="eastAsia"/>
          <w:color w:val="000000" w:themeColor="text1"/>
          <w:szCs w:val="21"/>
          <w:highlight w:val="none"/>
          <w14:textFill>
            <w14:solidFill>
              <w14:schemeClr w14:val="tx1"/>
            </w14:solidFill>
          </w14:textFill>
        </w:rPr>
        <w:t>司将同时递交招标代理服务费缴费凭证复印件并加盖公章。</w:t>
      </w:r>
    </w:p>
    <w:p>
      <w:pPr>
        <w:tabs>
          <w:tab w:val="clear" w:pos="426"/>
        </w:tabs>
        <w:adjustRightInd/>
        <w:snapToGrid/>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如我公司违反上款承诺，愿凭贵公司开出的相关通知，同意（采购代理机构名称）办理支付手续，扣除我公司愿承担由此引起的一切法律责任。</w:t>
      </w:r>
    </w:p>
    <w:p>
      <w:pPr>
        <w:tabs>
          <w:tab w:val="clear" w:pos="426"/>
        </w:tabs>
        <w:adjustRightInd/>
        <w:snapToGrid/>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特此承诺!</w:t>
      </w:r>
    </w:p>
    <w:p>
      <w:pPr>
        <w:tabs>
          <w:tab w:val="clear" w:pos="426"/>
        </w:tabs>
        <w:spacing w:line="520" w:lineRule="exact"/>
        <w:ind w:left="424" w:leftChars="20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投标人名称(盖公章):</w:t>
      </w:r>
      <w:r>
        <w:rPr>
          <w:rFonts w:hint="eastAsia"/>
          <w:color w:val="000000" w:themeColor="text1"/>
          <w:highlight w:val="none"/>
          <w:u w:val="single"/>
          <w14:textFill>
            <w14:solidFill>
              <w14:schemeClr w14:val="tx1"/>
            </w14:solidFill>
          </w14:textFill>
        </w:rPr>
        <w:t xml:space="preserve">                                                      </w:t>
      </w:r>
    </w:p>
    <w:p>
      <w:pPr>
        <w:tabs>
          <w:tab w:val="clear" w:pos="426"/>
        </w:tabs>
        <w:spacing w:line="520" w:lineRule="exact"/>
        <w:ind w:left="424" w:leftChars="20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投标人地址:</w:t>
      </w:r>
      <w:r>
        <w:rPr>
          <w:rFonts w:hint="eastAsia"/>
          <w:color w:val="000000" w:themeColor="text1"/>
          <w:highlight w:val="none"/>
          <w:u w:val="single"/>
          <w14:textFill>
            <w14:solidFill>
              <w14:schemeClr w14:val="tx1"/>
            </w14:solidFill>
          </w14:textFill>
        </w:rPr>
        <w:t xml:space="preserve">                                                              </w:t>
      </w:r>
    </w:p>
    <w:p>
      <w:pPr>
        <w:tabs>
          <w:tab w:val="clear" w:pos="426"/>
        </w:tabs>
        <w:spacing w:line="520" w:lineRule="exact"/>
        <w:ind w:left="424" w:left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w:t>
      </w:r>
      <w:r>
        <w:rPr>
          <w:rFonts w:hint="eastAsia"/>
          <w:color w:val="000000" w:themeColor="text1"/>
          <w:highlight w:val="none"/>
          <w:u w:val="single"/>
          <w14:textFill>
            <w14:solidFill>
              <w14:schemeClr w14:val="tx1"/>
            </w14:solidFill>
          </w14:textFill>
        </w:rPr>
        <w:t xml:space="preserve">                                                                    </w:t>
      </w:r>
    </w:p>
    <w:p>
      <w:pPr>
        <w:tabs>
          <w:tab w:val="clear" w:pos="426"/>
        </w:tabs>
        <w:spacing w:line="520" w:lineRule="exact"/>
        <w:ind w:left="424" w:leftChars="20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传真:</w:t>
      </w:r>
      <w:r>
        <w:rPr>
          <w:rFonts w:hint="eastAsia"/>
          <w:color w:val="000000" w:themeColor="text1"/>
          <w:highlight w:val="none"/>
          <w:u w:val="single"/>
          <w14:textFill>
            <w14:solidFill>
              <w14:schemeClr w14:val="tx1"/>
            </w14:solidFill>
          </w14:textFill>
        </w:rPr>
        <w:t xml:space="preserve">                                                                    </w:t>
      </w:r>
    </w:p>
    <w:p>
      <w:pPr>
        <w:tabs>
          <w:tab w:val="clear" w:pos="426"/>
        </w:tabs>
        <w:spacing w:line="520" w:lineRule="exact"/>
        <w:ind w:left="424" w:leftChars="202"/>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法定代表人或投标人授权代表（签名或盖章）</w:t>
      </w:r>
      <w:r>
        <w:rPr>
          <w:rFonts w:hint="eastAsia"/>
          <w:color w:val="000000" w:themeColor="text1"/>
          <w:highlight w:val="none"/>
          <w:u w:val="single"/>
          <w14:textFill>
            <w14:solidFill>
              <w14:schemeClr w14:val="tx1"/>
            </w14:solidFill>
          </w14:textFill>
        </w:rPr>
        <w:t xml:space="preserve">                                 </w:t>
      </w:r>
    </w:p>
    <w:p>
      <w:pPr>
        <w:tabs>
          <w:tab w:val="clear" w:pos="426"/>
        </w:tabs>
        <w:spacing w:line="520" w:lineRule="exact"/>
        <w:ind w:left="424" w:leftChars="202"/>
        <w:rPr>
          <w:color w:val="000000" w:themeColor="text1"/>
          <w:highlight w:val="none"/>
          <w:u w:val="single"/>
          <w14:textFill>
            <w14:solidFill>
              <w14:schemeClr w14:val="tx1"/>
            </w14:solidFill>
          </w14:textFill>
        </w:rPr>
      </w:pPr>
    </w:p>
    <w:p>
      <w:pPr>
        <w:tabs>
          <w:tab w:val="clear" w:pos="426"/>
        </w:tabs>
        <w:spacing w:line="520" w:lineRule="exact"/>
        <w:ind w:left="424" w:leftChars="202"/>
        <w:rPr>
          <w:color w:val="000000" w:themeColor="text1"/>
          <w:highlight w:val="none"/>
          <w14:textFill>
            <w14:solidFill>
              <w14:schemeClr w14:val="tx1"/>
            </w14:solidFill>
          </w14:textFill>
        </w:rPr>
      </w:pPr>
    </w:p>
    <w:p>
      <w:pPr>
        <w:tabs>
          <w:tab w:val="clear" w:pos="426"/>
        </w:tabs>
        <w:spacing w:line="520" w:lineRule="exact"/>
        <w:ind w:left="424" w:leftChars="202"/>
        <w:rPr>
          <w:color w:val="000000" w:themeColor="text1"/>
          <w:highlight w:val="none"/>
          <w14:textFill>
            <w14:solidFill>
              <w14:schemeClr w14:val="tx1"/>
            </w14:solidFill>
          </w14:textFill>
        </w:rPr>
      </w:pPr>
    </w:p>
    <w:p>
      <w:pPr>
        <w:tabs>
          <w:tab w:val="clear" w:pos="426"/>
        </w:tabs>
        <w:spacing w:line="520" w:lineRule="exact"/>
        <w:ind w:left="424" w:leftChars="202"/>
        <w:rPr>
          <w:color w:val="000000" w:themeColor="text1"/>
          <w:highlight w:val="none"/>
          <w14:textFill>
            <w14:solidFill>
              <w14:schemeClr w14:val="tx1"/>
            </w14:solidFill>
          </w14:textFill>
        </w:rPr>
      </w:pP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p>
    <w:p>
      <w:pPr>
        <w:shd w:val="clear" w:color="auto" w:fill="auto"/>
        <w:tabs>
          <w:tab w:val="clear" w:pos="426"/>
        </w:tabs>
        <w:adjustRightInd/>
        <w:snapToGrid/>
        <w:spacing w:line="240" w:lineRule="auto"/>
        <w:jc w:val="left"/>
        <w:rPr>
          <w:rFonts w:cs="Times New Roman"/>
          <w:bCs/>
          <w:color w:val="000000" w:themeColor="text1"/>
          <w:kern w:val="2"/>
          <w:sz w:val="32"/>
          <w:szCs w:val="32"/>
          <w:highlight w:val="none"/>
          <w14:textFill>
            <w14:solidFill>
              <w14:schemeClr w14:val="tx1"/>
            </w14:solidFill>
          </w14:textFill>
        </w:rPr>
      </w:pPr>
      <w:r>
        <w:rPr>
          <w:rFonts w:cs="Times New Roman"/>
          <w:bCs/>
          <w:color w:val="000000" w:themeColor="text1"/>
          <w:kern w:val="2"/>
          <w:sz w:val="32"/>
          <w:szCs w:val="32"/>
          <w:highlight w:val="none"/>
          <w14:textFill>
            <w14:solidFill>
              <w14:schemeClr w14:val="tx1"/>
            </w14:solidFill>
          </w14:textFill>
        </w:rPr>
        <w:br w:type="page"/>
      </w: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p>
    <w:p>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highlight w:val="none"/>
          <w14:textFill>
            <w14:solidFill>
              <w14:schemeClr w14:val="tx1"/>
            </w14:solidFill>
          </w14:textFill>
        </w:rPr>
      </w:pPr>
      <w:r>
        <w:rPr>
          <w:rFonts w:hint="eastAsia" w:cs="Times New Roman"/>
          <w:bCs/>
          <w:color w:val="000000" w:themeColor="text1"/>
          <w:kern w:val="2"/>
          <w:sz w:val="32"/>
          <w:szCs w:val="32"/>
          <w:highlight w:val="none"/>
          <w14:textFill>
            <w14:solidFill>
              <w14:schemeClr w14:val="tx1"/>
            </w14:solidFill>
          </w14:textFill>
        </w:rPr>
        <w:t>招标代理服务费发票开具须知</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159" w:type="dxa"/>
            <w:vAlign w:val="center"/>
          </w:tcPr>
          <w:p>
            <w:pPr>
              <w:tabs>
                <w:tab w:val="clear" w:pos="426"/>
              </w:tabs>
              <w:spacing w:line="520" w:lineRule="exact"/>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发票类型</w:t>
            </w:r>
          </w:p>
        </w:tc>
        <w:tc>
          <w:tcPr>
            <w:tcW w:w="7363" w:type="dxa"/>
            <w:vAlign w:val="center"/>
          </w:tcPr>
          <w:p>
            <w:pPr>
              <w:tabs>
                <w:tab w:val="clear" w:pos="426"/>
              </w:tabs>
              <w:spacing w:line="520" w:lineRule="exac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□增值税普通发票          □增值税专用发票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8522" w:type="dxa"/>
            <w:gridSpan w:val="2"/>
            <w:vAlign w:val="center"/>
          </w:tcPr>
          <w:p>
            <w:pPr>
              <w:tabs>
                <w:tab w:val="clear" w:pos="426"/>
              </w:tabs>
              <w:spacing w:line="5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如选择增值税专用发票，需提供以下材料，投标时密封于开标信封中：</w:t>
            </w:r>
          </w:p>
          <w:p>
            <w:pPr>
              <w:tabs>
                <w:tab w:val="clear" w:pos="426"/>
              </w:tabs>
              <w:spacing w:line="5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1、营业执照、一般纳税人资格认定税务通知书或其他可证明具有该项资格证明文件的复印件，加盖单位公章； </w:t>
            </w:r>
          </w:p>
          <w:p>
            <w:pPr>
              <w:tabs>
                <w:tab w:val="clear" w:pos="426"/>
              </w:tabs>
              <w:spacing w:line="5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2、客户的开票资料（单位名称、纳税人识别号、地址、电话、开户行全称及账号</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，加盖单位公章。</w:t>
            </w:r>
          </w:p>
        </w:tc>
      </w:tr>
    </w:tbl>
    <w:p>
      <w:pPr>
        <w:tabs>
          <w:tab w:val="clear" w:pos="426"/>
        </w:tabs>
        <w:rPr>
          <w:b/>
          <w:color w:val="000000" w:themeColor="text1"/>
          <w:szCs w:val="21"/>
          <w:highlight w:val="none"/>
          <w14:textFill>
            <w14:solidFill>
              <w14:schemeClr w14:val="tx1"/>
            </w14:solidFill>
          </w14:textFill>
        </w:rPr>
      </w:pPr>
      <w:r>
        <w:rPr>
          <w:rFonts w:hint="eastAsia"/>
          <w:b/>
          <w:color w:val="000000" w:themeColor="text1"/>
          <w:sz w:val="84"/>
          <w:szCs w:val="84"/>
          <w:highlight w:val="none"/>
          <w:u w:val="dashedHeavy"/>
          <w14:textFill>
            <w14:solidFill>
              <w14:schemeClr w14:val="tx1"/>
            </w14:solidFill>
          </w14:textFill>
        </w:rPr>
        <w:t xml:space="preserve">                      </w:t>
      </w:r>
      <w:r>
        <w:rPr>
          <w:rFonts w:hint="eastAsia"/>
          <w:b/>
          <w:color w:val="000000" w:themeColor="text1"/>
          <w:szCs w:val="21"/>
          <w:highlight w:val="none"/>
          <w14:textFill>
            <w14:solidFill>
              <w14:schemeClr w14:val="tx1"/>
            </w14:solidFill>
          </w14:textFill>
        </w:rPr>
        <w:t xml:space="preserve"> </w:t>
      </w:r>
    </w:p>
    <w:p>
      <w:pPr>
        <w:tabs>
          <w:tab w:val="clear" w:pos="426"/>
        </w:tabs>
        <w:rPr>
          <w:b/>
          <w:color w:val="000000" w:themeColor="text1"/>
          <w:szCs w:val="21"/>
          <w:highlight w:val="none"/>
          <w14:textFill>
            <w14:solidFill>
              <w14:schemeClr w14:val="tx1"/>
            </w14:solidFill>
          </w14:textFill>
        </w:rPr>
      </w:pPr>
    </w:p>
    <w:p>
      <w:pPr>
        <w:tabs>
          <w:tab w:val="clear" w:pos="426"/>
        </w:tabs>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附：缴纳</w:t>
      </w:r>
      <w:r>
        <w:rPr>
          <w:b/>
          <w:color w:val="000000" w:themeColor="text1"/>
          <w:szCs w:val="21"/>
          <w:highlight w:val="none"/>
          <w14:textFill>
            <w14:solidFill>
              <w14:schemeClr w14:val="tx1"/>
            </w14:solidFill>
          </w14:textFill>
        </w:rPr>
        <w:t>招标代理服务费</w:t>
      </w:r>
      <w:r>
        <w:rPr>
          <w:rFonts w:hint="eastAsia"/>
          <w:b/>
          <w:color w:val="000000" w:themeColor="text1"/>
          <w:szCs w:val="21"/>
          <w:highlight w:val="none"/>
          <w14:textFill>
            <w14:solidFill>
              <w14:schemeClr w14:val="tx1"/>
            </w14:solidFill>
          </w14:textFill>
        </w:rPr>
        <w:t>账号</w:t>
      </w:r>
      <w:r>
        <w:rPr>
          <w:b/>
          <w:color w:val="000000" w:themeColor="text1"/>
          <w:szCs w:val="21"/>
          <w:highlight w:val="none"/>
          <w14:textFill>
            <w14:solidFill>
              <w14:schemeClr w14:val="tx1"/>
            </w14:solidFill>
          </w14:textFill>
        </w:rPr>
        <w:t>：</w:t>
      </w:r>
    </w:p>
    <w:tbl>
      <w:tblPr>
        <w:tblStyle w:val="4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收款人名称</w:t>
            </w:r>
          </w:p>
        </w:tc>
        <w:tc>
          <w:tcPr>
            <w:tcW w:w="5579" w:type="dxa"/>
            <w:vAlign w:val="center"/>
          </w:tcPr>
          <w:p>
            <w:pPr>
              <w:tabs>
                <w:tab w:val="clear" w:pos="426"/>
              </w:tabs>
              <w:spacing w:line="24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深圳市深水水务咨询有限公司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开户银行</w:t>
            </w:r>
          </w:p>
        </w:tc>
        <w:tc>
          <w:tcPr>
            <w:tcW w:w="5579" w:type="dxa"/>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中国工商银行深圳红围支行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jc w:val="center"/>
        </w:trPr>
        <w:tc>
          <w:tcPr>
            <w:tcW w:w="2943" w:type="dxa"/>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账</w:t>
            </w:r>
            <w:r>
              <w:rPr>
                <w:b/>
                <w:color w:val="000000" w:themeColor="text1"/>
                <w:szCs w:val="21"/>
                <w:highlight w:val="none"/>
                <w14:textFill>
                  <w14:solidFill>
                    <w14:schemeClr w14:val="tx1"/>
                  </w14:solidFill>
                </w14:textFill>
              </w:rPr>
              <w:t xml:space="preserve">    号</w:t>
            </w:r>
          </w:p>
        </w:tc>
        <w:tc>
          <w:tcPr>
            <w:tcW w:w="5579" w:type="dxa"/>
            <w:vAlign w:val="center"/>
          </w:tcPr>
          <w:p>
            <w:pPr>
              <w:tabs>
                <w:tab w:val="clear" w:pos="426"/>
              </w:tabs>
              <w:spacing w:line="240" w:lineRule="auto"/>
              <w:jc w:val="center"/>
              <w:rPr>
                <w:b/>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4000021219200366130</w:t>
            </w:r>
          </w:p>
        </w:tc>
      </w:tr>
      <w:bookmarkEnd w:id="84"/>
      <w:bookmarkEnd w:id="85"/>
      <w:bookmarkEnd w:id="86"/>
      <w:bookmarkEnd w:id="88"/>
    </w:tbl>
    <w:p>
      <w:pPr>
        <w:adjustRightInd/>
        <w:snapToGrid/>
        <w:spacing w:before="280" w:after="290" w:line="377" w:lineRule="auto"/>
        <w:outlineLvl w:val="3"/>
        <w:rPr>
          <w:b/>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十七、招标文件要求的其他内容及投标人认为需要加以说明的其他内容</w:t>
      </w:r>
    </w:p>
    <w:p>
      <w:pPr>
        <w:tabs>
          <w:tab w:val="clear" w:pos="426"/>
        </w:tabs>
        <w:adjustRightInd/>
        <w:snapToGrid/>
        <w:ind w:firstLine="420" w:firstLineChars="200"/>
        <w:rPr>
          <w:color w:val="000000" w:themeColor="text1"/>
          <w:highlight w:val="none"/>
          <w14:textFill>
            <w14:solidFill>
              <w14:schemeClr w14:val="tx1"/>
            </w14:solidFill>
          </w14:textFill>
        </w:rPr>
      </w:pPr>
      <w:bookmarkStart w:id="94" w:name="_Toc398220528"/>
      <w:r>
        <w:rPr>
          <w:rFonts w:hint="eastAsia"/>
          <w:color w:val="000000" w:themeColor="text1"/>
          <w:highlight w:val="none"/>
          <w14:textFill>
            <w14:solidFill>
              <w14:schemeClr w14:val="tx1"/>
            </w14:solidFill>
          </w14:textFill>
        </w:rPr>
        <w:t>提供招标公告和评标信息中关于投标人的其他相关证明文件（如评标信息中涉及的各种证件（身份证除外）、设备发票等，未涉及的可以不提供）。</w:t>
      </w:r>
    </w:p>
    <w:p>
      <w:pPr>
        <w:tabs>
          <w:tab w:val="clear" w:pos="426"/>
        </w:tabs>
        <w:rPr>
          <w:color w:val="000000" w:themeColor="text1"/>
          <w:highlight w:val="none"/>
          <w14:textFill>
            <w14:solidFill>
              <w14:schemeClr w14:val="tx1"/>
            </w14:solidFill>
          </w14:textFill>
        </w:rPr>
      </w:pPr>
    </w:p>
    <w:p>
      <w:pPr>
        <w:tabs>
          <w:tab w:val="clear" w:pos="426"/>
        </w:tabs>
        <w:rPr>
          <w:color w:val="000000" w:themeColor="text1"/>
          <w:highlight w:val="none"/>
          <w14:textFill>
            <w14:solidFill>
              <w14:schemeClr w14:val="tx1"/>
            </w14:solidFill>
          </w14:textFill>
        </w:rPr>
      </w:pPr>
    </w:p>
    <w:p>
      <w:pPr>
        <w:pStyle w:val="42"/>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95" w:name="_Toc9392"/>
      <w:bookmarkStart w:id="96" w:name="_Toc3628663"/>
      <w:r>
        <w:rPr>
          <w:rFonts w:hint="eastAsia"/>
          <w:color w:val="000000" w:themeColor="text1"/>
          <w:highlight w:val="none"/>
          <w14:textFill>
            <w14:solidFill>
              <w14:schemeClr w14:val="tx1"/>
            </w14:solidFill>
          </w14:textFill>
        </w:rPr>
        <w:t>第二册  通用条款</w:t>
      </w:r>
      <w:bookmarkEnd w:id="94"/>
      <w:bookmarkEnd w:id="95"/>
      <w:bookmarkEnd w:id="96"/>
    </w:p>
    <w:p>
      <w:pPr>
        <w:jc w:val="center"/>
        <w:rPr>
          <w:b/>
          <w:color w:val="000000" w:themeColor="text1"/>
          <w:highlight w:val="none"/>
          <w14:textFill>
            <w14:solidFill>
              <w14:schemeClr w14:val="tx1"/>
            </w14:solidFill>
          </w14:textFill>
        </w:rPr>
      </w:pPr>
      <w:bookmarkStart w:id="97" w:name="_Toc398220529"/>
      <w:bookmarkStart w:id="98" w:name="_Toc432592821"/>
      <w:r>
        <w:rPr>
          <w:rFonts w:hint="eastAsia"/>
          <w:b/>
          <w:color w:val="000000" w:themeColor="text1"/>
          <w:highlight w:val="none"/>
          <w14:textFill>
            <w14:solidFill>
              <w14:schemeClr w14:val="tx1"/>
            </w14:solidFill>
          </w14:textFill>
        </w:rPr>
        <w:t>（投标人须知）</w:t>
      </w:r>
    </w:p>
    <w:p>
      <w:pPr>
        <w:pStyle w:val="5"/>
        <w:rPr>
          <w:color w:val="000000" w:themeColor="text1"/>
          <w:highlight w:val="none"/>
          <w14:textFill>
            <w14:solidFill>
              <w14:schemeClr w14:val="tx1"/>
            </w14:solidFill>
          </w14:textFill>
        </w:rPr>
      </w:pPr>
      <w:bookmarkStart w:id="99" w:name="_Toc270"/>
      <w:bookmarkStart w:id="100" w:name="_Toc3628664"/>
      <w:r>
        <w:rPr>
          <w:rFonts w:hint="eastAsia"/>
          <w:color w:val="000000" w:themeColor="text1"/>
          <w:highlight w:val="none"/>
          <w14:textFill>
            <w14:solidFill>
              <w14:schemeClr w14:val="tx1"/>
            </w14:solidFill>
          </w14:textFill>
        </w:rPr>
        <w:t>第一章 总则</w:t>
      </w:r>
      <w:bookmarkEnd w:id="97"/>
      <w:bookmarkEnd w:id="98"/>
      <w:bookmarkEnd w:id="99"/>
      <w:bookmarkEnd w:id="100"/>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1.通用条款说明</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1.1采购代理机构发出招标文件通用条款版本，列出深圳市政府采购项目进行招标采购所适用的通用条款内容。如有需要，采购代理机构可以对这些条款增加附录或补充内容。</w:t>
      </w:r>
    </w:p>
    <w:p>
      <w:pPr>
        <w:tabs>
          <w:tab w:val="clear" w:pos="426"/>
        </w:tabs>
        <w:rPr>
          <w:color w:val="000000" w:themeColor="text1"/>
          <w:highlight w:val="none"/>
          <w14:textFill>
            <w14:solidFill>
              <w14:schemeClr w14:val="tx1"/>
            </w14:solidFill>
          </w14:textFill>
        </w:rPr>
      </w:pPr>
      <w:bookmarkStart w:id="101" w:name="_Toc60560627"/>
      <w:bookmarkStart w:id="102" w:name="_Toc60631622"/>
      <w:bookmarkStart w:id="103" w:name="_Toc73521637"/>
      <w:bookmarkStart w:id="104" w:name="_Toc73517641"/>
      <w:bookmarkStart w:id="105" w:name="_Toc100052366"/>
      <w:bookmarkStart w:id="106" w:name="_Toc73518119"/>
      <w:bookmarkStart w:id="107" w:name="_Toc73521549"/>
      <w:bookmarkStart w:id="108" w:name="_Toc100052368"/>
      <w:bookmarkStart w:id="109" w:name="_Toc60560629"/>
      <w:bookmarkStart w:id="110" w:name="_Toc73521639"/>
      <w:bookmarkStart w:id="111" w:name="_Toc73518121"/>
      <w:bookmarkStart w:id="112" w:name="_Toc73521551"/>
      <w:bookmarkStart w:id="113" w:name="_Toc73517643"/>
      <w:bookmarkStart w:id="114" w:name="_Toc60631624"/>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招标说明</w:t>
      </w:r>
      <w:bookmarkEnd w:id="101"/>
      <w:bookmarkEnd w:id="102"/>
      <w:bookmarkEnd w:id="103"/>
      <w:bookmarkEnd w:id="104"/>
      <w:bookmarkEnd w:id="105"/>
      <w:bookmarkEnd w:id="106"/>
      <w:bookmarkEnd w:id="107"/>
    </w:p>
    <w:p>
      <w:pPr>
        <w:tabs>
          <w:tab w:val="clear" w:pos="426"/>
        </w:tabs>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本项目按照《深圳经济特区政府采购条例》《深圳网上政府采购管理暂行办法》《深圳市政府采购评标定标分离管理暂行办法》的规定，并参考有关法规、政策、规章、规定通过招标择优选定供应商。</w:t>
      </w:r>
      <w:r>
        <w:rPr>
          <w:rFonts w:hint="eastAsia"/>
          <w:color w:val="000000" w:themeColor="text1"/>
          <w:szCs w:val="21"/>
          <w:highlight w:val="none"/>
          <w14:textFill>
            <w14:solidFill>
              <w14:schemeClr w14:val="tx1"/>
            </w14:solidFill>
          </w14:textFill>
        </w:rPr>
        <w:t>本招标文件适用于采购公告中所述项目的政府采购。</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本招标文件的解释权归属深圳市深水水务咨询有限公司。</w:t>
      </w:r>
    </w:p>
    <w:p>
      <w:pPr>
        <w:tabs>
          <w:tab w:val="clear" w:pos="426"/>
        </w:tabs>
        <w:rPr>
          <w:color w:val="000000" w:themeColor="text1"/>
          <w:highlight w:val="none"/>
          <w14:textFill>
            <w14:solidFill>
              <w14:schemeClr w14:val="tx1"/>
            </w14:solidFill>
          </w14:textFill>
        </w:rPr>
      </w:pPr>
      <w:bookmarkStart w:id="115" w:name="_Toc73521550"/>
      <w:bookmarkStart w:id="116" w:name="_Toc100052367"/>
      <w:bookmarkStart w:id="117" w:name="_Toc73517642"/>
      <w:bookmarkStart w:id="118" w:name="_Toc73518120"/>
      <w:bookmarkStart w:id="119" w:name="_Toc60631623"/>
      <w:bookmarkStart w:id="120" w:name="_Toc73521638"/>
      <w:bookmarkStart w:id="121" w:name="_Toc60560628"/>
      <w:r>
        <w:rPr>
          <w:rFonts w:hint="eastAsia"/>
          <w:color w:val="000000" w:themeColor="text1"/>
          <w:highlight w:val="none"/>
          <w14:textFill>
            <w14:solidFill>
              <w14:schemeClr w14:val="tx1"/>
            </w14:solidFill>
          </w14:textFill>
        </w:rPr>
        <w:t>3．定义</w:t>
      </w:r>
      <w:bookmarkEnd w:id="115"/>
      <w:bookmarkEnd w:id="116"/>
      <w:bookmarkEnd w:id="117"/>
      <w:bookmarkEnd w:id="118"/>
      <w:bookmarkEnd w:id="119"/>
      <w:bookmarkEnd w:id="120"/>
      <w:bookmarkEnd w:id="121"/>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招标文件中下列术语应解释为：</w:t>
      </w:r>
    </w:p>
    <w:p>
      <w:pPr>
        <w:tabs>
          <w:tab w:val="clear" w:pos="426"/>
        </w:tabs>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“采购代理机构”</w:t>
      </w:r>
      <w:r>
        <w:rPr>
          <w:rFonts w:hint="eastAsia"/>
          <w:color w:val="000000" w:themeColor="text1"/>
          <w:highlight w:val="none"/>
          <w14:textFill>
            <w14:solidFill>
              <w14:schemeClr w14:val="tx1"/>
            </w14:solidFill>
          </w14:textFill>
        </w:rPr>
        <w:t>系指政府设立的负责本级财政性资金的集中采购和招标组织工作的专门机构；本项目</w:t>
      </w:r>
      <w:r>
        <w:rPr>
          <w:color w:val="000000" w:themeColor="text1"/>
          <w:highlight w:val="none"/>
          <w14:textFill>
            <w14:solidFill>
              <w14:schemeClr w14:val="tx1"/>
            </w14:solidFill>
          </w14:textFill>
        </w:rPr>
        <w:t>系指</w:t>
      </w:r>
      <w:r>
        <w:rPr>
          <w:rFonts w:hint="eastAsia"/>
          <w:color w:val="000000" w:themeColor="text1"/>
          <w:highlight w:val="none"/>
          <w14:textFill>
            <w14:solidFill>
              <w14:schemeClr w14:val="tx1"/>
            </w14:solidFill>
          </w14:textFill>
        </w:rPr>
        <w:t>深圳市深水水务咨询有限公司；</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3.2“采购人”或“采购单位”：系指利用财政性资金依法进行政府采购的国家机关、事业单位、团体组织；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3.3“投标人”或“投标方”，即供应商，是指参加投标竞争并愿意按照招标文件要求向采购人提供货物、工程或者服务的依法成立的法人、其他组织或者自然人；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3.4“评标委员会”和“谈判小组”是依据《深圳经济特区政府采购条例》有关规定组建的专门负责本次招标其评标（谈判）工作的临时性机构；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3.5“日期”</w:t>
      </w:r>
      <w:r>
        <w:rPr>
          <w:color w:val="000000" w:themeColor="text1"/>
          <w:highlight w:val="none"/>
          <w14:textFill>
            <w14:solidFill>
              <w14:schemeClr w14:val="tx1"/>
            </w14:solidFill>
          </w14:textFill>
        </w:rPr>
        <w:t>指</w:t>
      </w:r>
      <w:r>
        <w:rPr>
          <w:rFonts w:hint="eastAsia"/>
          <w:color w:val="000000" w:themeColor="text1"/>
          <w:highlight w:val="none"/>
          <w14:textFill>
            <w14:solidFill>
              <w14:schemeClr w14:val="tx1"/>
            </w14:solidFill>
          </w14:textFill>
        </w:rPr>
        <w:t>公历日；</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3.6“合同”指由本次招标所产生的合同或合约文件；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3.7招标文件中的标题或题名仅起引导作用，而不应视为对招标文件内容的理解和解释。</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 政府采购供应商责任</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4.1欢迎诚信、有实力和有社会责任心的供应商参与政府采购事业。</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供应商在政府采购项目投标过程中应诚实守信，不弄虚作假，不隐瞒真实情况，不围标串标，不恶意质疑投诉。如违反上述要求，经核实后，供应商的投标将作废，将该供应商列入不良记录名单并在网上曝光，同时提请政府采购监督管理部门给予一定年限内禁止参加政府采购活动的处罚或其他处罚。</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bookmarkEnd w:id="108"/>
      <w:bookmarkEnd w:id="109"/>
      <w:bookmarkEnd w:id="110"/>
      <w:bookmarkEnd w:id="111"/>
      <w:bookmarkEnd w:id="112"/>
      <w:bookmarkEnd w:id="113"/>
      <w:bookmarkEnd w:id="114"/>
      <w:r>
        <w:rPr>
          <w:rFonts w:hint="eastAsia"/>
          <w:color w:val="000000" w:themeColor="text1"/>
          <w:highlight w:val="none"/>
          <w14:textFill>
            <w14:solidFill>
              <w14:schemeClr w14:val="tx1"/>
            </w14:solidFill>
          </w14:textFill>
        </w:rPr>
        <w:t>合格的投标人</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bookmarkStart w:id="122" w:name="_Toc100052370"/>
      <w:bookmarkStart w:id="123" w:name="_Toc73517645"/>
      <w:bookmarkStart w:id="124" w:name="_Toc73521641"/>
      <w:bookmarkStart w:id="125" w:name="_Toc60560631"/>
      <w:bookmarkStart w:id="126" w:name="_Toc60631626"/>
      <w:bookmarkStart w:id="127" w:name="_Toc73518123"/>
      <w:bookmarkStart w:id="128" w:name="_Toc73521553"/>
      <w:r>
        <w:rPr>
          <w:rFonts w:hint="eastAsia"/>
          <w:color w:val="000000" w:themeColor="text1"/>
          <w:szCs w:val="21"/>
          <w:highlight w:val="none"/>
          <w14:textFill>
            <w14:solidFill>
              <w14:schemeClr w14:val="tx1"/>
            </w14:solidFill>
          </w14:textFill>
        </w:rPr>
        <w:t>5.1 投标人是响应招标并且符合招标文件规定资格条件和参加投标竞争的法人、其他组织或者自然人。</w:t>
      </w:r>
    </w:p>
    <w:p>
      <w:pPr>
        <w:widowControl w:val="0"/>
        <w:shd w:val="clear" w:color="auto" w:fill="auto"/>
        <w:tabs>
          <w:tab w:val="clear" w:pos="426"/>
        </w:tabs>
        <w:autoSpaceDE w:val="0"/>
        <w:autoSpaceDN w:val="0"/>
        <w:rPr>
          <w:color w:val="000000" w:themeColor="text1"/>
          <w:szCs w:val="21"/>
          <w:highlight w:val="none"/>
          <w:lang w:eastAsia="zh-TW"/>
          <w14:textFill>
            <w14:solidFill>
              <w14:schemeClr w14:val="tx1"/>
            </w14:solidFill>
          </w14:textFill>
        </w:rPr>
      </w:pPr>
      <w:r>
        <w:rPr>
          <w:rFonts w:hint="eastAsia"/>
          <w:color w:val="000000" w:themeColor="text1"/>
          <w:szCs w:val="21"/>
          <w:highlight w:val="none"/>
          <w14:textFill>
            <w14:solidFill>
              <w14:schemeClr w14:val="tx1"/>
            </w14:solidFill>
          </w14:textFill>
        </w:rPr>
        <w:t xml:space="preserve">5.2 </w:t>
      </w:r>
      <w:r>
        <w:rPr>
          <w:rFonts w:hint="eastAsia"/>
          <w:color w:val="000000" w:themeColor="text1"/>
          <w:szCs w:val="21"/>
          <w:highlight w:val="none"/>
          <w:lang w:eastAsia="zh-TW"/>
          <w14:textFill>
            <w14:solidFill>
              <w14:schemeClr w14:val="tx1"/>
            </w14:solidFill>
          </w14:textFill>
        </w:rPr>
        <w:t>合格的投标人</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5.2.1 </w:t>
      </w:r>
      <w:r>
        <w:rPr>
          <w:color w:val="000000" w:themeColor="text1"/>
          <w:szCs w:val="21"/>
          <w:highlight w:val="none"/>
          <w14:textFill>
            <w14:solidFill>
              <w14:schemeClr w14:val="tx1"/>
            </w14:solidFill>
          </w14:textFill>
        </w:rPr>
        <w:t>具有独立承担民事责任的能力。</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5.2.2 </w:t>
      </w:r>
      <w:r>
        <w:rPr>
          <w:color w:val="000000" w:themeColor="text1"/>
          <w:szCs w:val="21"/>
          <w:highlight w:val="none"/>
          <w14:textFill>
            <w14:solidFill>
              <w14:schemeClr w14:val="tx1"/>
            </w14:solidFill>
          </w14:textFill>
        </w:rPr>
        <w:t>具有良好的商业信誉和健全的财务会计制度</w:t>
      </w:r>
      <w:r>
        <w:rPr>
          <w:rFonts w:hint="eastAsia"/>
          <w:color w:val="000000" w:themeColor="text1"/>
          <w:szCs w:val="21"/>
          <w:highlight w:val="none"/>
          <w14:textFill>
            <w14:solidFill>
              <w14:schemeClr w14:val="tx1"/>
            </w14:solidFill>
          </w14:textFill>
        </w:rPr>
        <w:t>。</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5.2.3 </w:t>
      </w:r>
      <w:r>
        <w:rPr>
          <w:color w:val="000000" w:themeColor="text1"/>
          <w:szCs w:val="21"/>
          <w:highlight w:val="none"/>
          <w14:textFill>
            <w14:solidFill>
              <w14:schemeClr w14:val="tx1"/>
            </w14:solidFill>
          </w14:textFill>
        </w:rPr>
        <w:t>具有履行合同所必需的设备和专业技术能力</w:t>
      </w:r>
      <w:r>
        <w:rPr>
          <w:rFonts w:hint="eastAsia"/>
          <w:color w:val="000000" w:themeColor="text1"/>
          <w:szCs w:val="21"/>
          <w:highlight w:val="none"/>
          <w14:textFill>
            <w14:solidFill>
              <w14:schemeClr w14:val="tx1"/>
            </w14:solidFill>
          </w14:textFill>
        </w:rPr>
        <w:t>。</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5.2.4 </w:t>
      </w:r>
      <w:r>
        <w:rPr>
          <w:color w:val="000000" w:themeColor="text1"/>
          <w:szCs w:val="21"/>
          <w:highlight w:val="none"/>
          <w14:textFill>
            <w14:solidFill>
              <w14:schemeClr w14:val="tx1"/>
            </w14:solidFill>
          </w14:textFill>
        </w:rPr>
        <w:t>有依法缴纳税收和社会保障资金的良好记录</w:t>
      </w:r>
      <w:r>
        <w:rPr>
          <w:rFonts w:hint="eastAsia"/>
          <w:color w:val="000000" w:themeColor="text1"/>
          <w:szCs w:val="21"/>
          <w:highlight w:val="none"/>
          <w14:textFill>
            <w14:solidFill>
              <w14:schemeClr w14:val="tx1"/>
            </w14:solidFill>
          </w14:textFill>
        </w:rPr>
        <w:t>。</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5.2.5 </w:t>
      </w:r>
      <w:r>
        <w:rPr>
          <w:color w:val="000000" w:themeColor="text1"/>
          <w:szCs w:val="21"/>
          <w:highlight w:val="none"/>
          <w14:textFill>
            <w14:solidFill>
              <w14:schemeClr w14:val="tx1"/>
            </w14:solidFill>
          </w14:textFill>
        </w:rPr>
        <w:t>参加政府采购活动前三年内，在经营活动中没有重大违法记录</w:t>
      </w:r>
      <w:r>
        <w:rPr>
          <w:rFonts w:hint="eastAsia"/>
          <w:color w:val="000000" w:themeColor="text1"/>
          <w:szCs w:val="21"/>
          <w:highlight w:val="none"/>
          <w14:textFill>
            <w14:solidFill>
              <w14:schemeClr w14:val="tx1"/>
            </w14:solidFill>
          </w14:textFill>
        </w:rPr>
        <w:t>。</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5.2.6 </w:t>
      </w:r>
      <w:r>
        <w:rPr>
          <w:color w:val="000000" w:themeColor="text1"/>
          <w:szCs w:val="21"/>
          <w:highlight w:val="none"/>
          <w14:textFill>
            <w14:solidFill>
              <w14:schemeClr w14:val="tx1"/>
            </w14:solidFill>
          </w14:textFill>
        </w:rPr>
        <w:t>法律、行政法规规定的其他条件</w:t>
      </w:r>
      <w:r>
        <w:rPr>
          <w:rFonts w:hint="eastAsia"/>
          <w:color w:val="000000" w:themeColor="text1"/>
          <w:szCs w:val="21"/>
          <w:highlight w:val="none"/>
          <w14:textFill>
            <w14:solidFill>
              <w14:schemeClr w14:val="tx1"/>
            </w14:solidFill>
          </w14:textFill>
        </w:rPr>
        <w:t>。</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5.2.7 只有在法律上和财务上独立、合法运作并独立于采购人和政府采购代理机构的供货商才能参加投标。</w:t>
      </w:r>
    </w:p>
    <w:p>
      <w:pPr>
        <w:widowControl w:val="0"/>
        <w:shd w:val="clear" w:color="auto" w:fill="auto"/>
        <w:tabs>
          <w:tab w:val="clear" w:pos="426"/>
        </w:tabs>
        <w:autoSpaceDE w:val="0"/>
        <w:autoSpaceDN w:val="0"/>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5.2.8 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5.2.9 符合</w:t>
      </w:r>
      <w:r>
        <w:rPr>
          <w:rFonts w:hint="eastAsia" w:cs="黑体"/>
          <w:color w:val="000000" w:themeColor="text1"/>
          <w:szCs w:val="21"/>
          <w:highlight w:val="none"/>
          <w14:textFill>
            <w14:solidFill>
              <w14:schemeClr w14:val="tx1"/>
            </w14:solidFill>
          </w14:textFill>
        </w:rPr>
        <w:t>第一章采购公告“投标人资格要求”</w:t>
      </w:r>
      <w:r>
        <w:rPr>
          <w:rFonts w:hint="eastAsia"/>
          <w:color w:val="000000" w:themeColor="text1"/>
          <w:szCs w:val="21"/>
          <w:highlight w:val="none"/>
          <w14:textFill>
            <w14:solidFill>
              <w14:schemeClr w14:val="tx1"/>
            </w14:solidFill>
          </w14:textFill>
        </w:rPr>
        <w:t>的条款</w:t>
      </w:r>
      <w:r>
        <w:rPr>
          <w:rFonts w:hint="eastAsia" w:cs="黑体"/>
          <w:color w:val="000000" w:themeColor="text1"/>
          <w:szCs w:val="21"/>
          <w:highlight w:val="none"/>
          <w14:textFill>
            <w14:solidFill>
              <w14:schemeClr w14:val="tx1"/>
            </w14:solidFill>
          </w14:textFill>
        </w:rPr>
        <w:t>。</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5.3 中标人是指经法定程序确定并授予合同的投标人。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6．联合体投标</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6.1　以下有关联合体投标的条款仅适用于允许投标人组成联合体投标的项目。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　由两个或两个以上的自然人、法人或者其他组织可以组成一个联合体，以一个供应商的身份共同投标时，应符合以下原则：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w:t>
      </w:r>
      <w:r>
        <w:rPr>
          <w:rFonts w:hint="eastAsia"/>
          <w:bCs/>
          <w:color w:val="000000" w:themeColor="text1"/>
          <w:highlight w:val="none"/>
          <w14:textFill>
            <w14:solidFill>
              <w14:schemeClr w14:val="tx1"/>
            </w14:solidFill>
          </w14:textFill>
        </w:rPr>
        <w:t>1投标联合体应满足采购公告有关投标人资格要求中对联合体的要求；</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6.2.2对于采购公告中所要求投标人应具有的某一资质，若联合体各方均具有，则将以联合体各方中最低的资质等级作为联合体在这一资质条件上的资质等级；联合体各方的不同资质可优势互补。</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6.2.3投标人的投标文件及中标后签署的合同协议对联合体各方均具法律约束力；</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6.2.4联合体各方应当签订共同投标协议，明确约定各方拟承担的工作和责任，并将该共同投标协议随投标文件一并递交给政府采购代理机构；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6.2.5联合体的各方应当共同推荐一联合体投标授权代表人，由联合体各方提交一份授权书，证明其有资格代表联合体各方签署投标文件，该授权书作为投标文件的组成部分一并提交给政府采购代理机构；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6.2.7除非另有规定或说明，本须知中“投标人”一词亦指联合体各方。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 合格的服务和货物</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7.1 “服务” 是指投标人按招标文件规定完成的全部服务内容，其中包括完成服务所需的货物，及须承担的技术支持、培训和其它伴随服务。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7.2 “货物”是指投标人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7.3 投标人提供的所有服务，其质量、技术等特征必须符合国家、行业现行法律、法规的相关标准和《中华人民共和国政府采购法》的有关规定及用户需求。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7.4 采购人有权拒绝接受任何不合格的服务，由此产生的费用及相关后果均由供应商自行承担。</w:t>
      </w:r>
    </w:p>
    <w:p>
      <w:pPr>
        <w:widowControl w:val="0"/>
        <w:shd w:val="clear" w:color="auto" w:fill="auto"/>
        <w:tabs>
          <w:tab w:val="clear" w:pos="426"/>
        </w:tabs>
        <w:autoSpaceDE w:val="0"/>
        <w:autoSpaceDN w:val="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7.5 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8．投标费用</w:t>
      </w:r>
      <w:bookmarkEnd w:id="122"/>
      <w:bookmarkEnd w:id="123"/>
      <w:bookmarkEnd w:id="124"/>
      <w:bookmarkEnd w:id="125"/>
      <w:bookmarkEnd w:id="126"/>
      <w:bookmarkEnd w:id="127"/>
      <w:bookmarkEnd w:id="128"/>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不论投标结果如何，投标人应承担其编制投标文件与递交投标文件所涉及的一切费用。</w:t>
      </w:r>
      <w:r>
        <w:rPr>
          <w:rFonts w:hint="eastAsia"/>
          <w:color w:val="000000" w:themeColor="text1"/>
          <w:szCs w:val="21"/>
          <w:highlight w:val="none"/>
          <w:lang w:eastAsia="zh-TW"/>
          <w14:textFill>
            <w14:solidFill>
              <w14:schemeClr w14:val="tx1"/>
            </w14:solidFill>
          </w14:textFill>
        </w:rPr>
        <w:t>不论投标的结果如何</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TW"/>
          <w14:textFill>
            <w14:solidFill>
              <w14:schemeClr w14:val="tx1"/>
            </w14:solidFill>
          </w14:textFill>
        </w:rPr>
        <w:t>招标采购单位均无义务和责任承担这些费用</w:t>
      </w:r>
      <w:r>
        <w:rPr>
          <w:rFonts w:hint="eastAsia"/>
          <w:color w:val="000000" w:themeColor="text1"/>
          <w:szCs w:val="21"/>
          <w:highlight w:val="none"/>
          <w14:textFill>
            <w14:solidFill>
              <w14:schemeClr w14:val="tx1"/>
            </w14:solidFill>
          </w14:textFill>
        </w:rPr>
        <w:t>。</w:t>
      </w:r>
    </w:p>
    <w:p>
      <w:pPr>
        <w:tabs>
          <w:tab w:val="clear" w:pos="426"/>
        </w:tabs>
        <w:rPr>
          <w:color w:val="000000" w:themeColor="text1"/>
          <w:highlight w:val="none"/>
          <w14:textFill>
            <w14:solidFill>
              <w14:schemeClr w14:val="tx1"/>
            </w14:solidFill>
          </w14:textFill>
        </w:rPr>
      </w:pPr>
      <w:bookmarkStart w:id="129" w:name="_Toc100052371"/>
      <w:bookmarkStart w:id="130" w:name="_Toc73517646"/>
      <w:bookmarkStart w:id="131" w:name="_Toc73518124"/>
      <w:bookmarkStart w:id="132" w:name="_Toc60631627"/>
      <w:bookmarkStart w:id="133" w:name="_Toc60560632"/>
      <w:bookmarkStart w:id="134" w:name="_Toc73521642"/>
      <w:bookmarkStart w:id="135" w:name="_Toc73521554"/>
      <w:r>
        <w:rPr>
          <w:rFonts w:hint="eastAsia"/>
          <w:color w:val="000000" w:themeColor="text1"/>
          <w:highlight w:val="none"/>
          <w14:textFill>
            <w14:solidFill>
              <w14:schemeClr w14:val="tx1"/>
            </w14:solidFill>
          </w14:textFill>
        </w:rPr>
        <w:t>9．踏勘现场</w:t>
      </w:r>
      <w:bookmarkEnd w:id="129"/>
      <w:bookmarkEnd w:id="130"/>
      <w:bookmarkEnd w:id="131"/>
      <w:bookmarkEnd w:id="132"/>
      <w:bookmarkEnd w:id="133"/>
      <w:bookmarkEnd w:id="134"/>
      <w:bookmarkEnd w:id="135"/>
    </w:p>
    <w:p>
      <w:pPr>
        <w:tabs>
          <w:tab w:val="clear" w:pos="426"/>
        </w:tabs>
        <w:rPr>
          <w:color w:val="000000" w:themeColor="text1"/>
          <w:highlight w:val="none"/>
          <w14:textFill>
            <w14:solidFill>
              <w14:schemeClr w14:val="tx1"/>
            </w14:solidFill>
          </w14:textFill>
        </w:rPr>
      </w:pPr>
      <w:bookmarkStart w:id="136" w:name="_Toc78260681"/>
      <w:bookmarkStart w:id="137" w:name="_Toc100052372"/>
      <w:r>
        <w:rPr>
          <w:rFonts w:hint="eastAsia"/>
          <w:color w:val="000000" w:themeColor="text1"/>
          <w:highlight w:val="none"/>
          <w14:textFill>
            <w14:solidFill>
              <w14:schemeClr w14:val="tx1"/>
            </w14:solidFill>
          </w14:textFill>
        </w:rPr>
        <w:t>9.1如有需要，采购代理机构或采购单位将组织投标人对项目现场及周围环境进行踏勘，以便投标人获取有关编制投标文件和签署合同所需的所有资料。踏勘现场所发生的费用和风险由投标人自己承担，投标人应按采购公告所约定的时间、地点统一踏勘现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9.2投标人及其人员经过采购单位的允许，可以踏勘目的进入采购单位的项目现场。若本项目招标文件要求投标人于统一时间地点踏勘现场的，投标人按时前往。</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9.3采购单位必须通过采购代理机构向投标人提供有关现场的资料和数据。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9.4任何人或任何组织在踏勘现场时向投标人提交的任何书面或口头上的资料，未经采购代理机构在网上发布或书面通知，均作无效处理。采购代理机构对投标人由此而做出的推论、理解和结论概不负责。</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9.5 未参与现场踏勘不作为否定投标人资格的理由。</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10．招标</w:t>
      </w:r>
      <w:bookmarkEnd w:id="136"/>
      <w:r>
        <w:rPr>
          <w:rFonts w:hint="eastAsia"/>
          <w:color w:val="000000" w:themeColor="text1"/>
          <w:highlight w:val="none"/>
          <w14:textFill>
            <w14:solidFill>
              <w14:schemeClr w14:val="tx1"/>
            </w14:solidFill>
          </w14:textFill>
        </w:rPr>
        <w:t>答疑</w:t>
      </w:r>
      <w:bookmarkEnd w:id="137"/>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10.1招标答疑的目的是澄清、解答投标人在查阅招标文件后或现场踏勘中可能提出的与投标有关的疑问或询问。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10.2投标人提出的与投标有关的问题须在招标文件规定的答疑截止时间前以 “质疑函</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的形式提交给采购代理机构，质疑函应该加盖质疑单位公章。</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10.3采购代理机构对疑问所做出的澄清和解答，以书面答复（包括网站发布信息）为准。答疑纪要的有效性规定按照本通用条款第13</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款规定执行。</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10.4如采购代理机构认为有必要组织现场答疑会，投标人应按照招标文件规定的时间或采购代理机构另行书面通知（包括网站发布的通知）的时间和地点，参与现场答疑会。</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10.5未参与招标答疑不作为否定投标人资格的理由。</w:t>
      </w:r>
    </w:p>
    <w:p>
      <w:pPr>
        <w:pStyle w:val="5"/>
        <w:tabs>
          <w:tab w:val="clear" w:pos="426"/>
        </w:tabs>
        <w:rPr>
          <w:color w:val="000000" w:themeColor="text1"/>
          <w:highlight w:val="none"/>
          <w14:textFill>
            <w14:solidFill>
              <w14:schemeClr w14:val="tx1"/>
            </w14:solidFill>
          </w14:textFill>
        </w:rPr>
      </w:pPr>
      <w:bookmarkStart w:id="138" w:name="bt招标文件"/>
      <w:bookmarkEnd w:id="138"/>
      <w:bookmarkStart w:id="139" w:name="_Toc26645"/>
      <w:bookmarkStart w:id="140" w:name="_Toc73518126"/>
      <w:bookmarkStart w:id="141" w:name="_Toc432592822"/>
      <w:bookmarkStart w:id="142" w:name="_Toc101074878"/>
      <w:bookmarkStart w:id="143" w:name="_Toc3628665"/>
      <w:bookmarkStart w:id="144" w:name="_Toc73521644"/>
      <w:bookmarkStart w:id="145" w:name="_Toc73521556"/>
      <w:bookmarkStart w:id="146" w:name="_Toc398220530"/>
      <w:bookmarkStart w:id="147" w:name="_Toc73517648"/>
      <w:bookmarkStart w:id="148" w:name="_Toc100052373"/>
      <w:r>
        <w:rPr>
          <w:rFonts w:hint="eastAsia"/>
          <w:color w:val="000000" w:themeColor="text1"/>
          <w:highlight w:val="none"/>
          <w14:textFill>
            <w14:solidFill>
              <w14:schemeClr w14:val="tx1"/>
            </w14:solidFill>
          </w14:textFill>
        </w:rPr>
        <w:t>第二章 招标文件</w:t>
      </w:r>
      <w:bookmarkEnd w:id="139"/>
      <w:bookmarkEnd w:id="140"/>
      <w:bookmarkEnd w:id="141"/>
      <w:bookmarkEnd w:id="142"/>
      <w:bookmarkEnd w:id="143"/>
      <w:bookmarkEnd w:id="144"/>
      <w:bookmarkEnd w:id="145"/>
      <w:bookmarkEnd w:id="146"/>
      <w:bookmarkEnd w:id="147"/>
      <w:bookmarkEnd w:id="148"/>
    </w:p>
    <w:p>
      <w:pPr>
        <w:tabs>
          <w:tab w:val="clear" w:pos="426"/>
        </w:tabs>
        <w:rPr>
          <w:color w:val="000000" w:themeColor="text1"/>
          <w:highlight w:val="none"/>
          <w14:textFill>
            <w14:solidFill>
              <w14:schemeClr w14:val="tx1"/>
            </w14:solidFill>
          </w14:textFill>
        </w:rPr>
      </w:pPr>
      <w:bookmarkStart w:id="149" w:name="_Toc100052374"/>
      <w:bookmarkStart w:id="150" w:name="_Toc73517649"/>
      <w:bookmarkStart w:id="151" w:name="_Toc73521557"/>
      <w:bookmarkStart w:id="152" w:name="_Toc73518127"/>
      <w:bookmarkStart w:id="153" w:name="_Toc73521645"/>
      <w:r>
        <w:rPr>
          <w:rFonts w:hint="eastAsia"/>
          <w:color w:val="000000" w:themeColor="text1"/>
          <w:highlight w:val="none"/>
          <w14:textFill>
            <w14:solidFill>
              <w14:schemeClr w14:val="tx1"/>
            </w14:solidFill>
          </w14:textFill>
        </w:rPr>
        <w:t>11．招标文件的编制与组成</w:t>
      </w:r>
      <w:bookmarkEnd w:id="149"/>
      <w:bookmarkEnd w:id="150"/>
      <w:bookmarkEnd w:id="151"/>
      <w:bookmarkEnd w:id="152"/>
      <w:bookmarkEnd w:id="153"/>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11.1招标文件除以下内容外，采购代理机构在招标（或谈判）期间发出的答疑纪要和其他补充修改函件，均是招标文件的组成部分，对投标人起约束作用；</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招标文件包括下列内容：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项目关键信息</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评标信息</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第一册  专用条款</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  采购公告</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  招标项目需求</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第三章  合同条款及格式</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第四章  投标文件格式、附件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第五章  政府采购履约情况反馈表</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第二册  通用条款</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  总则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  招标文件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第三章  投标文件的编制与递交</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第四章  开标</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第五章  评标要求</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第六章  评标程序及评标方法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第七章  定标及公示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第八章  公开招标失败的后续处理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第九章  合同的授予与备案</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第十章  质疑处理</w:t>
      </w:r>
    </w:p>
    <w:p>
      <w:pPr>
        <w:tabs>
          <w:tab w:val="clear" w:pos="426"/>
        </w:tabs>
        <w:rPr>
          <w:color w:val="000000" w:themeColor="text1"/>
          <w:highlight w:val="none"/>
          <w14:textFill>
            <w14:solidFill>
              <w14:schemeClr w14:val="tx1"/>
            </w14:solidFill>
          </w14:textFill>
        </w:rPr>
      </w:pPr>
      <w:bookmarkStart w:id="154" w:name="_Toc73518128"/>
      <w:bookmarkStart w:id="155" w:name="_Toc60560636"/>
      <w:bookmarkStart w:id="156" w:name="_Toc73517650"/>
      <w:bookmarkStart w:id="157" w:name="_Toc100052375"/>
      <w:bookmarkStart w:id="158" w:name="_Toc73521646"/>
      <w:bookmarkStart w:id="159" w:name="_Toc73521558"/>
      <w:bookmarkStart w:id="160" w:name="_Toc60631631"/>
      <w:bookmarkStart w:id="161" w:name="_Toc100052376"/>
      <w:bookmarkStart w:id="162" w:name="_Toc73521559"/>
      <w:bookmarkStart w:id="163" w:name="_Toc60560637"/>
      <w:bookmarkStart w:id="164" w:name="_Toc73518129"/>
      <w:bookmarkStart w:id="165" w:name="_Toc73517651"/>
      <w:bookmarkStart w:id="166" w:name="_Toc60631632"/>
      <w:bookmarkStart w:id="167" w:name="_Toc73521647"/>
      <w:r>
        <w:rPr>
          <w:rFonts w:hint="eastAsia"/>
          <w:color w:val="000000" w:themeColor="text1"/>
          <w:highlight w:val="none"/>
          <w14:textFill>
            <w14:solidFill>
              <w14:schemeClr w14:val="tx1"/>
            </w14:solidFill>
          </w14:textFill>
        </w:rPr>
        <w:t>11.2 投标人购买招标文件后，应仔细检查招标文件的所有内容，如有残缺应在答疑截止时间之前向采购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11.3</w:t>
      </w:r>
      <w:r>
        <w:rPr>
          <w:rFonts w:hint="eastAsia"/>
          <w:color w:val="000000" w:themeColor="text1"/>
          <w:highlight w:val="none"/>
          <w14:textFill>
            <w14:solidFill>
              <w14:schemeClr w14:val="tx1"/>
            </w14:solidFill>
          </w14:textFill>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12．招标文件的澄清</w:t>
      </w:r>
      <w:bookmarkEnd w:id="154"/>
      <w:bookmarkEnd w:id="155"/>
      <w:bookmarkEnd w:id="156"/>
      <w:bookmarkEnd w:id="157"/>
      <w:bookmarkEnd w:id="158"/>
      <w:bookmarkEnd w:id="159"/>
      <w:bookmarkEnd w:id="160"/>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12.1投标人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人的要求对招标文件做出澄清，采购代理机构都将在投标截止日期前以书面形式（包括深圳市政府采购中心网站公开发布方式）答复或发送给所有投标人。澄清纪要作为招标文件的组成部分，对投标人起约束作用；</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12.2对于没有提出澄清又参与了该项目投标的供应商将被视为完全认同该招标文件（含澄清纪要），投标截止期后不再受理针对招标文件的相关质疑或投诉。</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12.3 对招标文件中描述有歧意或前后不一致的地方，评标委员会有权进行评判，但对同一条款的评判应适用于每个投标人。</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3．招标文件的修改</w:t>
      </w:r>
      <w:bookmarkEnd w:id="161"/>
      <w:bookmarkEnd w:id="162"/>
      <w:bookmarkEnd w:id="163"/>
      <w:bookmarkEnd w:id="164"/>
      <w:bookmarkEnd w:id="165"/>
      <w:bookmarkEnd w:id="166"/>
      <w:bookmarkEnd w:id="167"/>
    </w:p>
    <w:p>
      <w:pPr>
        <w:tabs>
          <w:tab w:val="clear" w:pos="426"/>
        </w:tabs>
        <w:rPr>
          <w:color w:val="000000" w:themeColor="text1"/>
          <w:highlight w:val="none"/>
          <w14:textFill>
            <w14:solidFill>
              <w14:schemeClr w14:val="tx1"/>
            </w14:solidFill>
          </w14:textFill>
        </w:rPr>
      </w:pPr>
      <w:bookmarkStart w:id="168" w:name="bt投标文件"/>
      <w:bookmarkEnd w:id="168"/>
      <w:bookmarkStart w:id="169" w:name="_Toc101074879"/>
      <w:bookmarkStart w:id="170" w:name="_Toc73518130"/>
      <w:bookmarkStart w:id="171" w:name="_Toc73521648"/>
      <w:bookmarkStart w:id="172" w:name="_Toc100052377"/>
      <w:bookmarkStart w:id="173" w:name="_Toc73521560"/>
      <w:bookmarkStart w:id="174" w:name="_Toc73517652"/>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3.1招标文件发出后，在投标截止日期前任何时候，确需要变更招标内容的，采购代理机构可主动地或在解答投标人提出的澄清问题时对招标文件进行修改；</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3.2招标文件的修改以书面形式（包括网站公开发布方式）发送给所有投标人，招标文件的修改内容作为招标文件的组成部分，并具有约束力。</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3.4采购代理机构保证招标文件澄清（答疑）纪要和招标文件修改补充通知在投标截止时间前以网站公开发布形式或书面形式发送给所有投标人。为使投标人在编写投标文件时有充分时间对招标文件的修改部分进行研究，采购代理机构可以酌情延长递交投标文件的截止日期，具体时间将在修改补充通知中明确。</w:t>
      </w:r>
    </w:p>
    <w:p>
      <w:pPr>
        <w:pStyle w:val="5"/>
        <w:tabs>
          <w:tab w:val="clear" w:pos="426"/>
        </w:tabs>
        <w:rPr>
          <w:color w:val="000000" w:themeColor="text1"/>
          <w:highlight w:val="none"/>
          <w14:textFill>
            <w14:solidFill>
              <w14:schemeClr w14:val="tx1"/>
            </w14:solidFill>
          </w14:textFill>
        </w:rPr>
      </w:pPr>
      <w:bookmarkStart w:id="175" w:name="_Toc3628666"/>
      <w:bookmarkStart w:id="176" w:name="_Toc655"/>
      <w:bookmarkStart w:id="177" w:name="_Toc432592823"/>
      <w:bookmarkStart w:id="178" w:name="_Toc398220531"/>
      <w:r>
        <w:rPr>
          <w:rFonts w:hint="eastAsia"/>
          <w:color w:val="000000" w:themeColor="text1"/>
          <w:highlight w:val="none"/>
          <w14:textFill>
            <w14:solidFill>
              <w14:schemeClr w14:val="tx1"/>
            </w14:solidFill>
          </w14:textFill>
        </w:rPr>
        <w:t>第三章 投标文件</w:t>
      </w:r>
      <w:bookmarkEnd w:id="169"/>
      <w:bookmarkEnd w:id="170"/>
      <w:bookmarkEnd w:id="171"/>
      <w:bookmarkEnd w:id="172"/>
      <w:bookmarkEnd w:id="173"/>
      <w:bookmarkEnd w:id="174"/>
      <w:r>
        <w:rPr>
          <w:rFonts w:hint="eastAsia"/>
          <w:color w:val="000000" w:themeColor="text1"/>
          <w:highlight w:val="none"/>
          <w14:textFill>
            <w14:solidFill>
              <w14:schemeClr w14:val="tx1"/>
            </w14:solidFill>
          </w14:textFill>
        </w:rPr>
        <w:t>的编制与递交</w:t>
      </w:r>
      <w:bookmarkEnd w:id="175"/>
      <w:bookmarkEnd w:id="176"/>
      <w:bookmarkEnd w:id="177"/>
      <w:bookmarkEnd w:id="178"/>
    </w:p>
    <w:p>
      <w:pPr>
        <w:tabs>
          <w:tab w:val="clear" w:pos="426"/>
        </w:tabs>
        <w:rPr>
          <w:color w:val="000000" w:themeColor="text1"/>
          <w:highlight w:val="none"/>
          <w14:textFill>
            <w14:solidFill>
              <w14:schemeClr w14:val="tx1"/>
            </w14:solidFill>
          </w14:textFill>
        </w:rPr>
      </w:pPr>
      <w:bookmarkStart w:id="179" w:name="_Toc100052378"/>
      <w:bookmarkStart w:id="180" w:name="_Toc73517653"/>
      <w:bookmarkStart w:id="181" w:name="_Toc73521561"/>
      <w:bookmarkStart w:id="182" w:name="_Toc60560639"/>
      <w:bookmarkStart w:id="183" w:name="_Toc60631634"/>
      <w:bookmarkStart w:id="184" w:name="_Toc73518131"/>
      <w:bookmarkStart w:id="185" w:name="_Toc73521649"/>
      <w:r>
        <w:rPr>
          <w:rFonts w:hint="eastAsia"/>
          <w:color w:val="000000" w:themeColor="text1"/>
          <w:highlight w:val="none"/>
          <w14:textFill>
            <w14:solidFill>
              <w14:schemeClr w14:val="tx1"/>
            </w14:solidFill>
          </w14:textFill>
        </w:rPr>
        <w:t>14．投标文件的语言及度量单位</w:t>
      </w:r>
      <w:bookmarkEnd w:id="179"/>
      <w:bookmarkEnd w:id="180"/>
      <w:bookmarkEnd w:id="181"/>
      <w:bookmarkEnd w:id="182"/>
      <w:bookmarkEnd w:id="183"/>
      <w:bookmarkEnd w:id="184"/>
      <w:bookmarkEnd w:id="185"/>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14.2 除技术规范另有规定外，投标文件使用的度量单位，均采用中华人民共和国法定计量单位。</w:t>
      </w:r>
    </w:p>
    <w:p>
      <w:pPr>
        <w:tabs>
          <w:tab w:val="clear" w:pos="426"/>
        </w:tabs>
        <w:rPr>
          <w:color w:val="000000" w:themeColor="text1"/>
          <w:highlight w:val="none"/>
          <w14:textFill>
            <w14:solidFill>
              <w14:schemeClr w14:val="tx1"/>
            </w14:solidFill>
          </w14:textFill>
        </w:rPr>
      </w:pPr>
      <w:bookmarkStart w:id="186" w:name="_Toc73521650"/>
      <w:bookmarkStart w:id="187" w:name="_Toc73517654"/>
      <w:bookmarkStart w:id="188" w:name="_Toc60560640"/>
      <w:bookmarkStart w:id="189" w:name="_Toc73521562"/>
      <w:bookmarkStart w:id="190" w:name="_Toc60631635"/>
      <w:bookmarkStart w:id="191" w:name="_Toc100052379"/>
      <w:bookmarkStart w:id="192" w:name="_Toc73518132"/>
      <w:r>
        <w:rPr>
          <w:rFonts w:hint="eastAsia"/>
          <w:color w:val="000000" w:themeColor="text1"/>
          <w:highlight w:val="none"/>
          <w14:textFill>
            <w14:solidFill>
              <w14:schemeClr w14:val="tx1"/>
            </w14:solidFill>
          </w14:textFill>
        </w:rPr>
        <w:t>15．投标文件的组成</w:t>
      </w:r>
      <w:bookmarkEnd w:id="186"/>
      <w:bookmarkEnd w:id="187"/>
      <w:bookmarkEnd w:id="188"/>
      <w:bookmarkEnd w:id="189"/>
      <w:bookmarkEnd w:id="190"/>
      <w:bookmarkEnd w:id="191"/>
      <w:bookmarkEnd w:id="192"/>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具体内容请详见本项目专用条款的相关内容。</w:t>
      </w:r>
      <w:bookmarkStart w:id="193" w:name="_Toc73521563"/>
      <w:bookmarkStart w:id="194" w:name="_Toc60560641"/>
      <w:bookmarkStart w:id="195" w:name="_Toc73517655"/>
      <w:bookmarkStart w:id="196" w:name="投标文件的组成"/>
      <w:bookmarkStart w:id="197" w:name="_Toc60631636"/>
      <w:bookmarkStart w:id="198" w:name="_Toc73521651"/>
      <w:bookmarkStart w:id="199" w:name="_Toc73518133"/>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 投标文件格式</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投标文件包括本通用条款第15条中规定的内容。如招标文件提供了投标文件格式，则投标人提交的投标文件必须毫无例外地使用招标文件所提供的相应格式并统一使用A4篇幅（表格可以按同样格式扩展）。</w:t>
      </w:r>
    </w:p>
    <w:bookmarkEnd w:id="193"/>
    <w:bookmarkEnd w:id="194"/>
    <w:bookmarkEnd w:id="195"/>
    <w:bookmarkEnd w:id="196"/>
    <w:bookmarkEnd w:id="197"/>
    <w:bookmarkEnd w:id="198"/>
    <w:bookmarkEnd w:id="199"/>
    <w:p>
      <w:pPr>
        <w:tabs>
          <w:tab w:val="clear" w:pos="426"/>
        </w:tabs>
        <w:rPr>
          <w:color w:val="000000" w:themeColor="text1"/>
          <w:highlight w:val="none"/>
          <w14:textFill>
            <w14:solidFill>
              <w14:schemeClr w14:val="tx1"/>
            </w14:solidFill>
          </w14:textFill>
        </w:rPr>
      </w:pPr>
      <w:bookmarkStart w:id="200" w:name="_Toc73521653"/>
      <w:bookmarkStart w:id="201" w:name="_Toc73518135"/>
      <w:bookmarkStart w:id="202" w:name="_Toc60631638"/>
      <w:bookmarkStart w:id="203" w:name="_Toc73521565"/>
      <w:bookmarkStart w:id="204" w:name="_Toc100052382"/>
      <w:bookmarkStart w:id="205" w:name="_Toc60560643"/>
      <w:bookmarkStart w:id="206" w:name="_Toc73517657"/>
      <w:r>
        <w:rPr>
          <w:rFonts w:hint="eastAsia"/>
          <w:color w:val="000000" w:themeColor="text1"/>
          <w:highlight w:val="none"/>
          <w14:textFill>
            <w14:solidFill>
              <w14:schemeClr w14:val="tx1"/>
            </w14:solidFill>
          </w14:textFill>
        </w:rPr>
        <w:t>17．投标货币</w:t>
      </w:r>
      <w:bookmarkEnd w:id="200"/>
      <w:bookmarkEnd w:id="201"/>
      <w:bookmarkEnd w:id="202"/>
      <w:bookmarkEnd w:id="203"/>
      <w:bookmarkEnd w:id="204"/>
      <w:bookmarkEnd w:id="205"/>
      <w:bookmarkEnd w:id="206"/>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本项目的投标应以人民币计。</w:t>
      </w:r>
    </w:p>
    <w:p>
      <w:pPr>
        <w:widowControl w:val="0"/>
        <w:shd w:val="clear" w:color="auto" w:fill="auto"/>
        <w:tabs>
          <w:tab w:val="clear" w:pos="426"/>
        </w:tabs>
        <w:autoSpaceDE w:val="0"/>
        <w:autoSpaceDN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 证明投标人合格和资格的文件</w:t>
      </w:r>
    </w:p>
    <w:p>
      <w:pPr>
        <w:widowControl w:val="0"/>
        <w:shd w:val="clear" w:color="auto" w:fill="auto"/>
        <w:tabs>
          <w:tab w:val="clear" w:pos="426"/>
        </w:tabs>
        <w:autoSpaceDE w:val="0"/>
        <w:autoSpaceDN w:val="0"/>
        <w:rPr>
          <w:rFonts w:cs="黑体"/>
          <w:b/>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18.1 </w:t>
      </w:r>
      <w:r>
        <w:rPr>
          <w:rFonts w:hint="eastAsia"/>
          <w:color w:val="000000" w:themeColor="text1"/>
          <w:szCs w:val="21"/>
          <w:highlight w:val="none"/>
          <w:lang w:eastAsia="zh-TW"/>
          <w14:textFill>
            <w14:solidFill>
              <w14:schemeClr w14:val="tx1"/>
            </w14:solidFill>
          </w14:textFill>
        </w:rPr>
        <w:t>投标人应提交证明其有资格参加投标和中标后有能力履行合同的文件</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TW"/>
          <w14:textFill>
            <w14:solidFill>
              <w14:schemeClr w14:val="tx1"/>
            </w14:solidFill>
          </w14:textFill>
        </w:rPr>
        <w:t>并作为其投标文件的一部分。如果投标人为联合体</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TW"/>
          <w14:textFill>
            <w14:solidFill>
              <w14:schemeClr w14:val="tx1"/>
            </w14:solidFill>
          </w14:textFill>
        </w:rPr>
        <w:t>应提交联合体各方的资格证明文件、</w:t>
      </w:r>
      <w:r>
        <w:rPr>
          <w:rFonts w:hint="eastAsia"/>
          <w:color w:val="000000" w:themeColor="text1"/>
          <w:szCs w:val="21"/>
          <w:highlight w:val="none"/>
          <w14:textFill>
            <w14:solidFill>
              <w14:schemeClr w14:val="tx1"/>
            </w14:solidFill>
          </w14:textFill>
        </w:rPr>
        <w:t>共同投标协议</w:t>
      </w:r>
      <w:r>
        <w:rPr>
          <w:rFonts w:hint="eastAsia"/>
          <w:color w:val="000000" w:themeColor="text1"/>
          <w:szCs w:val="21"/>
          <w:highlight w:val="none"/>
          <w:lang w:eastAsia="zh-TW"/>
          <w14:textFill>
            <w14:solidFill>
              <w14:schemeClr w14:val="tx1"/>
            </w14:solidFill>
          </w14:textFill>
        </w:rPr>
        <w:t>并注明</w:t>
      </w:r>
      <w:r>
        <w:rPr>
          <w:rFonts w:hint="eastAsia"/>
          <w:color w:val="000000" w:themeColor="text1"/>
          <w:szCs w:val="21"/>
          <w:highlight w:val="none"/>
          <w14:textFill>
            <w14:solidFill>
              <w14:schemeClr w14:val="tx1"/>
            </w14:solidFill>
          </w14:textFill>
        </w:rPr>
        <w:t>主体方及各方拟承担的工作和责任。</w:t>
      </w:r>
      <w:r>
        <w:rPr>
          <w:rFonts w:hint="eastAsia"/>
          <w:color w:val="000000" w:themeColor="text1"/>
          <w:szCs w:val="21"/>
          <w:highlight w:val="none"/>
          <w:lang w:eastAsia="zh-TW"/>
          <w14:textFill>
            <w14:solidFill>
              <w14:schemeClr w14:val="tx1"/>
            </w14:solidFill>
          </w14:textFill>
        </w:rPr>
        <w:t>否则</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eastAsia="zh-TW"/>
          <w14:textFill>
            <w14:solidFill>
              <w14:schemeClr w14:val="tx1"/>
            </w14:solidFill>
          </w14:textFill>
        </w:rPr>
        <w:t>将导致其投标</w:t>
      </w:r>
      <w:r>
        <w:rPr>
          <w:rFonts w:hint="eastAsia"/>
          <w:color w:val="000000" w:themeColor="text1"/>
          <w:szCs w:val="21"/>
          <w:highlight w:val="none"/>
          <w14:textFill>
            <w14:solidFill>
              <w14:schemeClr w14:val="tx1"/>
            </w14:solidFill>
          </w14:textFill>
        </w:rPr>
        <w:t>无效。</w:t>
      </w:r>
    </w:p>
    <w:p>
      <w:pPr>
        <w:widowControl w:val="0"/>
        <w:shd w:val="clear" w:color="auto" w:fill="auto"/>
        <w:tabs>
          <w:tab w:val="clear" w:pos="426"/>
        </w:tabs>
        <w:autoSpaceDE w:val="0"/>
        <w:autoSpaceDN w:val="0"/>
        <w:rPr>
          <w:color w:val="000000" w:themeColor="text1"/>
          <w:szCs w:val="21"/>
          <w:highlight w:val="none"/>
          <w:lang w:eastAsia="zh-TW"/>
          <w14:textFill>
            <w14:solidFill>
              <w14:schemeClr w14:val="tx1"/>
            </w14:solidFill>
          </w14:textFill>
        </w:rPr>
      </w:pPr>
      <w:r>
        <w:rPr>
          <w:rFonts w:hint="eastAsia"/>
          <w:color w:val="000000" w:themeColor="text1"/>
          <w:szCs w:val="21"/>
          <w:highlight w:val="none"/>
          <w14:textFill>
            <w14:solidFill>
              <w14:schemeClr w14:val="tx1"/>
            </w14:solidFill>
          </w14:textFill>
        </w:rPr>
        <w:t xml:space="preserve">18.2 </w:t>
      </w:r>
      <w:r>
        <w:rPr>
          <w:rFonts w:hint="eastAsia"/>
          <w:color w:val="000000" w:themeColor="text1"/>
          <w:szCs w:val="21"/>
          <w:highlight w:val="none"/>
          <w:lang w:eastAsia="zh-TW"/>
          <w14:textFill>
            <w14:solidFill>
              <w14:schemeClr w14:val="tx1"/>
            </w14:solidFill>
          </w14:textFill>
        </w:rPr>
        <w:t>投标人提交的资格证明文件应证明其</w:t>
      </w:r>
      <w:r>
        <w:rPr>
          <w:rFonts w:hint="eastAsia"/>
          <w:color w:val="000000" w:themeColor="text1"/>
          <w:szCs w:val="21"/>
          <w:highlight w:val="none"/>
          <w14:textFill>
            <w14:solidFill>
              <w14:schemeClr w14:val="tx1"/>
            </w14:solidFill>
          </w14:textFill>
        </w:rPr>
        <w:t>满足</w:t>
      </w:r>
      <w:r>
        <w:rPr>
          <w:rFonts w:hint="eastAsia"/>
          <w:color w:val="000000" w:themeColor="text1"/>
          <w:szCs w:val="21"/>
          <w:highlight w:val="none"/>
          <w:lang w:eastAsia="zh-TW"/>
          <w14:textFill>
            <w14:solidFill>
              <w14:schemeClr w14:val="tx1"/>
            </w14:solidFill>
          </w14:textFill>
        </w:rPr>
        <w:t>本须知定义的合格投标人。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19．证明投标文件投标技术方案的合格性和符合招标文件规定的文件要求</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投标人应提交证明文件证明其投标技术方案项下的货物、工程和服务的合格性符合招标文件规定。该投标技术方案及其证明文件作为投标文件的一部分。</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投标人提供证明投标技术方案与招标文件的要求相一致的文件，可以是文字资料、图纸、数据或数码照片、制造商公布的产品说明书、产品彩页和我国政府机构出具的产品检验和核准证件等，以证明投标人响应的真实性。它包括并应符合以下要求：</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19.2.1主要技术指标和性能的详细说明。</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19.2.</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投标产品从采购单位开始使用至招标文件中规定的周期内正常、连续地使用所必须的备件和专用工具清单，包括备件和专用工具的货源及现行价格。</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19.2.</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19.2.5我国政府机构出具的产品检验和核准证件应为证件正面、背面和附件标注的全部具体内容；产品检验和核准证件应能清晰的阅读、识别和判断，提供原件复印件。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19.3相关资料不符合19.2款要求的，评标委员会有权认定为投标技术方案不合格响应，其相关分数予以扣减或作废标处理。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19.4评标委员会有权对以谋取中标为目的的技术规格模糊响应（如有意照搬照抄招标文件的技术要求）或虚假响应予以认定。供应商上述行为一经发现或查实，除扣分或废标外，采购代理机构可视情况报政府采购监督管理部门做进一步处理。</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标委员会来评判。</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19.6为保证公平公正，除非另有规定或说明，投标人对同一货物或服务投标时，不得同时提供两套或两套以上的投标方案。</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20．投标文件其他证明文件的要求</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件应能清晰的阅读、识别和判断。若投标人未按要求提供证明材料或提供的是部分证明材料或提供不清晰的，评标委员会有权认定其投标文件未对招标文件有关需求进行响应，涉及资格性审查或符合性审查的予以无效标处理，涉及《评标信息》打分项的则该项评分予以0分处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20.2本项目涉及提供的有关资质证书，若原有资质证书处于年审期间，投标人提供年审证明的可按原资质投标；若投标人正在申报上一级别资质，在未获批准之前，仍按原级别资质投标。</w:t>
      </w:r>
    </w:p>
    <w:p>
      <w:pPr>
        <w:tabs>
          <w:tab w:val="clear" w:pos="426"/>
        </w:tabs>
        <w:rPr>
          <w:color w:val="000000" w:themeColor="text1"/>
          <w:highlight w:val="none"/>
          <w14:textFill>
            <w14:solidFill>
              <w14:schemeClr w14:val="tx1"/>
            </w14:solidFill>
          </w14:textFill>
        </w:rPr>
      </w:pPr>
      <w:bookmarkStart w:id="207" w:name="_Toc73518136"/>
      <w:bookmarkStart w:id="208" w:name="_Toc100052383"/>
      <w:bookmarkStart w:id="209" w:name="_Toc73517658"/>
      <w:bookmarkStart w:id="210" w:name="_Toc73521566"/>
      <w:bookmarkStart w:id="211" w:name="_Toc60560644"/>
      <w:bookmarkStart w:id="212" w:name="_Toc60631639"/>
      <w:bookmarkStart w:id="213" w:name="_Toc73521654"/>
      <w:r>
        <w:rPr>
          <w:rFonts w:hint="eastAsia"/>
          <w:color w:val="000000" w:themeColor="text1"/>
          <w:highlight w:val="none"/>
          <w14:textFill>
            <w14:solidFill>
              <w14:schemeClr w14:val="tx1"/>
            </w14:solidFill>
          </w14:textFill>
        </w:rPr>
        <w:t>21．投标有效期</w:t>
      </w:r>
      <w:bookmarkEnd w:id="207"/>
      <w:bookmarkEnd w:id="208"/>
      <w:bookmarkEnd w:id="209"/>
      <w:bookmarkEnd w:id="210"/>
      <w:bookmarkEnd w:id="211"/>
      <w:bookmarkEnd w:id="212"/>
      <w:bookmarkEnd w:id="213"/>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21.1 投标有效期为从投标截止之日算起的日历天数，具体见专用条款中投标有效期的天数要求。在此期限内，所有投标文件均保持有效；</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21.2 在特殊的情况下，采购代理机构在原定的投标有效期满之前，采购代理机构可以根据需要以书面形式（包括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但应当相应的延长投标担保的有效期；</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 xml:space="preserve"> 中标单位的投标书有效期，截止于完成本招标文件规定的全部项目内容，并通过竣工验收及保修结束。</w:t>
      </w:r>
    </w:p>
    <w:p>
      <w:pPr>
        <w:tabs>
          <w:tab w:val="clear" w:pos="426"/>
        </w:tabs>
        <w:rPr>
          <w:color w:val="000000" w:themeColor="text1"/>
          <w:highlight w:val="none"/>
          <w14:textFill>
            <w14:solidFill>
              <w14:schemeClr w14:val="tx1"/>
            </w14:solidFill>
          </w14:textFill>
        </w:rPr>
      </w:pPr>
      <w:bookmarkStart w:id="214" w:name="_Toc73517659"/>
      <w:bookmarkStart w:id="215" w:name="_Toc73521655"/>
      <w:bookmarkStart w:id="216" w:name="_Toc60560645"/>
      <w:bookmarkStart w:id="217" w:name="_Toc60631640"/>
      <w:bookmarkStart w:id="218" w:name="_Toc73518137"/>
      <w:bookmarkStart w:id="219" w:name="_Toc73521567"/>
      <w:bookmarkStart w:id="220" w:name="_Toc100052384"/>
      <w:r>
        <w:rPr>
          <w:rFonts w:hint="eastAsia"/>
          <w:color w:val="000000" w:themeColor="text1"/>
          <w:highlight w:val="none"/>
          <w14:textFill>
            <w14:solidFill>
              <w14:schemeClr w14:val="tx1"/>
            </w14:solidFill>
          </w14:textFill>
        </w:rPr>
        <w:t>22．投标</w:t>
      </w:r>
      <w:bookmarkEnd w:id="214"/>
      <w:bookmarkEnd w:id="215"/>
      <w:bookmarkEnd w:id="216"/>
      <w:bookmarkEnd w:id="217"/>
      <w:bookmarkEnd w:id="218"/>
      <w:bookmarkEnd w:id="219"/>
      <w:bookmarkEnd w:id="220"/>
      <w:r>
        <w:rPr>
          <w:rFonts w:hint="eastAsia"/>
          <w:color w:val="000000" w:themeColor="text1"/>
          <w:highlight w:val="none"/>
          <w14:textFill>
            <w14:solidFill>
              <w14:schemeClr w14:val="tx1"/>
            </w14:solidFill>
          </w14:textFill>
        </w:rPr>
        <w:t>保证金</w:t>
      </w:r>
    </w:p>
    <w:p>
      <w:pPr>
        <w:tabs>
          <w:tab w:val="clear" w:pos="426"/>
        </w:tabs>
        <w:rPr>
          <w:color w:val="000000" w:themeColor="text1"/>
          <w:highlight w:val="none"/>
          <w14:textFill>
            <w14:solidFill>
              <w14:schemeClr w14:val="tx1"/>
            </w14:solidFill>
          </w14:textFill>
        </w:rPr>
      </w:pPr>
      <w:bookmarkStart w:id="221" w:name="_Toc73521568"/>
      <w:bookmarkStart w:id="222" w:name="_Toc100052385"/>
      <w:bookmarkStart w:id="223" w:name="_Toc73521656"/>
      <w:bookmarkStart w:id="224" w:name="_Toc60631641"/>
      <w:bookmarkStart w:id="225" w:name="_Toc60560646"/>
      <w:bookmarkStart w:id="226" w:name="_Toc73518138"/>
      <w:bookmarkStart w:id="227" w:name="_Toc73517660"/>
      <w:r>
        <w:rPr>
          <w:rFonts w:hint="eastAsia"/>
          <w:color w:val="000000" w:themeColor="text1"/>
          <w:highlight w:val="none"/>
          <w14:textFill>
            <w14:solidFill>
              <w14:schemeClr w14:val="tx1"/>
            </w14:solidFill>
          </w14:textFill>
        </w:rPr>
        <w:t>本项目不要求缴纳投标保证金。</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23．投标人的替代方案</w:t>
      </w:r>
      <w:bookmarkEnd w:id="221"/>
      <w:bookmarkEnd w:id="222"/>
      <w:bookmarkEnd w:id="223"/>
      <w:bookmarkEnd w:id="224"/>
      <w:bookmarkEnd w:id="225"/>
      <w:bookmarkEnd w:id="226"/>
      <w:bookmarkEnd w:id="227"/>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23.1投标人所提交的投标文件应完全满足招标文件（包括图纸和技术规范所示的基本技术设计）的要求。除非招标的项目明确允许投标人提交替代方案，否则投标人有关替代方案的条款将不予考虑。</w:t>
      </w:r>
    </w:p>
    <w:p>
      <w:pPr>
        <w:tabs>
          <w:tab w:val="clear" w:pos="426"/>
        </w:tabs>
        <w:rPr>
          <w:bCs/>
          <w:color w:val="000000" w:themeColor="text1"/>
          <w:sz w:val="30"/>
          <w:szCs w:val="30"/>
          <w:highlight w:val="none"/>
          <w14:textFill>
            <w14:solidFill>
              <w14:schemeClr w14:val="tx1"/>
            </w14:solidFill>
          </w14:textFill>
        </w:rPr>
      </w:pPr>
      <w:r>
        <w:rPr>
          <w:rFonts w:hint="eastAsia"/>
          <w:color w:val="000000" w:themeColor="text1"/>
          <w:highlight w:val="none"/>
          <w14:textFill>
            <w14:solidFill>
              <w14:schemeClr w14:val="tx1"/>
            </w14:solidFill>
          </w14:textFill>
        </w:rPr>
        <w:t>23.2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Start w:id="228" w:name="_Toc100052391"/>
      <w:bookmarkStart w:id="229" w:name="_Toc101074881"/>
      <w:bookmarkStart w:id="230" w:name="_Toc73521662"/>
      <w:bookmarkStart w:id="231" w:name="_Toc73517666"/>
      <w:bookmarkStart w:id="232" w:name="_Toc73518144"/>
      <w:bookmarkStart w:id="233" w:name="_Toc73521574"/>
    </w:p>
    <w:p>
      <w:pPr>
        <w:tabs>
          <w:tab w:val="clear" w:pos="426"/>
        </w:tabs>
        <w:rPr>
          <w:color w:val="000000" w:themeColor="text1"/>
          <w:highlight w:val="none"/>
          <w14:textFill>
            <w14:solidFill>
              <w14:schemeClr w14:val="tx1"/>
            </w14:solidFill>
          </w14:textFill>
        </w:rPr>
      </w:pPr>
      <w:bookmarkStart w:id="234" w:name="_Toc143658455"/>
      <w:bookmarkStart w:id="235" w:name="_Toc201401576"/>
      <w:bookmarkStart w:id="236" w:name="_Toc163530302"/>
      <w:bookmarkStart w:id="237" w:name="_Toc148954464"/>
      <w:bookmarkStart w:id="238" w:name="_Toc135666815"/>
      <w:bookmarkStart w:id="239" w:name="_Toc188869280"/>
      <w:bookmarkStart w:id="240" w:name="_Toc187729580"/>
      <w:bookmarkStart w:id="241" w:name="_Toc148413300"/>
      <w:bookmarkStart w:id="242" w:name="_Toc148954859"/>
      <w:bookmarkStart w:id="243" w:name="_Toc134852021"/>
      <w:bookmarkStart w:id="244" w:name="_Toc201401384"/>
      <w:bookmarkStart w:id="245" w:name="_Toc148779952"/>
      <w:bookmarkStart w:id="246" w:name="_Toc157847820"/>
      <w:bookmarkStart w:id="247" w:name="_Toc98817934"/>
      <w:bookmarkStart w:id="248" w:name="_Toc135666628"/>
      <w:bookmarkStart w:id="249" w:name="_Toc148329801"/>
      <w:bookmarkStart w:id="250" w:name="_Toc201997835"/>
      <w:bookmarkStart w:id="251" w:name="_Toc148778157"/>
      <w:bookmarkStart w:id="252" w:name="_Toc148780238"/>
      <w:r>
        <w:rPr>
          <w:rFonts w:hint="eastAsia"/>
          <w:color w:val="000000" w:themeColor="text1"/>
          <w:highlight w:val="none"/>
          <w14:textFill>
            <w14:solidFill>
              <w14:schemeClr w14:val="tx1"/>
            </w14:solidFill>
          </w14:textFill>
        </w:rPr>
        <w:t>24． 投标文件的密封、标记</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hint="eastAsia"/>
          <w:color w:val="000000" w:themeColor="text1"/>
          <w:highlight w:val="none"/>
          <w14:textFill>
            <w14:solidFill>
              <w14:schemeClr w14:val="tx1"/>
            </w14:solidFill>
          </w14:textFill>
        </w:rPr>
        <w:t>和装订</w:t>
      </w:r>
    </w:p>
    <w:p>
      <w:pPr>
        <w:widowControl w:val="0"/>
        <w:shd w:val="clear" w:color="auto" w:fill="auto"/>
        <w:tabs>
          <w:tab w:val="clear" w:pos="426"/>
        </w:tabs>
        <w:autoSpaceDE w:val="0"/>
        <w:autoSpaceDN w:val="0"/>
        <w:rPr>
          <w:rFonts w:cs="黑体"/>
          <w:bCs/>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 xml:space="preserve">24.1 </w:t>
      </w:r>
      <w:r>
        <w:rPr>
          <w:rFonts w:hint="eastAsia" w:cs="黑体"/>
          <w:bCs/>
          <w:color w:val="000000" w:themeColor="text1"/>
          <w:szCs w:val="21"/>
          <w:highlight w:val="none"/>
          <w14:textFill>
            <w14:solidFill>
              <w14:schemeClr w14:val="tx1"/>
            </w14:solidFill>
          </w14:textFill>
        </w:rPr>
        <w:t>为方便开标唱标，投标人应单独提交一个密封信封，并在信封上标明“开标信封”的字样，内容包括开标一览表</w:t>
      </w:r>
      <w:r>
        <w:rPr>
          <w:rFonts w:cs="黑体"/>
          <w:bCs/>
          <w:color w:val="000000" w:themeColor="text1"/>
          <w:szCs w:val="21"/>
          <w:highlight w:val="none"/>
          <w14:textFill>
            <w14:solidFill>
              <w14:schemeClr w14:val="tx1"/>
            </w14:solidFill>
          </w14:textFill>
        </w:rPr>
        <w:t>(报价表)、法定代表人证明书、法定代表人授权委托书、被授权人身份证复印件、</w:t>
      </w:r>
      <w:r>
        <w:rPr>
          <w:rFonts w:hint="eastAsia"/>
          <w:color w:val="000000" w:themeColor="text1"/>
          <w:szCs w:val="21"/>
          <w:highlight w:val="none"/>
          <w14:textFill>
            <w14:solidFill>
              <w14:schemeClr w14:val="tx1"/>
            </w14:solidFill>
          </w14:textFill>
        </w:rPr>
        <w:t>投标文件电子光盘</w:t>
      </w:r>
      <w:r>
        <w:rPr>
          <w:rFonts w:hint="eastAsia" w:cs="黑体"/>
          <w:bCs/>
          <w:color w:val="000000" w:themeColor="text1"/>
          <w:szCs w:val="21"/>
          <w:highlight w:val="none"/>
          <w14:textFill>
            <w14:solidFill>
              <w14:schemeClr w14:val="tx1"/>
            </w14:solidFill>
          </w14:textFill>
        </w:rPr>
        <w:t>，若本项目（或包组）接受联合体投标，则联合体投标，应将各方共同签署的《联合投标协议》和《投标联合体授权主体方协议书》一并提交。开标信封是投标文件的组成部分。</w:t>
      </w:r>
    </w:p>
    <w:p>
      <w:pPr>
        <w:tabs>
          <w:tab w:val="clear" w:pos="426"/>
        </w:tabs>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24.2 投标文件为纸质投标文件，含正本和副本，投标文件应标明项目编号、招标项目名称及“正本”或“副本”。投标文件的所有内容应按A4篇幅装订成一册，装订应牢固不可拆卸。装订好的投标文件密封包装在一个外密封袋中，并在外密封袋上注明：</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w:t>
      </w:r>
      <w:r>
        <w:rPr>
          <w:color w:val="000000" w:themeColor="text1"/>
          <w:highlight w:val="non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项目编号：</w:t>
      </w:r>
      <w:r>
        <w:rPr>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r>
        <w:rPr>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投标人名称（盖章）：</w:t>
      </w:r>
      <w:r>
        <w:rPr>
          <w:color w:val="000000" w:themeColor="text1"/>
          <w:highlight w:val="none"/>
          <w:u w:val="single"/>
          <w14:textFill>
            <w14:solidFill>
              <w14:schemeClr w14:val="tx1"/>
            </w14:solidFill>
          </w14:textFill>
        </w:rPr>
        <w:t xml:space="preserve">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投标截止时间：</w:t>
      </w:r>
      <w:r>
        <w:rPr>
          <w:color w:val="000000" w:themeColor="text1"/>
          <w:highlight w:val="none"/>
          <w:u w:val="single"/>
          <w14:textFill>
            <w14:solidFill>
              <w14:schemeClr w14:val="tx1"/>
            </w14:solidFill>
          </w14:textFill>
        </w:rPr>
        <w:t xml:space="preserve">       年      月      日      时      分（前不得开封）</w:t>
      </w:r>
      <w:r>
        <w:rPr>
          <w:rFonts w:hint="eastAsia"/>
          <w:color w:val="000000" w:themeColor="text1"/>
          <w:highlight w:val="none"/>
          <w14:textFill>
            <w14:solidFill>
              <w14:schemeClr w14:val="tx1"/>
            </w14:solidFill>
          </w14:textFill>
        </w:rPr>
        <w:t>。</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24.3  所有投标文件的密封袋的封口处均应加盖投标人公章。</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24.4  对于因标书标识不清、装订不牢、密封不严等导致的不利后果由该投标人自负。</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24.5  投标方应将投标文件按24.1-24.2中的规定进行密封和标记后，按专用条款中采购公告注明的地址送至招标机构。</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24.6  邮寄、电报、电话、传真形式的投标概不接受。</w:t>
      </w:r>
    </w:p>
    <w:p>
      <w:pPr>
        <w:tabs>
          <w:tab w:val="clear" w:pos="426"/>
        </w:tabs>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 xml:space="preserve">24.7  </w:t>
      </w:r>
      <w:r>
        <w:rPr>
          <w:rFonts w:hint="eastAsia"/>
          <w:b/>
          <w:bCs/>
          <w:color w:val="000000" w:themeColor="text1"/>
          <w:szCs w:val="21"/>
          <w:highlight w:val="none"/>
          <w14:textFill>
            <w14:solidFill>
              <w14:schemeClr w14:val="tx1"/>
            </w14:solidFill>
          </w14:textFill>
        </w:rPr>
        <w:t>投标文件电子版：电子光盘一张（投标文件正本盖章后的彩色扫描件，扫描件要求为PDF格式），请将该光盘放在开标信封中，并在光盘上标明项目编号、项目名称及投标人名称。</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25． 投标截止时间</w:t>
      </w:r>
    </w:p>
    <w:p>
      <w:pPr>
        <w:tabs>
          <w:tab w:val="clear" w:pos="426"/>
        </w:tabs>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招标机构在投标人须知第24</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5条规定的地址收到投标书的时间不得迟于“投标人须知前附表”第</w:t>
      </w:r>
      <w:r>
        <w:rPr>
          <w:color w:val="000000" w:themeColor="text1"/>
          <w:szCs w:val="21"/>
          <w:highlight w:val="none"/>
          <w14:textFill>
            <w14:solidFill>
              <w14:schemeClr w14:val="tx1"/>
            </w14:solidFill>
          </w14:textFill>
        </w:rPr>
        <w:t>19</w:t>
      </w:r>
      <w:r>
        <w:rPr>
          <w:rFonts w:hint="eastAsia"/>
          <w:color w:val="000000" w:themeColor="text1"/>
          <w:szCs w:val="21"/>
          <w:highlight w:val="none"/>
          <w14:textFill>
            <w14:solidFill>
              <w14:schemeClr w14:val="tx1"/>
            </w14:solidFill>
          </w14:textFill>
        </w:rPr>
        <w:t>项所规定的时间。</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26．迟交的投标书</w:t>
      </w:r>
    </w:p>
    <w:p>
      <w:pPr>
        <w:tabs>
          <w:tab w:val="clear" w:pos="426"/>
        </w:tabs>
        <w:ind w:firstLine="424" w:firstLineChars="202"/>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按照本通用条款第25条规定，招标机构将拒绝并原封退回在其规定的投标截止期后收到的任何投标书。</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 投标文件的提交和截标时投标文件的数量要求</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27.1  投标截止时间和地点。投标人应根据“专用条款”的规定，在投标截止时间前将投标文件密封送达指定地点。未及时送达指定地点及不符合密封、标记、签章、装订要求的投标文件采购代理机构将拒绝接收。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27.2  </w:t>
      </w:r>
      <w:r>
        <w:rPr>
          <w:color w:val="000000" w:themeColor="text1"/>
          <w:highlight w:val="none"/>
          <w14:textFill>
            <w14:solidFill>
              <w14:schemeClr w14:val="tx1"/>
            </w14:solidFill>
          </w14:textFill>
        </w:rPr>
        <w:t>截标时</w:t>
      </w:r>
      <w:r>
        <w:rPr>
          <w:rFonts w:hint="eastAsia"/>
          <w:color w:val="000000" w:themeColor="text1"/>
          <w:highlight w:val="none"/>
          <w14:textFill>
            <w14:solidFill>
              <w14:schemeClr w14:val="tx1"/>
            </w14:solidFill>
          </w14:textFill>
        </w:rPr>
        <w:t>递</w:t>
      </w:r>
      <w:r>
        <w:rPr>
          <w:color w:val="000000" w:themeColor="text1"/>
          <w:highlight w:val="none"/>
          <w14:textFill>
            <w14:solidFill>
              <w14:schemeClr w14:val="tx1"/>
            </w14:solidFill>
          </w14:textFill>
        </w:rPr>
        <w:t>交标书的投标人数</w:t>
      </w:r>
      <w:r>
        <w:rPr>
          <w:rFonts w:hint="eastAsia"/>
          <w:color w:val="000000" w:themeColor="text1"/>
          <w:highlight w:val="none"/>
          <w14:textFill>
            <w14:solidFill>
              <w14:schemeClr w14:val="tx1"/>
            </w14:solidFill>
          </w14:textFill>
        </w:rPr>
        <w:t>量未达到法定家数的，采购代理机构将按法律法规的规定暂停</w:t>
      </w:r>
      <w:r>
        <w:rPr>
          <w:color w:val="000000" w:themeColor="text1"/>
          <w:highlight w:val="none"/>
          <w14:textFill>
            <w14:solidFill>
              <w14:schemeClr w14:val="tx1"/>
            </w14:solidFill>
          </w14:textFill>
        </w:rPr>
        <w:t>开标和评标程序</w:t>
      </w:r>
      <w:r>
        <w:rPr>
          <w:rFonts w:hint="eastAsia"/>
          <w:color w:val="000000" w:themeColor="text1"/>
          <w:highlight w:val="none"/>
          <w14:textFill>
            <w14:solidFill>
              <w14:schemeClr w14:val="tx1"/>
            </w14:solidFill>
          </w14:textFill>
        </w:rPr>
        <w:t>。如导致招标失败，采购人或采购代理机构将不负担因此给</w:t>
      </w:r>
      <w:r>
        <w:rPr>
          <w:color w:val="000000" w:themeColor="text1"/>
          <w:highlight w:val="none"/>
          <w14:textFill>
            <w14:solidFill>
              <w14:schemeClr w14:val="tx1"/>
            </w14:solidFill>
          </w14:textFill>
        </w:rPr>
        <w:t>投标人</w:t>
      </w:r>
      <w:r>
        <w:rPr>
          <w:rFonts w:hint="eastAsia"/>
          <w:color w:val="000000" w:themeColor="text1"/>
          <w:highlight w:val="none"/>
          <w14:textFill>
            <w14:solidFill>
              <w14:schemeClr w14:val="tx1"/>
            </w14:solidFill>
          </w14:textFill>
        </w:rPr>
        <w:t>造成的损失。</w:t>
      </w:r>
    </w:p>
    <w:p>
      <w:pPr>
        <w:tabs>
          <w:tab w:val="clear" w:pos="426"/>
        </w:tabs>
        <w:rPr>
          <w:color w:val="000000" w:themeColor="text1"/>
          <w:highlight w:val="none"/>
          <w14:textFill>
            <w14:solidFill>
              <w14:schemeClr w14:val="tx1"/>
            </w14:solidFill>
          </w14:textFill>
        </w:rPr>
      </w:pPr>
      <w:bookmarkStart w:id="253" w:name="_Toc148780241"/>
      <w:bookmarkStart w:id="254" w:name="_Toc187729583"/>
      <w:bookmarkStart w:id="255" w:name="_Toc148778160"/>
      <w:bookmarkStart w:id="256" w:name="_Toc143658458"/>
      <w:bookmarkStart w:id="257" w:name="_Toc135666631"/>
      <w:bookmarkStart w:id="258" w:name="_Toc148329804"/>
      <w:bookmarkStart w:id="259" w:name="_Toc163530305"/>
      <w:bookmarkStart w:id="260" w:name="_Toc98817937"/>
      <w:bookmarkStart w:id="261" w:name="_Toc148779955"/>
      <w:bookmarkStart w:id="262" w:name="_Toc148954862"/>
      <w:bookmarkStart w:id="263" w:name="_Toc188869283"/>
      <w:bookmarkStart w:id="264" w:name="_Toc201401578"/>
      <w:bookmarkStart w:id="265" w:name="_Toc148413303"/>
      <w:bookmarkStart w:id="266" w:name="_Toc201401386"/>
      <w:bookmarkStart w:id="267" w:name="_Toc148954467"/>
      <w:bookmarkStart w:id="268" w:name="_Toc135666818"/>
      <w:bookmarkStart w:id="269" w:name="_Toc157847823"/>
      <w:bookmarkStart w:id="270" w:name="_Toc201997837"/>
      <w:bookmarkStart w:id="271" w:name="_Toc134852024"/>
      <w:r>
        <w:rPr>
          <w:rFonts w:hint="eastAsia"/>
          <w:color w:val="000000" w:themeColor="text1"/>
          <w:highlight w:val="none"/>
          <w14:textFill>
            <w14:solidFill>
              <w14:schemeClr w14:val="tx1"/>
            </w14:solidFill>
          </w14:textFill>
        </w:rPr>
        <w:t>28．  投标文件的修改或撤回</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28.1  投标人已提交投标文件，规定的投标</w:t>
      </w:r>
      <w:r>
        <w:rPr>
          <w:color w:val="000000" w:themeColor="text1"/>
          <w:highlight w:val="none"/>
          <w14:textFill>
            <w14:solidFill>
              <w14:schemeClr w14:val="tx1"/>
            </w14:solidFill>
          </w14:textFill>
        </w:rPr>
        <w:t>截止</w:t>
      </w:r>
      <w:r>
        <w:rPr>
          <w:rFonts w:hint="eastAsia"/>
          <w:color w:val="000000" w:themeColor="text1"/>
          <w:highlight w:val="none"/>
          <w14:textFill>
            <w14:solidFill>
              <w14:schemeClr w14:val="tx1"/>
            </w14:solidFill>
          </w14:textFill>
        </w:rPr>
        <w:t>时间还未到，投标人可提出对其投标文件的修改或撤回。投标人须提交由投标人代表签名的修改或撤回的书面通知。</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28.2  采购代理机构收到由投标人代表签名的修改或撤回的书面通知并确认后，投标人可对其投标文件进行修改，或是撤回其投标。</w:t>
      </w:r>
    </w:p>
    <w:p>
      <w:pPr>
        <w:tabs>
          <w:tab w:val="clear" w:pos="426"/>
        </w:tabs>
        <w:rPr>
          <w:color w:val="000000" w:themeColor="text1"/>
          <w:highlight w:val="none"/>
          <w14:textFill>
            <w14:solidFill>
              <w14:schemeClr w14:val="tx1"/>
            </w14:solidFill>
          </w14:textFill>
        </w:rPr>
      </w:pPr>
      <w:bookmarkStart w:id="272" w:name="_Toc188869284"/>
      <w:r>
        <w:rPr>
          <w:rFonts w:hint="eastAsia"/>
          <w:color w:val="000000" w:themeColor="text1"/>
          <w:highlight w:val="none"/>
          <w14:textFill>
            <w14:solidFill>
              <w14:schemeClr w14:val="tx1"/>
            </w14:solidFill>
          </w14:textFill>
        </w:rPr>
        <w:t>28.3  投标人的修改文件应按照本招标文件的规定进行编制、密封、标记和提交，并在密封袋上注明“投标修改”。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28.4  投标截止时间之后至投标文件有效期终止之前，投标人不得要求撤回其投标。在此期间撤回投标的，其投标担保将会被没收。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28.5  评标结束后，不论中标与否，投标人均不得收回投标文件。</w:t>
      </w:r>
    </w:p>
    <w:bookmarkEnd w:id="272"/>
    <w:p>
      <w:pPr>
        <w:pStyle w:val="5"/>
        <w:tabs>
          <w:tab w:val="clear" w:pos="426"/>
        </w:tabs>
        <w:rPr>
          <w:color w:val="000000" w:themeColor="text1"/>
          <w:highlight w:val="none"/>
          <w14:textFill>
            <w14:solidFill>
              <w14:schemeClr w14:val="tx1"/>
            </w14:solidFill>
          </w14:textFill>
        </w:rPr>
      </w:pPr>
      <w:bookmarkStart w:id="273" w:name="_Toc3628667"/>
      <w:bookmarkStart w:id="274" w:name="_Toc14499"/>
      <w:bookmarkStart w:id="275" w:name="_Toc432592824"/>
      <w:bookmarkStart w:id="276" w:name="_Toc398220532"/>
      <w:r>
        <w:rPr>
          <w:rFonts w:hint="eastAsia"/>
          <w:color w:val="000000" w:themeColor="text1"/>
          <w:highlight w:val="none"/>
          <w14:textFill>
            <w14:solidFill>
              <w14:schemeClr w14:val="tx1"/>
            </w14:solidFill>
          </w14:textFill>
        </w:rPr>
        <w:t>第四章 开标</w:t>
      </w:r>
      <w:bookmarkEnd w:id="228"/>
      <w:bookmarkEnd w:id="229"/>
      <w:bookmarkEnd w:id="230"/>
      <w:bookmarkEnd w:id="231"/>
      <w:bookmarkEnd w:id="232"/>
      <w:bookmarkEnd w:id="233"/>
      <w:bookmarkEnd w:id="273"/>
      <w:bookmarkEnd w:id="274"/>
      <w:bookmarkEnd w:id="275"/>
      <w:bookmarkEnd w:id="276"/>
    </w:p>
    <w:p>
      <w:pPr>
        <w:tabs>
          <w:tab w:val="clear" w:pos="426"/>
        </w:tabs>
        <w:rPr>
          <w:color w:val="000000" w:themeColor="text1"/>
          <w:highlight w:val="none"/>
          <w14:textFill>
            <w14:solidFill>
              <w14:schemeClr w14:val="tx1"/>
            </w14:solidFill>
          </w14:textFill>
        </w:rPr>
      </w:pPr>
      <w:bookmarkStart w:id="277" w:name="_Toc201997841"/>
      <w:bookmarkStart w:id="278" w:name="_Toc201401388"/>
      <w:bookmarkStart w:id="279" w:name="_Toc201401580"/>
      <w:bookmarkStart w:id="280" w:name="_Toc148329806"/>
      <w:bookmarkStart w:id="281" w:name="_Toc98817939"/>
      <w:bookmarkStart w:id="282" w:name="_Toc143658460"/>
      <w:bookmarkStart w:id="283" w:name="_Toc157847825"/>
      <w:bookmarkStart w:id="284" w:name="_Toc187729585"/>
      <w:bookmarkStart w:id="285" w:name="_Toc148778162"/>
      <w:bookmarkStart w:id="286" w:name="_Toc148954469"/>
      <w:bookmarkStart w:id="287" w:name="_Toc148954864"/>
      <w:bookmarkStart w:id="288" w:name="_Toc135666633"/>
      <w:bookmarkStart w:id="289" w:name="_Toc188869286"/>
      <w:bookmarkStart w:id="290" w:name="_Toc134852027"/>
      <w:bookmarkStart w:id="291" w:name="_Toc135666820"/>
      <w:bookmarkStart w:id="292" w:name="_Toc148779957"/>
      <w:bookmarkStart w:id="293" w:name="_Toc148413305"/>
      <w:bookmarkStart w:id="294" w:name="_Toc163530307"/>
      <w:bookmarkStart w:id="295" w:name="_Toc148780243"/>
      <w:bookmarkStart w:id="296" w:name="_Toc73521576"/>
      <w:bookmarkStart w:id="297" w:name="_Toc73518146"/>
      <w:bookmarkStart w:id="298" w:name="_Toc73517668"/>
      <w:bookmarkStart w:id="299" w:name="_Toc73521664"/>
      <w:bookmarkStart w:id="300" w:name="_Toc101074882"/>
      <w:bookmarkStart w:id="301" w:name="_Toc100052393"/>
      <w:r>
        <w:rPr>
          <w:rFonts w:hint="eastAsia"/>
          <w:color w:val="000000" w:themeColor="text1"/>
          <w:highlight w:val="none"/>
          <w14:textFill>
            <w14:solidFill>
              <w14:schemeClr w14:val="tx1"/>
            </w14:solidFill>
          </w14:textFill>
        </w:rPr>
        <w:t>29．　开标</w:t>
      </w:r>
      <w:bookmarkEnd w:id="277"/>
      <w:bookmarkEnd w:id="278"/>
      <w:bookmarkEnd w:id="279"/>
    </w:p>
    <w:p>
      <w:pPr>
        <w:tabs>
          <w:tab w:val="clear" w:pos="426"/>
        </w:tabs>
        <w:rPr>
          <w:color w:val="000000" w:themeColor="text1"/>
          <w:highlight w:val="none"/>
          <w14:textFill>
            <w14:solidFill>
              <w14:schemeClr w14:val="tx1"/>
            </w14:solidFill>
          </w14:textFill>
        </w:rPr>
      </w:pPr>
      <w:bookmarkStart w:id="302" w:name="_Toc201401389"/>
      <w:bookmarkStart w:id="303" w:name="_Toc201997842"/>
      <w:bookmarkStart w:id="304" w:name="_Toc201401581"/>
      <w:r>
        <w:rPr>
          <w:rFonts w:hint="eastAsia"/>
          <w:color w:val="000000" w:themeColor="text1"/>
          <w:highlight w:val="none"/>
          <w14:textFill>
            <w14:solidFill>
              <w14:schemeClr w14:val="tx1"/>
            </w14:solidFill>
          </w14:textFill>
        </w:rPr>
        <w:t>29.1  采购人在“投标须知前附表”中规定的时间、地点组织公开开标。邀请所有投标人代表参加。不参加开标会的投标人，视为其认可开标程序和结果。</w:t>
      </w:r>
      <w:bookmarkEnd w:id="302"/>
      <w:bookmarkEnd w:id="303"/>
      <w:bookmarkEnd w:id="304"/>
    </w:p>
    <w:p>
      <w:pPr>
        <w:tabs>
          <w:tab w:val="clear" w:pos="426"/>
        </w:tabs>
        <w:rPr>
          <w:color w:val="000000" w:themeColor="text1"/>
          <w:highlight w:val="none"/>
          <w14:textFill>
            <w14:solidFill>
              <w14:schemeClr w14:val="tx1"/>
            </w14:solidFill>
          </w14:textFill>
        </w:rPr>
      </w:pPr>
      <w:bookmarkStart w:id="305" w:name="_Toc201997843"/>
      <w:bookmarkStart w:id="306" w:name="_Toc201401582"/>
      <w:bookmarkStart w:id="307" w:name="_Toc201401390"/>
      <w:r>
        <w:rPr>
          <w:rFonts w:hint="eastAsia"/>
          <w:color w:val="000000" w:themeColor="text1"/>
          <w:highlight w:val="none"/>
          <w14:textFill>
            <w14:solidFill>
              <w14:schemeClr w14:val="tx1"/>
            </w14:solidFill>
          </w14:textFill>
        </w:rPr>
        <w:t>29.2  参加开标会议的投标人只委派一名代表，且必须是本单位法定代表人或授权代表，参加会议人员须提供相应的授权委托书。</w:t>
      </w:r>
    </w:p>
    <w:bookmarkEnd w:id="305"/>
    <w:bookmarkEnd w:id="306"/>
    <w:bookmarkEnd w:id="307"/>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29.3  开标会由采购代理机构主持，开标程序如下：</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29.3.1  采购代理机构核对法人代表或其授权代表身份证明，若不能提供相应的身份证明或不相符，则不能参与开标会议； </w:t>
      </w:r>
    </w:p>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29.3.2  招标机构将按“采购公告”规定的时间和地点组织公开开标。投标人应委派代表参加，参加开标的代表应签名报到以证明出席。</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29.3.3  开标时，招标机构将当众宣读投标人名称、修改和撤回投标的通知、开标一览表（以招标文件规定的开标一览表内容为准）。投标文件中开标一览表内容与投标报价明细表内容不一致的，以开标一览表为准。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除了按照本通用条款第26条规定原封退回的投标之外，开标时将不得拒绝任何投标书。</w:t>
      </w:r>
    </w:p>
    <w:p>
      <w:pPr>
        <w:tabs>
          <w:tab w:val="clear" w:pos="426"/>
        </w:tabs>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 xml:space="preserve">.4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开标时，招标机构仅拆封开标信封。如投标人未单独密封包装开标信封，招标机构有权拆封投标文件。</w:t>
      </w:r>
    </w:p>
    <w:p>
      <w:pPr>
        <w:tabs>
          <w:tab w:val="clear" w:pos="426"/>
        </w:tabs>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3.5</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按照投标人须知第</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8条规定，提交了可接受的“撤回”通知的投标将不予开封。</w:t>
      </w:r>
    </w:p>
    <w:p>
      <w:pPr>
        <w:tabs>
          <w:tab w:val="clear" w:pos="426"/>
        </w:tabs>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 xml:space="preserve">3.6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无论如何在开标时没有启封和读出的投标书在评标时将不予考虑。撤回的投标书将原封退回投标人。</w:t>
      </w:r>
    </w:p>
    <w:p>
      <w:pPr>
        <w:tabs>
          <w:tab w:val="clear" w:pos="426"/>
        </w:tabs>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9.3.7</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招标机构将做开标记录，开标记录包括按本通用条款第</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3.3的规定在开标时宣读的全部内容。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29.3.8  供应商在开标过程中知道或者应知其权益受到损害时必须现场明确提出，未明确提出的，即视为认可开标结果。</w:t>
      </w:r>
    </w:p>
    <w:p>
      <w:pPr>
        <w:pStyle w:val="5"/>
        <w:tabs>
          <w:tab w:val="clear" w:pos="426"/>
        </w:tabs>
        <w:rPr>
          <w:color w:val="000000" w:themeColor="text1"/>
          <w:highlight w:val="none"/>
          <w14:textFill>
            <w14:solidFill>
              <w14:schemeClr w14:val="tx1"/>
            </w14:solidFill>
          </w14:textFill>
        </w:rPr>
      </w:pPr>
      <w:bookmarkStart w:id="308" w:name="_Toc26959"/>
      <w:bookmarkStart w:id="309" w:name="_Toc432592825"/>
      <w:bookmarkStart w:id="310" w:name="_Toc3628668"/>
      <w:bookmarkStart w:id="311" w:name="_Toc398220533"/>
      <w:r>
        <w:rPr>
          <w:rFonts w:hint="eastAsia"/>
          <w:color w:val="000000" w:themeColor="text1"/>
          <w:highlight w:val="none"/>
          <w14:textFill>
            <w14:solidFill>
              <w14:schemeClr w14:val="tx1"/>
            </w14:solidFill>
          </w14:textFill>
        </w:rPr>
        <w:t>第五章 评标</w:t>
      </w:r>
      <w:bookmarkEnd w:id="296"/>
      <w:bookmarkEnd w:id="297"/>
      <w:bookmarkEnd w:id="298"/>
      <w:bookmarkEnd w:id="299"/>
      <w:r>
        <w:rPr>
          <w:rFonts w:hint="eastAsia"/>
          <w:color w:val="000000" w:themeColor="text1"/>
          <w:highlight w:val="none"/>
          <w14:textFill>
            <w14:solidFill>
              <w14:schemeClr w14:val="tx1"/>
            </w14:solidFill>
          </w14:textFill>
        </w:rPr>
        <w:t>要求</w:t>
      </w:r>
      <w:bookmarkEnd w:id="300"/>
      <w:bookmarkEnd w:id="301"/>
      <w:bookmarkEnd w:id="308"/>
      <w:bookmarkEnd w:id="309"/>
      <w:bookmarkEnd w:id="310"/>
      <w:bookmarkEnd w:id="311"/>
    </w:p>
    <w:p>
      <w:pPr>
        <w:tabs>
          <w:tab w:val="clear" w:pos="426"/>
        </w:tabs>
        <w:rPr>
          <w:color w:val="000000" w:themeColor="text1"/>
          <w:highlight w:val="none"/>
          <w14:textFill>
            <w14:solidFill>
              <w14:schemeClr w14:val="tx1"/>
            </w14:solidFill>
          </w14:textFill>
        </w:rPr>
      </w:pPr>
      <w:bookmarkStart w:id="312" w:name="bt评标会议"/>
      <w:bookmarkEnd w:id="312"/>
      <w:bookmarkStart w:id="313" w:name="_Toc73518147"/>
      <w:bookmarkStart w:id="314" w:name="_Toc73521577"/>
      <w:bookmarkStart w:id="315" w:name="_Toc73517669"/>
      <w:bookmarkStart w:id="316" w:name="_Toc100052394"/>
      <w:bookmarkStart w:id="317" w:name="_Toc73521665"/>
      <w:r>
        <w:rPr>
          <w:rFonts w:hint="eastAsia"/>
          <w:color w:val="000000" w:themeColor="text1"/>
          <w:highlight w:val="none"/>
          <w14:textFill>
            <w14:solidFill>
              <w14:schemeClr w14:val="tx1"/>
            </w14:solidFill>
          </w14:textFill>
        </w:rPr>
        <w:t>30．评标委员会组成</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30.1开标结束后召开评标会议，评标委员会由采购代理机构依法组建，负责评标活动。</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评标委员会的组成及行为规范执行《关于印发</w:t>
      </w:r>
      <w:r>
        <w:rPr>
          <w:color w:val="000000" w:themeColor="text1"/>
          <w:highlight w:val="none"/>
          <w14:textFill>
            <w14:solidFill>
              <w14:schemeClr w14:val="tx1"/>
            </w14:solidFill>
          </w14:textFill>
        </w:rPr>
        <w:t>&lt;</w:t>
      </w:r>
      <w:r>
        <w:rPr>
          <w:rFonts w:hint="eastAsia"/>
          <w:color w:val="000000" w:themeColor="text1"/>
          <w:highlight w:val="none"/>
          <w14:textFill>
            <w14:solidFill>
              <w14:schemeClr w14:val="tx1"/>
            </w14:solidFill>
          </w14:textFill>
        </w:rPr>
        <w:t>深圳市政府采购评标委员会和评标方法暂行规定</w:t>
      </w:r>
      <w:r>
        <w:rPr>
          <w:color w:val="000000" w:themeColor="text1"/>
          <w:highlight w:val="none"/>
          <w14:textFill>
            <w14:solidFill>
              <w14:schemeClr w14:val="tx1"/>
            </w14:solidFill>
          </w14:textFill>
        </w:rPr>
        <w:t>&gt;</w:t>
      </w:r>
      <w:r>
        <w:rPr>
          <w:rFonts w:hint="eastAsia"/>
          <w:color w:val="000000" w:themeColor="text1"/>
          <w:highlight w:val="none"/>
          <w14:textFill>
            <w14:solidFill>
              <w14:schemeClr w14:val="tx1"/>
            </w14:solidFill>
          </w14:textFill>
        </w:rPr>
        <w:t>的通知》</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深财购</w:t>
      </w:r>
      <w:r>
        <w:rPr>
          <w:color w:val="000000" w:themeColor="text1"/>
          <w:highlight w:val="none"/>
          <w14:textFill>
            <w14:solidFill>
              <w14:schemeClr w14:val="tx1"/>
            </w14:solidFill>
          </w14:textFill>
        </w:rPr>
        <w:t>[2005]5</w:t>
      </w:r>
      <w:r>
        <w:rPr>
          <w:rFonts w:hint="eastAsia"/>
          <w:color w:val="000000" w:themeColor="text1"/>
          <w:highlight w:val="none"/>
          <w14:textFill>
            <w14:solidFill>
              <w14:schemeClr w14:val="tx1"/>
            </w14:solidFill>
          </w14:textFill>
        </w:rPr>
        <w:t>号</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，评标委员会由采购单位代表和有关技术、经济等方面的专家组成，成员人数为</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人以上（含</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人）单数，其中技术、经济等方面的专家不少于成员总数的三分之二。</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为保证评委人选的专业性，以及评标中的公平公正性，评标委员会成员从深圳市财政委员会评标专家库中随机抽取。</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采购单位代表须持本单位签发的《评标授权书》参加评标。</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采购单位无代表参与评标，应在开标前一天提交《采购单位不派评委参与项目评标承诺书》给采购代理机构。</w:t>
      </w:r>
    </w:p>
    <w:p>
      <w:pPr>
        <w:tabs>
          <w:tab w:val="clear" w:pos="426"/>
        </w:tabs>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注：《评标授权书》《采购单位不派评委参与项目评标承诺书》模板可以从“深圳市政府采购中心网站”（</w:t>
      </w:r>
      <w:r>
        <w:rPr>
          <w:color w:val="000000" w:themeColor="text1"/>
          <w:highlight w:val="none"/>
          <w14:textFill>
            <w14:solidFill>
              <w14:schemeClr w14:val="tx1"/>
            </w14:solidFill>
          </w14:textFill>
        </w:rPr>
        <w:t>http://</w:t>
      </w:r>
      <w:r>
        <w:rPr>
          <w:rFonts w:hint="eastAsia"/>
          <w:color w:val="000000" w:themeColor="text1"/>
          <w:highlight w:val="none"/>
          <w14:textFill>
            <w14:solidFill>
              <w14:schemeClr w14:val="tx1"/>
            </w14:solidFill>
          </w14:textFill>
        </w:rPr>
        <w:t>www</w:t>
      </w:r>
      <w:r>
        <w:rPr>
          <w:color w:val="000000" w:themeColor="text1"/>
          <w:highlight w:val="none"/>
          <w14:textFill>
            <w14:solidFill>
              <w14:schemeClr w14:val="tx1"/>
            </w14:solidFill>
          </w14:textFill>
        </w:rPr>
        <w:t>.szzfcg.cn/</w:t>
      </w:r>
      <w:r>
        <w:rPr>
          <w:rFonts w:hint="eastAsia"/>
          <w:color w:val="000000" w:themeColor="text1"/>
          <w:highlight w:val="none"/>
          <w14:textFill>
            <w14:solidFill>
              <w14:schemeClr w14:val="tx1"/>
            </w14:solidFill>
          </w14:textFill>
        </w:rPr>
        <w:t>）采购单位页面下“采购”环节“通用表格”处下载</w:t>
      </w:r>
      <w:r>
        <w:rPr>
          <w:rFonts w:hint="eastAsia"/>
          <w:color w:val="000000" w:themeColor="text1"/>
          <w:sz w:val="24"/>
          <w:highlight w:val="none"/>
          <w14:textFill>
            <w14:solidFill>
              <w14:schemeClr w14:val="tx1"/>
            </w14:solidFill>
          </w14:textFill>
        </w:rPr>
        <w:t>。</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30.2评标定标应当遵循公平、公正、科学、择优的原则。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30.3评标活动依法进行，任何单位和个人不得非法干预评标过程和结果。</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30.4评标过程中不允许违背评标程序或采用招标文件未载明的评标方法或评标因素进行评标。</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30.5 开标后，直到授予中标人合同为止，凡属于对投标文件的审查、澄清、评价和比较的有关资料以及中标候选人的推荐情况、与评标有关的其他任何情况均严格保密。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31．向评标委员会提供的资料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31.1公开发布的招标文件，包括图纸、服务清单、答疑文件等；</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31.2其他评标必须的资料。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31.3评标委员会应当认真研究招标文件，至少应了解熟悉以下内容：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（1）招标的目的；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（2）招标项目需求的范围和性质；</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（3）招标文件规定的投标人的资格、财政预算限额、商务条款；</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（4）招标文件规定的评标程序、评标方法和评标因素；</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（5）招标文件所列示的投标文件“资格、符合性评审条款”。</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32．独立评标</w:t>
      </w:r>
    </w:p>
    <w:p>
      <w:pPr>
        <w:tabs>
          <w:tab w:val="clear" w:pos="426"/>
        </w:tabs>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32.1评标委员会成员的评标活动应当独立进行，并应遵循投标文件初审、澄清有关问题、比较与评价、确定中标候选供应商、编写评标报告的工作程序。</w:t>
      </w:r>
      <w:bookmarkEnd w:id="313"/>
      <w:bookmarkEnd w:id="314"/>
      <w:bookmarkEnd w:id="315"/>
      <w:bookmarkEnd w:id="316"/>
      <w:bookmarkEnd w:id="317"/>
      <w:bookmarkStart w:id="318" w:name="bt评标过程的保密"/>
      <w:bookmarkEnd w:id="318"/>
      <w:bookmarkStart w:id="319" w:name="bt错误的修正"/>
      <w:bookmarkEnd w:id="319"/>
    </w:p>
    <w:p>
      <w:pPr>
        <w:pStyle w:val="5"/>
        <w:tabs>
          <w:tab w:val="clear" w:pos="426"/>
        </w:tabs>
        <w:rPr>
          <w:color w:val="000000" w:themeColor="text1"/>
          <w:highlight w:val="none"/>
          <w14:textFill>
            <w14:solidFill>
              <w14:schemeClr w14:val="tx1"/>
            </w14:solidFill>
          </w14:textFill>
        </w:rPr>
      </w:pPr>
      <w:bookmarkStart w:id="320" w:name="_Toc398220534"/>
      <w:bookmarkStart w:id="321" w:name="_Toc432592826"/>
      <w:bookmarkStart w:id="322" w:name="_Toc3628669"/>
      <w:bookmarkStart w:id="323" w:name="_Toc101074883"/>
      <w:bookmarkStart w:id="324" w:name="_Toc29758"/>
      <w:bookmarkStart w:id="325" w:name="_Toc100052397"/>
      <w:r>
        <w:rPr>
          <w:rFonts w:hint="eastAsia"/>
          <w:color w:val="000000" w:themeColor="text1"/>
          <w:highlight w:val="none"/>
          <w14:textFill>
            <w14:solidFill>
              <w14:schemeClr w14:val="tx1"/>
            </w14:solidFill>
          </w14:textFill>
        </w:rPr>
        <w:t>第六章 评标程序</w:t>
      </w:r>
      <w:bookmarkStart w:id="326" w:name="bt投标文件的审查"/>
      <w:bookmarkEnd w:id="326"/>
      <w:bookmarkStart w:id="327" w:name="_Toc73521579"/>
      <w:bookmarkStart w:id="328" w:name="_Toc73517671"/>
      <w:bookmarkStart w:id="329" w:name="_Toc73521667"/>
      <w:bookmarkStart w:id="330" w:name="_Toc73518149"/>
      <w:r>
        <w:rPr>
          <w:rFonts w:hint="eastAsia"/>
          <w:color w:val="000000" w:themeColor="text1"/>
          <w:highlight w:val="none"/>
          <w14:textFill>
            <w14:solidFill>
              <w14:schemeClr w14:val="tx1"/>
            </w14:solidFill>
          </w14:textFill>
        </w:rPr>
        <w:t>及评标方法</w:t>
      </w:r>
      <w:bookmarkEnd w:id="320"/>
      <w:bookmarkEnd w:id="321"/>
      <w:bookmarkEnd w:id="322"/>
      <w:bookmarkEnd w:id="323"/>
      <w:bookmarkEnd w:id="324"/>
      <w:bookmarkEnd w:id="325"/>
    </w:p>
    <w:p>
      <w:pPr>
        <w:tabs>
          <w:tab w:val="clear" w:pos="426"/>
        </w:tabs>
        <w:rPr>
          <w:color w:val="000000" w:themeColor="text1"/>
          <w:highlight w:val="none"/>
          <w14:textFill>
            <w14:solidFill>
              <w14:schemeClr w14:val="tx1"/>
            </w14:solidFill>
          </w14:textFill>
        </w:rPr>
      </w:pPr>
      <w:bookmarkStart w:id="331" w:name="_Toc100052398"/>
      <w:r>
        <w:rPr>
          <w:rFonts w:hint="eastAsia"/>
          <w:color w:val="000000" w:themeColor="text1"/>
          <w:highlight w:val="none"/>
          <w14:textFill>
            <w14:solidFill>
              <w14:schemeClr w14:val="tx1"/>
            </w14:solidFill>
          </w14:textFill>
        </w:rPr>
        <w:t>33．投标文件初审</w:t>
      </w:r>
      <w:bookmarkEnd w:id="331"/>
    </w:p>
    <w:bookmarkEnd w:id="327"/>
    <w:bookmarkEnd w:id="328"/>
    <w:bookmarkEnd w:id="329"/>
    <w:bookmarkEnd w:id="330"/>
    <w:p>
      <w:pPr>
        <w:widowControl w:val="0"/>
        <w:shd w:val="clear" w:color="auto" w:fill="auto"/>
        <w:tabs>
          <w:tab w:val="clear" w:pos="426"/>
        </w:tabs>
        <w:autoSpaceDE w:val="0"/>
        <w:autoSpaceDN w:val="0"/>
        <w:rPr>
          <w:rFonts w:cs="黑体"/>
          <w:b/>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33.1 </w:t>
      </w:r>
      <w:r>
        <w:rPr>
          <w:rFonts w:hint="eastAsia"/>
          <w:color w:val="000000" w:themeColor="text1"/>
          <w:szCs w:val="21"/>
          <w:highlight w:val="none"/>
          <w:lang w:eastAsia="zh-TW"/>
          <w14:textFill>
            <w14:solidFill>
              <w14:schemeClr w14:val="tx1"/>
            </w14:solidFill>
          </w14:textFill>
        </w:rPr>
        <w:t>评标委员会将</w:t>
      </w:r>
      <w:r>
        <w:rPr>
          <w:rFonts w:hint="eastAsia"/>
          <w:color w:val="000000" w:themeColor="text1"/>
          <w:szCs w:val="21"/>
          <w:highlight w:val="none"/>
          <w14:textFill>
            <w14:solidFill>
              <w14:schemeClr w14:val="tx1"/>
            </w14:solidFill>
          </w14:textFill>
        </w:rPr>
        <w:t>依法对投标文件进行初审。</w:t>
      </w:r>
      <w:r>
        <w:rPr>
          <w:rFonts w:hint="eastAsia"/>
          <w:color w:val="000000" w:themeColor="text1"/>
          <w:highlight w:val="none"/>
          <w14:textFill>
            <w14:solidFill>
              <w14:schemeClr w14:val="tx1"/>
            </w14:solidFill>
          </w14:textFill>
        </w:rPr>
        <w:t>投标文件初审包括资格性审查和符合性审查，资格性审查：依据法律法规和招标文件的规定，对投标文件中的资格证明，以确定投标人是否具备投标资格。符合性审查：依据招标文件的规定，从投标文件的有效性、完整性和对招标文件的响应程度进行审查，以确定是否对招标文件的实质性要求作出响应。</w:t>
      </w:r>
    </w:p>
    <w:p>
      <w:pPr>
        <w:tabs>
          <w:tab w:val="clear" w:pos="426"/>
        </w:tabs>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33.2 投标文件初审内容请详见“</w:t>
      </w:r>
      <w:r>
        <w:rPr>
          <w:rFonts w:hint="eastAsia"/>
          <w:b/>
          <w:color w:val="000000" w:themeColor="text1"/>
          <w:highlight w:val="none"/>
          <w14:textFill>
            <w14:solidFill>
              <w14:schemeClr w14:val="tx1"/>
            </w14:solidFill>
          </w14:textFill>
        </w:rPr>
        <w:t>资格性审查表、符合性审查表</w:t>
      </w:r>
      <w:r>
        <w:rPr>
          <w:rFonts w:hint="eastAsia"/>
          <w:color w:val="000000" w:themeColor="text1"/>
          <w:highlight w:val="none"/>
          <w14:textFill>
            <w14:solidFill>
              <w14:schemeClr w14:val="tx1"/>
            </w14:solidFill>
          </w14:textFill>
        </w:rPr>
        <w:t>”。投标人若有一条审查不通过则按无效标处理。评标委员会对投标单位打√为通过审查，打×为未通过审查。</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33.3 投标文件初审中关于供应商家数的计算</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33.3.1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33.3.2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33.3.3非单一产品采购项目，采购人应当根据采购项目技术构成、产品价格比重等合理确定核心产品，并在招标文件中载明。多家投标人提供的核心产品品牌相同的，按前两款规定处理。</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33.3.4公开招标以外采购方式以及政府采购服务和工程涉及采购货物的项目，也按此方法计算供应商家数。</w:t>
      </w:r>
    </w:p>
    <w:p>
      <w:pPr>
        <w:tabs>
          <w:tab w:val="clear" w:pos="426"/>
        </w:tabs>
        <w:rPr>
          <w:b/>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33.4 </w:t>
      </w:r>
      <w:r>
        <w:rPr>
          <w:rFonts w:hint="eastAsia"/>
          <w:color w:val="000000" w:themeColor="text1"/>
          <w:highlight w:val="none"/>
          <w14:textFill>
            <w14:solidFill>
              <w14:schemeClr w14:val="tx1"/>
            </w14:solidFill>
          </w14:textFill>
        </w:rPr>
        <w:t>对不属于投标文件“</w:t>
      </w:r>
      <w:r>
        <w:rPr>
          <w:rFonts w:hint="eastAsia"/>
          <w:b/>
          <w:color w:val="000000" w:themeColor="text1"/>
          <w:highlight w:val="none"/>
          <w14:textFill>
            <w14:solidFill>
              <w14:schemeClr w14:val="tx1"/>
            </w14:solidFill>
          </w14:textFill>
        </w:rPr>
        <w:t>资格、符合性评审条款</w:t>
      </w:r>
      <w:r>
        <w:rPr>
          <w:rFonts w:hint="eastAsia"/>
          <w:color w:val="000000" w:themeColor="text1"/>
          <w:highlight w:val="none"/>
          <w14:textFill>
            <w14:solidFill>
              <w14:schemeClr w14:val="tx1"/>
            </w14:solidFill>
          </w14:textFill>
        </w:rPr>
        <w:t>”要所列不符合的情形，除法律法规另有规定外，不得作为废标的理由。</w:t>
      </w:r>
    </w:p>
    <w:p>
      <w:pPr>
        <w:tabs>
          <w:tab w:val="clear" w:pos="426"/>
        </w:tabs>
        <w:rPr>
          <w:color w:val="000000" w:themeColor="text1"/>
          <w:highlight w:val="none"/>
          <w14:textFill>
            <w14:solidFill>
              <w14:schemeClr w14:val="tx1"/>
            </w14:solidFill>
          </w14:textFill>
        </w:rPr>
      </w:pPr>
      <w:bookmarkStart w:id="332" w:name="_Toc100052399"/>
      <w:r>
        <w:rPr>
          <w:color w:val="000000" w:themeColor="text1"/>
          <w:highlight w:val="none"/>
          <w14:textFill>
            <w14:solidFill>
              <w14:schemeClr w14:val="tx1"/>
            </w14:solidFill>
          </w14:textFill>
        </w:rPr>
        <w:t>34．澄清有关问题</w:t>
      </w:r>
      <w:bookmarkEnd w:id="332"/>
    </w:p>
    <w:p>
      <w:pPr>
        <w:tabs>
          <w:tab w:val="clear" w:pos="426"/>
        </w:tabs>
        <w:rPr>
          <w:color w:val="000000" w:themeColor="text1"/>
          <w:highlight w:val="none"/>
          <w14:textFill>
            <w14:solidFill>
              <w14:schemeClr w14:val="tx1"/>
            </w14:solidFill>
          </w14:textFill>
        </w:rPr>
      </w:pPr>
      <w:bookmarkStart w:id="333" w:name="bt废标"/>
      <w:bookmarkEnd w:id="333"/>
      <w:bookmarkStart w:id="334" w:name="bt投标文件的评估和比较"/>
      <w:bookmarkEnd w:id="334"/>
      <w:bookmarkStart w:id="335" w:name="bt投标文件的澄清"/>
      <w:bookmarkEnd w:id="335"/>
      <w:bookmarkStart w:id="336" w:name="_Toc73521583"/>
      <w:bookmarkStart w:id="337" w:name="_Toc73518153"/>
      <w:bookmarkStart w:id="338" w:name="_Toc73517675"/>
      <w:bookmarkStart w:id="339" w:name="_Toc73521671"/>
      <w:r>
        <w:rPr>
          <w:rFonts w:hint="eastAsia"/>
          <w:color w:val="000000" w:themeColor="text1"/>
          <w:highlight w:val="none"/>
          <w14:textFill>
            <w14:solidFill>
              <w14:schemeClr w14:val="tx1"/>
            </w14:solidFill>
          </w14:textFill>
        </w:rPr>
        <w:t>为了有助于投标文件的审查、评价和比较，对投标文件含义不明确、同类问题表述不一致或者有明显文字和计算错误的内容，评标委员会可以用书面形式</w:t>
      </w:r>
      <w:r>
        <w:rPr>
          <w:color w:val="000000" w:themeColor="text1"/>
          <w:highlight w:val="none"/>
          <w14:textFill>
            <w14:solidFill>
              <w14:schemeClr w14:val="tx1"/>
            </w14:solidFill>
          </w14:textFill>
        </w:rPr>
        <w:t>(应当由评标委员会签字)要求投标人</w:t>
      </w:r>
      <w:r>
        <w:rPr>
          <w:rFonts w:hint="eastAsia"/>
          <w:color w:val="000000" w:themeColor="text1"/>
          <w:highlight w:val="none"/>
          <w14:textFill>
            <w14:solidFill>
              <w14:schemeClr w14:val="tx1"/>
            </w14:solidFill>
          </w14:textFill>
        </w:rPr>
        <w:t>作出必要的澄清、说明或者纠正。投标人的澄清、说明或者补正应当用采用书面形式（由其授权的代表签字），并不得超出投标文件的范围或者改变投标文件的实质性的内容。根据本通用条款第</w:t>
      </w:r>
      <w:r>
        <w:rPr>
          <w:color w:val="000000" w:themeColor="text1"/>
          <w:highlight w:val="none"/>
          <w14:textFill>
            <w14:solidFill>
              <w14:schemeClr w14:val="tx1"/>
            </w14:solidFill>
          </w14:textFill>
        </w:rPr>
        <w:t>34条，凡属于评标委员会在评标中发现的算术错误进行核实的修改不在此列。</w:t>
      </w:r>
    </w:p>
    <w:p>
      <w:pPr>
        <w:tabs>
          <w:tab w:val="clear" w:pos="426"/>
        </w:tabs>
        <w:rPr>
          <w:color w:val="000000" w:themeColor="text1"/>
          <w:highlight w:val="none"/>
          <w14:textFill>
            <w14:solidFill>
              <w14:schemeClr w14:val="tx1"/>
            </w14:solidFill>
          </w14:textFill>
        </w:rPr>
      </w:pPr>
      <w:bookmarkStart w:id="340" w:name="_Toc100052400"/>
      <w:bookmarkStart w:id="341" w:name="_Toc73517673"/>
      <w:bookmarkStart w:id="342" w:name="_Toc73521669"/>
      <w:bookmarkStart w:id="343" w:name="_Toc73521581"/>
      <w:bookmarkStart w:id="344" w:name="_Toc73518151"/>
      <w:r>
        <w:rPr>
          <w:color w:val="000000" w:themeColor="text1"/>
          <w:highlight w:val="none"/>
          <w14:textFill>
            <w14:solidFill>
              <w14:schemeClr w14:val="tx1"/>
            </w14:solidFill>
          </w14:textFill>
        </w:rPr>
        <w:t>35．错误的修正</w:t>
      </w:r>
      <w:bookmarkEnd w:id="340"/>
      <w:bookmarkEnd w:id="341"/>
      <w:bookmarkEnd w:id="342"/>
      <w:bookmarkEnd w:id="343"/>
      <w:bookmarkEnd w:id="344"/>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35.1 </w:t>
      </w:r>
      <w:r>
        <w:rPr>
          <w:rFonts w:hint="eastAsia"/>
          <w:color w:val="000000" w:themeColor="text1"/>
          <w:highlight w:val="none"/>
          <w14:textFill>
            <w14:solidFill>
              <w14:schemeClr w14:val="tx1"/>
            </w14:solidFill>
          </w14:textFill>
        </w:rPr>
        <w:t>评标委员会将审查投标文件是否完整、总体编排是否有序、文件签署是否合格、有无计算上的错误等。</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35.2  </w:t>
      </w:r>
      <w:r>
        <w:rPr>
          <w:rFonts w:hint="eastAsia"/>
          <w:color w:val="000000" w:themeColor="text1"/>
          <w:highlight w:val="none"/>
          <w14:textFill>
            <w14:solidFill>
              <w14:schemeClr w14:val="tx1"/>
            </w14:solidFill>
          </w14:textFill>
        </w:rPr>
        <w:t>算术错误将按以下方法更正（次序排先者优先）：</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35.2.1投标文件中开标一览表（报价表）内容与投标文件中相应内容不一致的，以开标一览表（报价表）为准；</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35.2.2大写金额和小写金额不一致的，以大写金额为准；</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35.2.3单价金额小数点或者百分比有明显错位的，以开标一览表的总价为准，并修改单价；</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35.2.4总价金额与按单价汇总金额不一致的，以单价金额计算结果为准；</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35.2.5 </w:t>
      </w:r>
      <w:r>
        <w:rPr>
          <w:rFonts w:hint="eastAsia"/>
          <w:color w:val="000000" w:themeColor="text1"/>
          <w:highlight w:val="none"/>
          <w14:textFill>
            <w14:solidFill>
              <w14:schemeClr w14:val="tx1"/>
            </w14:solidFill>
          </w14:textFill>
        </w:rPr>
        <w:t>对不同文字文本投标文件的解释发生异议的，以中文文本为准。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对于投标文件中不构成实质性偏差的不正规、不一致或不规则，给评审带来不便，评标委员会可以接受。</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35.4  投标人的投标报价是可变动价格的，或包含了价格调整要求的，或投标报价中提供</w:t>
      </w:r>
      <w:r>
        <w:rPr>
          <w:color w:val="000000" w:themeColor="text1"/>
          <w:highlight w:val="none"/>
          <w14:textFill>
            <w14:solidFill>
              <w14:schemeClr w14:val="tx1"/>
            </w14:solidFill>
          </w14:textFill>
        </w:rPr>
        <w:t>两个</w:t>
      </w:r>
      <w:r>
        <w:rPr>
          <w:rFonts w:hint="eastAsia"/>
          <w:color w:val="000000" w:themeColor="text1"/>
          <w:highlight w:val="none"/>
          <w14:textFill>
            <w14:solidFill>
              <w14:schemeClr w14:val="tx1"/>
            </w14:solidFill>
          </w14:textFill>
        </w:rPr>
        <w:t>（含两个）以上的</w:t>
      </w:r>
      <w:r>
        <w:rPr>
          <w:color w:val="000000" w:themeColor="text1"/>
          <w:highlight w:val="none"/>
          <w14:textFill>
            <w14:solidFill>
              <w14:schemeClr w14:val="tx1"/>
            </w14:solidFill>
          </w14:textFill>
        </w:rPr>
        <w:t>报价</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招标文件规定提交备选投标方案的除外</w:t>
      </w:r>
      <w:r>
        <w:rPr>
          <w:rFonts w:hint="eastAsia"/>
          <w:color w:val="000000" w:themeColor="text1"/>
          <w:highlight w:val="none"/>
          <w14:textFill>
            <w14:solidFill>
              <w14:schemeClr w14:val="tx1"/>
            </w14:solidFill>
          </w14:textFill>
        </w:rPr>
        <w:t>），或严重漏项，评标委员会无法进行判断的，评标委员会可以作无效标处理。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35.5根据上述修正错误的原则及方法调整或修正投标文件的投标报价，投标人同意后，调整后的投标报价对投标人起约束作用。</w:t>
      </w:r>
      <w:r>
        <w:rPr>
          <w:rFonts w:hint="eastAsia"/>
          <w:b/>
          <w:bCs/>
          <w:color w:val="000000" w:themeColor="text1"/>
          <w:highlight w:val="none"/>
          <w14:textFill>
            <w14:solidFill>
              <w14:schemeClr w14:val="tx1"/>
            </w14:solidFill>
          </w14:textFill>
        </w:rPr>
        <w:t>如果投标人不接受修正后的报价，则其投标将被拒绝，并不影响评标工作。</w:t>
      </w:r>
    </w:p>
    <w:p>
      <w:pPr>
        <w:tabs>
          <w:tab w:val="clear" w:pos="426"/>
        </w:tabs>
        <w:rPr>
          <w:color w:val="000000" w:themeColor="text1"/>
          <w:highlight w:val="none"/>
          <w14:textFill>
            <w14:solidFill>
              <w14:schemeClr w14:val="tx1"/>
            </w14:solidFill>
          </w14:textFill>
        </w:rPr>
      </w:pPr>
      <w:bookmarkStart w:id="345" w:name="_Toc100052401"/>
      <w:r>
        <w:rPr>
          <w:rFonts w:hint="eastAsia"/>
          <w:color w:val="000000" w:themeColor="text1"/>
          <w:highlight w:val="none"/>
          <w14:textFill>
            <w14:solidFill>
              <w14:schemeClr w14:val="tx1"/>
            </w14:solidFill>
          </w14:textFill>
        </w:rPr>
        <w:t>36．投标文件的</w:t>
      </w:r>
      <w:bookmarkEnd w:id="336"/>
      <w:bookmarkEnd w:id="337"/>
      <w:bookmarkEnd w:id="338"/>
      <w:bookmarkEnd w:id="339"/>
      <w:r>
        <w:rPr>
          <w:rFonts w:hint="eastAsia"/>
          <w:color w:val="000000" w:themeColor="text1"/>
          <w:highlight w:val="none"/>
          <w14:textFill>
            <w14:solidFill>
              <w14:schemeClr w14:val="tx1"/>
            </w14:solidFill>
          </w14:textFill>
        </w:rPr>
        <w:t>比较与评价</w:t>
      </w:r>
      <w:bookmarkEnd w:id="345"/>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36.1评标委员会将按照《深圳经济特区政府采购条例》及《深圳市政府采购评标委员会和评标方法暂行规定》，参照相关法律、法规、规定，仅对通过资格性审查和符合性审查的投标文件进行综合比较与评价。</w:t>
      </w:r>
    </w:p>
    <w:p>
      <w:pPr>
        <w:tabs>
          <w:tab w:val="clear" w:pos="426"/>
        </w:tabs>
        <w:rPr>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 xml:space="preserve">36.2  </w:t>
      </w:r>
      <w:r>
        <w:rPr>
          <w:rFonts w:hint="eastAsia"/>
          <w:color w:val="000000" w:themeColor="text1"/>
          <w:highlight w:val="none"/>
          <w14:textFill>
            <w14:solidFill>
              <w14:schemeClr w14:val="tx1"/>
            </w14:solidFill>
          </w14:textFill>
        </w:rPr>
        <w:t>评标委员会应当根据招标文件，审查并逐项列出投标文件的全部投标偏离。投标偏离分为重大偏离和细微偏离。</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36.3 评标委员会应当对投标人的投标文件进行分析和比较。</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36.4  评标委员会应当根据招标文件规定，对投标文件中的每项评审内容进行评审。</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36.5  投标文件存在重大偏离的，应作废标处理。下列情况属于重大偏离：</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36.5.1  投标人以他人的名义投标或出现下列串通投标、弄虚作假投标嫌疑的：</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36.5.1.1  </w:t>
      </w:r>
      <w:r>
        <w:rPr>
          <w:color w:val="000000" w:themeColor="text1"/>
          <w:kern w:val="10"/>
          <w:highlight w:val="none"/>
          <w14:textFill>
            <w14:solidFill>
              <w14:schemeClr w14:val="tx1"/>
            </w14:solidFill>
          </w14:textFill>
        </w:rPr>
        <w:t>不同投标人的投标文件内容存在非正常一致</w:t>
      </w:r>
      <w:r>
        <w:rPr>
          <w:rFonts w:hint="eastAsia"/>
          <w:color w:val="000000" w:themeColor="text1"/>
          <w:kern w:val="10"/>
          <w:highlight w:val="none"/>
          <w14:textFill>
            <w14:solidFill>
              <w14:schemeClr w14:val="tx1"/>
            </w14:solidFill>
          </w14:textFill>
        </w:rPr>
        <w:t>的</w:t>
      </w:r>
      <w:r>
        <w:rPr>
          <w:color w:val="000000" w:themeColor="text1"/>
          <w:kern w:val="10"/>
          <w:highlight w:val="none"/>
          <w14:textFill>
            <w14:solidFill>
              <w14:schemeClr w14:val="tx1"/>
            </w14:solidFill>
          </w14:textFill>
        </w:rPr>
        <w:t>；</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36.5.1.2  </w:t>
      </w:r>
      <w:r>
        <w:rPr>
          <w:color w:val="000000" w:themeColor="text1"/>
          <w:kern w:val="10"/>
          <w:highlight w:val="none"/>
          <w14:textFill>
            <w14:solidFill>
              <w14:schemeClr w14:val="tx1"/>
            </w14:solidFill>
          </w14:textFill>
        </w:rPr>
        <w:t>不同投标人的投标文件错漏之处一致的；</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36.5.1.3  </w:t>
      </w:r>
      <w:r>
        <w:rPr>
          <w:color w:val="000000" w:themeColor="text1"/>
          <w:kern w:val="10"/>
          <w:highlight w:val="none"/>
          <w14:textFill>
            <w14:solidFill>
              <w14:schemeClr w14:val="tx1"/>
            </w14:solidFill>
          </w14:textFill>
        </w:rPr>
        <w:t>不同投标人的投标报价或者报价组成异常一致或者呈规律性变化的；</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36.5.1.4  </w:t>
      </w:r>
      <w:r>
        <w:rPr>
          <w:color w:val="000000" w:themeColor="text1"/>
          <w:kern w:val="10"/>
          <w:highlight w:val="none"/>
          <w14:textFill>
            <w14:solidFill>
              <w14:schemeClr w14:val="tx1"/>
            </w14:solidFill>
          </w14:textFill>
        </w:rPr>
        <w:t>不同投标人的投标文件由同一单位或者同一个人编制的；</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36.5.1.5  </w:t>
      </w:r>
      <w:r>
        <w:rPr>
          <w:color w:val="000000" w:themeColor="text1"/>
          <w:kern w:val="10"/>
          <w:highlight w:val="none"/>
          <w14:textFill>
            <w14:solidFill>
              <w14:schemeClr w14:val="tx1"/>
            </w14:solidFill>
          </w14:textFill>
        </w:rPr>
        <w:t>不同投标人的投标文件载明的</w:t>
      </w:r>
      <w:r>
        <w:rPr>
          <w:rFonts w:hint="eastAsia"/>
          <w:color w:val="000000" w:themeColor="text1"/>
          <w:kern w:val="10"/>
          <w:highlight w:val="none"/>
          <w14:textFill>
            <w14:solidFill>
              <w14:schemeClr w14:val="tx1"/>
            </w14:solidFill>
          </w14:textFill>
        </w:rPr>
        <w:t>项目负责人与主要技术人员</w:t>
      </w:r>
      <w:r>
        <w:rPr>
          <w:color w:val="000000" w:themeColor="text1"/>
          <w:kern w:val="10"/>
          <w:highlight w:val="none"/>
          <w14:textFill>
            <w14:solidFill>
              <w14:schemeClr w14:val="tx1"/>
            </w14:solidFill>
          </w14:textFill>
        </w:rPr>
        <w:t>出现同一人的；</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36.5.1.6  </w:t>
      </w:r>
      <w:r>
        <w:rPr>
          <w:color w:val="000000" w:themeColor="text1"/>
          <w:kern w:val="10"/>
          <w:highlight w:val="none"/>
          <w14:textFill>
            <w14:solidFill>
              <w14:schemeClr w14:val="tx1"/>
            </w14:solidFill>
          </w14:textFill>
        </w:rPr>
        <w:t>不同投标人的投标文件相互混装的；</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36.5.1.7  </w:t>
      </w:r>
      <w:r>
        <w:rPr>
          <w:color w:val="000000" w:themeColor="text1"/>
          <w:kern w:val="10"/>
          <w:highlight w:val="none"/>
          <w14:textFill>
            <w14:solidFill>
              <w14:schemeClr w14:val="tx1"/>
            </w14:solidFill>
          </w14:textFill>
        </w:rPr>
        <w:t>不同投标人委托同一人投标的</w:t>
      </w:r>
      <w:r>
        <w:rPr>
          <w:rFonts w:hint="eastAsia"/>
          <w:color w:val="000000" w:themeColor="text1"/>
          <w:kern w:val="10"/>
          <w:highlight w:val="none"/>
          <w14:textFill>
            <w14:solidFill>
              <w14:schemeClr w14:val="tx1"/>
            </w14:solidFill>
          </w14:textFill>
        </w:rPr>
        <w:t>；</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36.5.1.8  不同投标人聘请同一人为其投标提供技术或者经济咨询服务的，但招标工程本身要求采用专有技术的除外；</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36.5.1.9  </w:t>
      </w:r>
      <w:r>
        <w:rPr>
          <w:color w:val="000000" w:themeColor="text1"/>
          <w:kern w:val="10"/>
          <w:highlight w:val="none"/>
          <w14:textFill>
            <w14:solidFill>
              <w14:schemeClr w14:val="tx1"/>
            </w14:solidFill>
          </w14:textFill>
        </w:rPr>
        <w:t>评标委员会认定的其他串通投标情形。</w:t>
      </w:r>
    </w:p>
    <w:p>
      <w:pPr>
        <w:tabs>
          <w:tab w:val="clear" w:pos="426"/>
        </w:tabs>
        <w:rPr>
          <w:color w:val="000000" w:themeColor="text1"/>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 xml:space="preserve">36.5.2 </w:t>
      </w:r>
      <w:r>
        <w:rPr>
          <w:rFonts w:hint="eastAsia"/>
          <w:color w:val="000000" w:themeColor="text1"/>
          <w:highlight w:val="none"/>
          <w14:textFill>
            <w14:solidFill>
              <w14:schemeClr w14:val="tx1"/>
            </w14:solidFill>
          </w14:textFill>
        </w:rPr>
        <w:t xml:space="preserve"> 投标文件不满足招标文件规定的任何一项实质性要求的；</w:t>
      </w:r>
    </w:p>
    <w:p>
      <w:pPr>
        <w:tabs>
          <w:tab w:val="clear" w:pos="426"/>
        </w:tabs>
        <w:rPr>
          <w:color w:val="000000" w:themeColor="text1"/>
          <w:highlight w:val="none"/>
          <w14:textFill>
            <w14:solidFill>
              <w14:schemeClr w14:val="tx1"/>
            </w14:solidFill>
          </w14:textFill>
        </w:rPr>
      </w:pPr>
      <w:r>
        <w:rPr>
          <w:rFonts w:hint="eastAsia"/>
          <w:bCs/>
          <w:color w:val="000000" w:themeColor="text1"/>
          <w:kern w:val="10"/>
          <w:highlight w:val="none"/>
          <w14:textFill>
            <w14:solidFill>
              <w14:schemeClr w14:val="tx1"/>
            </w14:solidFill>
          </w14:textFill>
        </w:rPr>
        <w:t xml:space="preserve">36.5.3 </w:t>
      </w:r>
      <w:r>
        <w:rPr>
          <w:rFonts w:hint="eastAsia"/>
          <w:color w:val="000000" w:themeColor="text1"/>
          <w:highlight w:val="none"/>
          <w14:textFill>
            <w14:solidFill>
              <w14:schemeClr w14:val="tx1"/>
            </w14:solidFill>
          </w14:textFill>
        </w:rPr>
        <w:t xml:space="preserve"> 投标文件对招标文件规定的非实质性要求的偏离，超出允许偏离的最大范围或最高项数的；</w:t>
      </w:r>
    </w:p>
    <w:p>
      <w:pPr>
        <w:tabs>
          <w:tab w:val="clear" w:pos="426"/>
        </w:tabs>
        <w:rPr>
          <w:color w:val="000000" w:themeColor="text1"/>
          <w:highlight w:val="none"/>
          <w14:textFill>
            <w14:solidFill>
              <w14:schemeClr w14:val="tx1"/>
            </w14:solidFill>
          </w14:textFill>
        </w:rPr>
      </w:pPr>
      <w:r>
        <w:rPr>
          <w:color w:val="000000" w:themeColor="text1"/>
          <w:kern w:val="10"/>
          <w:highlight w:val="none"/>
          <w14:textFill>
            <w14:solidFill>
              <w14:schemeClr w14:val="tx1"/>
            </w14:solidFill>
          </w14:textFill>
        </w:rPr>
        <w:t>3</w:t>
      </w:r>
      <w:r>
        <w:rPr>
          <w:rFonts w:hint="eastAsia"/>
          <w:color w:val="000000" w:themeColor="text1"/>
          <w:kern w:val="10"/>
          <w:highlight w:val="none"/>
          <w14:textFill>
            <w14:solidFill>
              <w14:schemeClr w14:val="tx1"/>
            </w14:solidFill>
          </w14:textFill>
        </w:rPr>
        <w:t>6</w:t>
      </w:r>
      <w:r>
        <w:rPr>
          <w:color w:val="000000" w:themeColor="text1"/>
          <w:kern w:val="10"/>
          <w:highlight w:val="none"/>
          <w14:textFill>
            <w14:solidFill>
              <w14:schemeClr w14:val="tx1"/>
            </w14:solidFill>
          </w14:textFill>
        </w:rPr>
        <w:t>.5.</w:t>
      </w:r>
      <w:r>
        <w:rPr>
          <w:rFonts w:hint="eastAsia"/>
          <w:color w:val="000000" w:themeColor="text1"/>
          <w:kern w:val="10"/>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 xml:space="preserve"> 评标委员会根据招标文件的规定对投标文件的投标价格进行调整，投标人不接受调整方式的，或不接受调整后的价格的；</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36.6  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tabs>
          <w:tab w:val="clear" w:pos="426"/>
        </w:tabs>
        <w:rPr>
          <w:color w:val="000000" w:themeColor="text1"/>
          <w:kern w:val="10"/>
          <w:highlight w:val="none"/>
          <w14:textFill>
            <w14:solidFill>
              <w14:schemeClr w14:val="tx1"/>
            </w14:solidFill>
          </w14:textFill>
        </w:rPr>
      </w:pPr>
      <w:r>
        <w:rPr>
          <w:rFonts w:hint="eastAsia"/>
          <w:color w:val="000000" w:themeColor="text1"/>
          <w:kern w:val="10"/>
          <w:highlight w:val="none"/>
          <w14:textFill>
            <w14:solidFill>
              <w14:schemeClr w14:val="tx1"/>
            </w14:solidFill>
          </w14:textFill>
        </w:rPr>
        <w:t>36.7 评标委员会应书面要求存在细微偏离的投标人在评标结束前予以补正。拒不补正的，在详细评审时可以对细微偏离按照不利于该投标人的原则进行调整，且投标人不得因此提出任何异议。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37.实地考察、演示或设备测试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37.1在招标过程中，评标委员会有权决定是否对本项目投标人进行现场勘察或实地考察或检验有关证明材料的原件。投标人应随时做好接受检查的准备。</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37.2若招标文件要求进行现场演示或设备测试的，投标人应做好相应准备。</w:t>
      </w:r>
    </w:p>
    <w:p>
      <w:pPr>
        <w:tabs>
          <w:tab w:val="clear" w:pos="426"/>
        </w:tabs>
        <w:rPr>
          <w:color w:val="000000" w:themeColor="text1"/>
          <w:highlight w:val="none"/>
          <w14:textFill>
            <w14:solidFill>
              <w14:schemeClr w14:val="tx1"/>
            </w14:solidFill>
          </w14:textFill>
        </w:rPr>
      </w:pPr>
      <w:bookmarkStart w:id="346" w:name="_Toc100052402"/>
      <w:r>
        <w:rPr>
          <w:rFonts w:hint="eastAsia"/>
          <w:color w:val="000000" w:themeColor="text1"/>
          <w:highlight w:val="none"/>
          <w14:textFill>
            <w14:solidFill>
              <w14:schemeClr w14:val="tx1"/>
            </w14:solidFill>
          </w14:textFill>
        </w:rPr>
        <w:t>38．评标方法</w:t>
      </w:r>
      <w:bookmarkEnd w:id="346"/>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38.1</w:t>
      </w:r>
      <w:r>
        <w:rPr>
          <w:rFonts w:hint="eastAsia"/>
          <w:color w:val="000000" w:themeColor="text1"/>
          <w:highlight w:val="none"/>
          <w14:textFill>
            <w14:solidFill>
              <w14:schemeClr w14:val="tx1"/>
            </w14:solidFill>
          </w14:textFill>
        </w:rPr>
        <w:t>根据《转发财政部关于加强政府采购货物和服务项目价格评审管理的通知》（深财购[2007]9号）和《关于印发&lt;深圳市政府采购评标委员会和评标方法暂行规定&gt;的通知》(深财购[2005]5号)《</w:t>
      </w:r>
      <w:r>
        <w:rPr>
          <w:color w:val="000000" w:themeColor="text1"/>
          <w:highlight w:val="none"/>
          <w14:textFill>
            <w14:solidFill>
              <w14:schemeClr w14:val="tx1"/>
            </w14:solidFill>
          </w14:textFill>
        </w:rPr>
        <w:t>深圳市政府采购评标定标分离管理暂行办法</w:t>
      </w:r>
      <w:r>
        <w:rPr>
          <w:rFonts w:hint="eastAsia"/>
          <w:color w:val="000000" w:themeColor="text1"/>
          <w:highlight w:val="none"/>
          <w14:textFill>
            <w14:solidFill>
              <w14:schemeClr w14:val="tx1"/>
            </w14:solidFill>
          </w14:textFill>
        </w:rPr>
        <w:t>》的有关要求，</w:t>
      </w:r>
      <w:r>
        <w:rPr>
          <w:rFonts w:hint="eastAsia"/>
          <w:color w:val="000000" w:themeColor="text1"/>
          <w:szCs w:val="21"/>
          <w:highlight w:val="none"/>
          <w14:textFill>
            <w14:solidFill>
              <w14:schemeClr w14:val="tx1"/>
            </w14:solidFill>
          </w14:textFill>
        </w:rPr>
        <w:t>项目评标方法根据是否是评定分离项目进行选择。</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38.2非评定分离项目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非评定分离项目评分方法为最低评标价法、综合评标法、性价比法及法律、法规允许的其它评标办法。</w:t>
      </w:r>
    </w:p>
    <w:p>
      <w:pPr>
        <w:tabs>
          <w:tab w:val="clear" w:pos="426"/>
        </w:tabs>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38.2.1</w:t>
      </w:r>
      <w:bookmarkStart w:id="347" w:name="评标方法2"/>
      <w:r>
        <w:rPr>
          <w:rFonts w:hint="eastAsia"/>
          <w:color w:val="000000" w:themeColor="text1"/>
          <w:highlight w:val="none"/>
          <w14:textFill>
            <w14:solidFill>
              <w14:schemeClr w14:val="tx1"/>
            </w14:solidFill>
          </w14:textFill>
        </w:rPr>
        <w:t>最低评标价法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最低价法是指以价格因素确定中标候选供应商的评标方法，即在满足招标文件实质性要求前提下，以报价最低的投标人作为中标候选供应商或中标人的评标方法；</w:t>
      </w:r>
    </w:p>
    <w:p>
      <w:pPr>
        <w:tabs>
          <w:tab w:val="clear" w:pos="426"/>
        </w:tabs>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38.2.2综合评分法</w:t>
      </w:r>
      <w:bookmarkEnd w:id="347"/>
    </w:p>
    <w:p>
      <w:pPr>
        <w:tabs>
          <w:tab w:val="clear" w:pos="426"/>
        </w:tabs>
        <w:rPr>
          <w:color w:val="000000" w:themeColor="text1"/>
          <w:highlight w:val="none"/>
          <w14:textFill>
            <w14:solidFill>
              <w14:schemeClr w14:val="tx1"/>
            </w14:solidFill>
          </w14:textFill>
        </w:rPr>
      </w:pPr>
      <w:bookmarkStart w:id="348" w:name="评标方法3"/>
      <w:r>
        <w:rPr>
          <w:rFonts w:hint="eastAsia"/>
          <w:color w:val="000000" w:themeColor="text1"/>
          <w:highlight w:val="none"/>
          <w14:textFill>
            <w14:solidFill>
              <w14:schemeClr w14:val="tx1"/>
            </w14:solidFill>
          </w14:textFill>
        </w:rPr>
        <w:t>是指投标文件满足招标文件全部实质性要求，且按照评审因素的量化指标评审得分最高的投标人为中标候选人的评标方法。</w:t>
      </w:r>
    </w:p>
    <w:p>
      <w:pPr>
        <w:tabs>
          <w:tab w:val="clear" w:pos="426"/>
        </w:tabs>
        <w:rPr>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38.2.3</w:t>
      </w:r>
      <w:r>
        <w:rPr>
          <w:rFonts w:hint="eastAsia"/>
          <w:bCs/>
          <w:color w:val="000000" w:themeColor="text1"/>
          <w:highlight w:val="none"/>
          <w14:textFill>
            <w14:solidFill>
              <w14:schemeClr w14:val="tx1"/>
            </w14:solidFill>
          </w14:textFill>
        </w:rPr>
        <w:t>性价比法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性价比法是指除价格因素外，经对投标文件进行评审，计算出评分因素的总分，除以投标报价，以商数最高的投标人作为中标候选供应商或中标人的评标方法。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38.3评定分离项目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评定分离项目，评审委员会应当按照综合评分法、定性评审法、最低价法或者法律、法规及规章规定的其他评审方法对投标文件进行评审。</w:t>
      </w:r>
    </w:p>
    <w:p>
      <w:pPr>
        <w:tabs>
          <w:tab w:val="clear" w:pos="426"/>
        </w:tabs>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38.3.1综合评分法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是指投标文件满足招标文件全部实质性要求，且按照评审因素的量化指标评审得分最高的投标人为中标候选人的评标方法。</w:t>
      </w:r>
    </w:p>
    <w:p>
      <w:pPr>
        <w:tabs>
          <w:tab w:val="clear" w:pos="426"/>
        </w:tabs>
        <w:rPr>
          <w:color w:val="000000" w:themeColor="text1"/>
          <w:sz w:val="18"/>
          <w:szCs w:val="18"/>
          <w:highlight w:val="none"/>
          <w:shd w:val="clear" w:color="auto" w:fill="FFFFFF"/>
          <w14:textFill>
            <w14:solidFill>
              <w14:schemeClr w14:val="tx1"/>
            </w14:solidFill>
          </w14:textFill>
        </w:rPr>
      </w:pPr>
      <w:r>
        <w:rPr>
          <w:rFonts w:hint="eastAsia"/>
          <w:color w:val="000000" w:themeColor="text1"/>
          <w:highlight w:val="none"/>
          <w14:textFill>
            <w14:solidFill>
              <w14:schemeClr w14:val="tx1"/>
            </w14:solidFill>
          </w14:textFill>
        </w:rPr>
        <w:t>38.3.2</w:t>
      </w:r>
      <w:r>
        <w:rPr>
          <w:rFonts w:hint="eastAsia"/>
          <w:bCs/>
          <w:color w:val="000000" w:themeColor="text1"/>
          <w:highlight w:val="none"/>
          <w14:textFill>
            <w14:solidFill>
              <w14:schemeClr w14:val="tx1"/>
            </w14:solidFill>
          </w14:textFill>
        </w:rPr>
        <w:t>定性评审法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人，均推荐为候选中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38.3.3最低价法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最低价法是指以价格为主要因素确定候选中标人的评审方法。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38.4本项目采用的评标方法</w:t>
      </w:r>
      <w:bookmarkEnd w:id="348"/>
      <w:r>
        <w:rPr>
          <w:rFonts w:hint="eastAsia"/>
          <w:color w:val="000000" w:themeColor="text1"/>
          <w:highlight w:val="none"/>
          <w14:textFill>
            <w14:solidFill>
              <w14:schemeClr w14:val="tx1"/>
            </w14:solidFill>
          </w14:textFill>
        </w:rPr>
        <w:t>见本项目招标文件专用条款的相关内容。</w:t>
      </w:r>
    </w:p>
    <w:p>
      <w:pPr>
        <w:pStyle w:val="5"/>
        <w:tabs>
          <w:tab w:val="clear" w:pos="426"/>
        </w:tabs>
        <w:rPr>
          <w:color w:val="000000" w:themeColor="text1"/>
          <w:highlight w:val="none"/>
          <w14:textFill>
            <w14:solidFill>
              <w14:schemeClr w14:val="tx1"/>
            </w14:solidFill>
          </w14:textFill>
        </w:rPr>
      </w:pPr>
      <w:bookmarkStart w:id="349" w:name="_Toc31626"/>
      <w:bookmarkStart w:id="350" w:name="_Toc398220535"/>
      <w:bookmarkStart w:id="351" w:name="_Toc432592827"/>
      <w:bookmarkStart w:id="352" w:name="_Toc3628670"/>
      <w:r>
        <w:rPr>
          <w:rFonts w:hint="eastAsia"/>
          <w:color w:val="000000" w:themeColor="text1"/>
          <w:highlight w:val="none"/>
          <w14:textFill>
            <w14:solidFill>
              <w14:schemeClr w14:val="tx1"/>
            </w14:solidFill>
          </w14:textFill>
        </w:rPr>
        <w:t>第七章 定标及公示</w:t>
      </w:r>
      <w:bookmarkEnd w:id="349"/>
      <w:bookmarkEnd w:id="350"/>
      <w:bookmarkEnd w:id="351"/>
      <w:bookmarkEnd w:id="352"/>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39．定标方法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1项目定标方法根据是否是评定分离项目进行选择。</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2非评定分离项目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评标委员会依据本项目招标文件所约定的评标方法进行评审和比较，向采购代理机构提交书面评标报告，并根据评标方法比较评价结果从优到劣进行排序，并推荐中标候选人或确定中标人；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人的中标资格，按顺序由排在后面的供应商递补，以此类推。对是否满足实质性要求或报价是否合理或是否低于成本，评委会意见不一致时，按少数服从多数原则作出决定。</w:t>
      </w:r>
    </w:p>
    <w:p>
      <w:pPr>
        <w:tabs>
          <w:tab w:val="clear" w:pos="426"/>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39.2.2采用综合评</w:t>
      </w:r>
      <w:r>
        <w:rPr>
          <w:rFonts w:hint="eastAsia"/>
          <w:color w:val="000000" w:themeColor="text1"/>
          <w:highlight w:val="none"/>
          <w14:textFill>
            <w14:solidFill>
              <w14:schemeClr w14:val="tx1"/>
            </w14:solidFill>
          </w14:textFill>
        </w:rPr>
        <w:t>分</w:t>
      </w:r>
      <w:r>
        <w:rPr>
          <w:color w:val="000000" w:themeColor="text1"/>
          <w:highlight w:val="none"/>
          <w14:textFill>
            <w14:solidFill>
              <w14:schemeClr w14:val="tx1"/>
            </w14:solidFill>
          </w14:textFill>
        </w:rPr>
        <w:t>法的，按评审后得分由高到低顺序排列。得分相同的，按投标报价由低到高顺序排列。得分且投标报价相同的，按技术指标优劣顺序排列。</w:t>
      </w:r>
      <w:r>
        <w:rPr>
          <w:rFonts w:hint="eastAsia"/>
          <w:b/>
          <w:color w:val="000000" w:themeColor="text1"/>
          <w:szCs w:val="21"/>
          <w:highlight w:val="none"/>
          <w14:textFill>
            <w14:solidFill>
              <w14:schemeClr w14:val="tx1"/>
            </w14:solidFill>
          </w14:textFill>
        </w:rPr>
        <w:t>得分且投标报价相同的且技术指标或服务方案优劣相同的，</w:t>
      </w:r>
      <w:r>
        <w:rPr>
          <w:rFonts w:cs="Times New Roman"/>
          <w:b/>
          <w:bCs/>
          <w:color w:val="000000" w:themeColor="text1"/>
          <w:kern w:val="2"/>
          <w:szCs w:val="21"/>
          <w:highlight w:val="none"/>
          <w14:textFill>
            <w14:solidFill>
              <w14:schemeClr w14:val="tx1"/>
            </w14:solidFill>
          </w14:textFill>
        </w:rPr>
        <w:t>采取随机抽取方式确定中标人推荐资格</w:t>
      </w:r>
      <w:r>
        <w:rPr>
          <w:rFonts w:hint="eastAsia" w:cs="Times New Roman"/>
          <w:b/>
          <w:bCs/>
          <w:color w:val="000000" w:themeColor="text1"/>
          <w:kern w:val="2"/>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t>采用</w:t>
      </w:r>
      <w:r>
        <w:rPr>
          <w:rFonts w:hint="eastAsia"/>
          <w:color w:val="000000" w:themeColor="text1"/>
          <w:highlight w:val="none"/>
          <w14:textFill>
            <w14:solidFill>
              <w14:schemeClr w14:val="tx1"/>
            </w14:solidFill>
          </w14:textFill>
        </w:rPr>
        <w:t>性价比</w:t>
      </w:r>
      <w:r>
        <w:rPr>
          <w:color w:val="000000" w:themeColor="text1"/>
          <w:highlight w:val="none"/>
          <w14:textFill>
            <w14:solidFill>
              <w14:schemeClr w14:val="tx1"/>
            </w14:solidFill>
          </w14:textFill>
        </w:rPr>
        <w:t>法的</w:t>
      </w:r>
      <w:r>
        <w:rPr>
          <w:rFonts w:hint="eastAsia"/>
          <w:color w:val="000000" w:themeColor="text1"/>
          <w:highlight w:val="none"/>
          <w14:textFill>
            <w14:solidFill>
              <w14:schemeClr w14:val="tx1"/>
            </w14:solidFill>
          </w14:textFill>
        </w:rPr>
        <w:t>，按商数得分由高到低顺序排列。商数得分相同的，按投标报价由低到高顺序排列。商数得分且投标报价相同的，按技术指标优劣顺序排列。</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3评定分离项目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适用评定分离的政府采购项目，采购人应当根据不同的项目选用自定法、抽签法、竞价法或者法律、法规及规章规定的其他定标方法确定中标人。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3.1自定法是指采购人组织定标委员会，由定标委员会在候选中标人中确定中标人。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3.2 抽签法是指候选中标人产生后，由采购人委托招标机构按照随机抽签的方式在候选中标人中确定中标人。 </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3.3竞价法是指候选中标人产生后，由采购人委托招标机构组织候选中标人进行二次竞价，最终报价最低的为中标人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39.4本项目采用的定标方法见本项目招标文件专用条款的相关内容。</w:t>
      </w:r>
    </w:p>
    <w:p>
      <w:pPr>
        <w:tabs>
          <w:tab w:val="clear" w:pos="426"/>
        </w:tabs>
        <w:rPr>
          <w:color w:val="000000" w:themeColor="text1"/>
          <w:highlight w:val="none"/>
          <w14:textFill>
            <w14:solidFill>
              <w14:schemeClr w14:val="tx1"/>
            </w14:solidFill>
          </w14:textFill>
        </w:rPr>
      </w:pPr>
      <w:bookmarkStart w:id="353" w:name="_Toc100052404"/>
      <w:r>
        <w:rPr>
          <w:rFonts w:hint="eastAsia"/>
          <w:color w:val="000000" w:themeColor="text1"/>
          <w:highlight w:val="none"/>
          <w14:textFill>
            <w14:solidFill>
              <w14:schemeClr w14:val="tx1"/>
            </w14:solidFill>
          </w14:textFill>
        </w:rPr>
        <w:t>40．编写评标报告</w:t>
      </w:r>
      <w:bookmarkEnd w:id="353"/>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rPr>
          <w:color w:val="000000" w:themeColor="text1"/>
          <w:highlight w:val="none"/>
          <w14:textFill>
            <w14:solidFill>
              <w14:schemeClr w14:val="tx1"/>
            </w14:solidFill>
          </w14:textFill>
        </w:rPr>
      </w:pPr>
      <w:bookmarkStart w:id="354" w:name="_Toc100052405"/>
      <w:bookmarkStart w:id="355" w:name="_Toc73518159"/>
      <w:bookmarkStart w:id="356" w:name="_Toc73521676"/>
      <w:bookmarkStart w:id="357" w:name="_Toc73517681"/>
      <w:bookmarkStart w:id="358" w:name="_Toc73521588"/>
      <w:r>
        <w:rPr>
          <w:rFonts w:hint="eastAsia"/>
          <w:color w:val="000000" w:themeColor="text1"/>
          <w:highlight w:val="none"/>
          <w14:textFill>
            <w14:solidFill>
              <w14:schemeClr w14:val="tx1"/>
            </w14:solidFill>
          </w14:textFill>
        </w:rPr>
        <w:t>41．中标公告</w:t>
      </w:r>
      <w:bookmarkEnd w:id="354"/>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41.1为体现“公开、公平、公正”的原则，评标结束后，采购代理机构将在“深圳政府采购网”（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"http://www.szfb.gov.cn:8080/" </w:instrText>
      </w:r>
      <w:r>
        <w:rPr>
          <w:color w:val="000000" w:themeColor="text1"/>
          <w:highlight w:val="none"/>
          <w14:textFill>
            <w14:solidFill>
              <w14:schemeClr w14:val="tx1"/>
            </w14:solidFill>
          </w14:textFill>
        </w:rPr>
        <w:fldChar w:fldCharType="separate"/>
      </w:r>
      <w:r>
        <w:rPr>
          <w:color w:val="000000" w:themeColor="text1"/>
          <w:highlight w:val="none"/>
          <w:u w:val="single"/>
          <w14:textFill>
            <w14:solidFill>
              <w14:schemeClr w14:val="tx1"/>
            </w14:solidFill>
          </w14:textFill>
        </w:rPr>
        <w:t>http://www.szzfcg.cn/</w:t>
      </w:r>
      <w:r>
        <w:rPr>
          <w:color w:val="000000" w:themeColor="text1"/>
          <w:highlight w:val="none"/>
          <w:u w:val="single"/>
          <w14:textFill>
            <w14:solidFill>
              <w14:schemeClr w14:val="tx1"/>
            </w14:solidFill>
          </w14:textFill>
        </w:rPr>
        <w:fldChar w:fldCharType="end"/>
      </w:r>
      <w:r>
        <w:rPr>
          <w:rFonts w:hint="eastAsia"/>
          <w:color w:val="000000" w:themeColor="text1"/>
          <w:highlight w:val="none"/>
          <w14:textFill>
            <w14:solidFill>
              <w14:schemeClr w14:val="tx1"/>
            </w14:solidFill>
          </w14:textFill>
        </w:rPr>
        <w:t>）及采购代理机构官网：（</w:t>
      </w:r>
      <w:r>
        <w:rPr>
          <w:color w:val="000000" w:themeColor="text1"/>
          <w:highlight w:val="none"/>
          <w14:textFill>
            <w14:solidFill>
              <w14:schemeClr w14:val="tx1"/>
            </w14:solidFill>
          </w14:textFill>
        </w:rPr>
        <w:t>http://www.szsszx.com/</w:t>
      </w:r>
      <w:r>
        <w:rPr>
          <w:rFonts w:hint="eastAsia"/>
          <w:color w:val="000000" w:themeColor="text1"/>
          <w:highlight w:val="none"/>
          <w14:textFill>
            <w14:solidFill>
              <w14:schemeClr w14:val="tx1"/>
            </w14:solidFill>
          </w14:textFill>
        </w:rPr>
        <w:t>）上发布中标结果公告，公示期为72小时。供应商如对评标结果有异议，请于公示期内，以书面的形式向我公司反映。若在公示期内未提出异议，则视为认同该评标结果。</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41.2质疑投诉人应保证质疑投诉内容的真实性和可靠性，并承担相应的法律责任。</w:t>
      </w:r>
    </w:p>
    <w:p>
      <w:pPr>
        <w:tabs>
          <w:tab w:val="clear" w:pos="426"/>
        </w:tabs>
        <w:rPr>
          <w:color w:val="000000" w:themeColor="text1"/>
          <w:highlight w:val="none"/>
          <w14:textFill>
            <w14:solidFill>
              <w14:schemeClr w14:val="tx1"/>
            </w14:solidFill>
          </w14:textFill>
        </w:rPr>
      </w:pPr>
      <w:bookmarkStart w:id="359" w:name="_Toc100052406"/>
      <w:r>
        <w:rPr>
          <w:rFonts w:hint="eastAsia"/>
          <w:color w:val="000000" w:themeColor="text1"/>
          <w:highlight w:val="none"/>
          <w14:textFill>
            <w14:solidFill>
              <w14:schemeClr w14:val="tx1"/>
            </w14:solidFill>
          </w14:textFill>
        </w:rPr>
        <w:t>42．中标通知书</w:t>
      </w:r>
      <w:bookmarkEnd w:id="359"/>
    </w:p>
    <w:bookmarkEnd w:id="355"/>
    <w:bookmarkEnd w:id="356"/>
    <w:bookmarkEnd w:id="357"/>
    <w:bookmarkEnd w:id="358"/>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1中标公告公布后,公示期内无人投诉,请中标人凭单位证明及本人身份证到采购代理机构领取《中标通知书》。</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中标通知书是合同的重要组成部分。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42.3因质疑投诉或其它原因导致项目结果变更或采购终止的，我公司有权收回中标通知书或终止采购合同。</w:t>
      </w:r>
    </w:p>
    <w:p>
      <w:pPr>
        <w:pStyle w:val="5"/>
        <w:tabs>
          <w:tab w:val="clear" w:pos="426"/>
        </w:tabs>
        <w:rPr>
          <w:color w:val="000000" w:themeColor="text1"/>
          <w:highlight w:val="none"/>
          <w14:textFill>
            <w14:solidFill>
              <w14:schemeClr w14:val="tx1"/>
            </w14:solidFill>
          </w14:textFill>
        </w:rPr>
      </w:pPr>
      <w:bookmarkStart w:id="360" w:name="bt合同的授予"/>
      <w:bookmarkEnd w:id="360"/>
      <w:bookmarkStart w:id="361" w:name="_Toc398220536"/>
      <w:bookmarkStart w:id="362" w:name="_Toc3628671"/>
      <w:bookmarkStart w:id="363" w:name="_Toc432592828"/>
      <w:bookmarkStart w:id="364" w:name="_Toc12431"/>
      <w:bookmarkStart w:id="365" w:name="_Toc100052407"/>
      <w:bookmarkStart w:id="366" w:name="_Toc73517678"/>
      <w:bookmarkStart w:id="367" w:name="_Toc101074884"/>
      <w:bookmarkStart w:id="368" w:name="_Toc73518156"/>
      <w:r>
        <w:rPr>
          <w:rFonts w:hint="eastAsia"/>
          <w:color w:val="000000" w:themeColor="text1"/>
          <w:highlight w:val="none"/>
          <w14:textFill>
            <w14:solidFill>
              <w14:schemeClr w14:val="tx1"/>
            </w14:solidFill>
          </w14:textFill>
        </w:rPr>
        <w:t>第八章 公开招标失败的后续处理</w:t>
      </w:r>
      <w:bookmarkEnd w:id="361"/>
      <w:bookmarkEnd w:id="362"/>
      <w:bookmarkEnd w:id="363"/>
      <w:bookmarkEnd w:id="364"/>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43．公开招标失败的处理</w:t>
      </w:r>
    </w:p>
    <w:p>
      <w:pPr>
        <w:tabs>
          <w:tab w:val="clear" w:pos="426"/>
        </w:tabs>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43.1本项目公开招标过程中若由于投标截止后</w:t>
      </w:r>
      <w:r>
        <w:rPr>
          <w:rFonts w:hint="eastAsia"/>
          <w:color w:val="000000" w:themeColor="text1"/>
          <w:highlight w:val="none"/>
          <w14:textFill>
            <w14:solidFill>
              <w14:schemeClr w14:val="tx1"/>
            </w14:solidFill>
          </w14:textFill>
        </w:rPr>
        <w:t>实际递交</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文件的供应商数量不足、经评标委员会评审对招标文件作实质响应的供应商不足等原因造成公开招标失败，可由采购代理机构重新组织采购。</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43.2对公开招标失败的项目，评标委员会在出具该项目招标失败结论的同时，提出重新采购组织形式的建议，以及进一步完善招标文件的资格、技术、商务要求的修改建议。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43.3重新组织采购有以下两种组织形式：</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（1）由采购代理机构重新组织公开招标；</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（2）根据实际情况需要向政府采购监督管理部门提出非公开招标方式申请，经政府采购监督管理部门批准公开招标失败采购项目可转为竞争性谈判或单一来源谈判方式采购。</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43.4公开招标失败的采购项目重新组织公开招标，采购代理机构要重新按公开招标流程发布采购公告和招标文件、组成评标委员会等组织采购活动。</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43.5公开招标失败的采购项目经政府采购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44．公开招标失败项目转为竞争性谈判方式采购的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44.1谈判文件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44.1.1公开招标失败项目转为竞争性谈判方式采购的，原招标文件转为谈判文件。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44.2谈判小组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44.2.1公开招标失败项目转为竞争性谈判方式采购后，评标委员会转为谈判小组；专家可重新抽取也可继续采用评标委员会内专家。</w:t>
      </w:r>
    </w:p>
    <w:p>
      <w:pPr>
        <w:tabs>
          <w:tab w:val="clear" w:pos="426"/>
        </w:tabs>
        <w:rPr>
          <w:b/>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44.2.2</w:t>
      </w:r>
      <w:r>
        <w:rPr>
          <w:rFonts w:hint="eastAsia"/>
          <w:color w:val="000000" w:themeColor="text1"/>
          <w:highlight w:val="none"/>
          <w14:textFill>
            <w14:solidFill>
              <w14:schemeClr w14:val="tx1"/>
            </w14:solidFill>
          </w14:textFill>
        </w:rPr>
        <w:t>谈判前，谈判小组将对各供应商的谈判应答文件进行审查，</w:t>
      </w:r>
      <w:r>
        <w:rPr>
          <w:rFonts w:hint="eastAsia"/>
          <w:bCs/>
          <w:color w:val="000000" w:themeColor="text1"/>
          <w:highlight w:val="none"/>
          <w14:textFill>
            <w14:solidFill>
              <w14:schemeClr w14:val="tx1"/>
            </w14:solidFill>
          </w14:textFill>
        </w:rPr>
        <w:t>当谈判应答文件出现下列情况之一的将视为无效，按无效标或废标处理，不得进入谈判，</w:t>
      </w:r>
      <w:r>
        <w:rPr>
          <w:rFonts w:hint="eastAsia"/>
          <w:b/>
          <w:color w:val="000000" w:themeColor="text1"/>
          <w:highlight w:val="none"/>
          <w14:textFill>
            <w14:solidFill>
              <w14:schemeClr w14:val="tx1"/>
            </w14:solidFill>
          </w14:textFill>
        </w:rPr>
        <w:t>具体内容见原招标文件中“资格、符合性评审</w:t>
      </w:r>
      <w:r>
        <w:rPr>
          <w:rFonts w:hint="eastAsia"/>
          <w:b/>
          <w:bCs/>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部分以及谈判邀请中相应的变动部分。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44.3谈判程序</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44.3.1参加谈判的供应商和谈判小组成员填写谈判登记表，并交验证明文件（法定代表人证明书、法人授权委托书、被授权的谈判代表身份证原件）。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谈判小组主持人宣布谈判规则和谈判纪律。</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在谈判中，谈判小组将就以下谈判内容跟供应商进行谈判：</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）项目方案；</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（2）报价；</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（3）其它相关事项。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原招标文件或谈判邀请文件有实质性变动的，谈判小组应当通过采购代理机构通知所有参加谈判的供应商。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44.3.4谈判小组可以用书面形式要求各供应商对其谈判应答文件含义不明确的内容作必要的澄清或者说明，重要问题供应商应以书面形式进行澄清、说明。</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 允许供应商在谈判结束之前根据谈判小组提出的内容进行澄清、修改或完善，或对项目方案进行相应的调整。</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6供应商对谈判应答文件进行修改，都应形成文字材料，并经供应商谈判授权人签字认可。</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44.3.8有下列情形之一的，该供应商的谈判结果</w:t>
      </w:r>
      <w:r>
        <w:rPr>
          <w:rFonts w:hint="eastAsia"/>
          <w:bCs/>
          <w:color w:val="000000" w:themeColor="text1"/>
          <w:highlight w:val="none"/>
          <w14:textFill>
            <w14:solidFill>
              <w14:schemeClr w14:val="tx1"/>
            </w14:solidFill>
          </w14:textFill>
        </w:rPr>
        <w:t>按无效标或废标处理</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具体内容见原招标文件中不符合“</w:t>
      </w:r>
      <w:r>
        <w:rPr>
          <w:rFonts w:hint="eastAsia"/>
          <w:b/>
          <w:color w:val="000000" w:themeColor="text1"/>
          <w:highlight w:val="none"/>
          <w14:textFill>
            <w14:solidFill>
              <w14:schemeClr w14:val="tx1"/>
            </w14:solidFill>
          </w14:textFill>
        </w:rPr>
        <w:t>资格、符合性评审条款</w:t>
      </w:r>
      <w:r>
        <w:rPr>
          <w:rFonts w:hint="eastAsia"/>
          <w:color w:val="000000" w:themeColor="text1"/>
          <w:highlight w:val="none"/>
          <w14:textFill>
            <w14:solidFill>
              <w14:schemeClr w14:val="tx1"/>
            </w14:solidFill>
          </w14:textFill>
        </w:rPr>
        <w:t>”部分以及谈判邀请中相应的变动部分。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9谈判结束后，谈判小组根据供应商提供的谈判应答文件、谈判过程中产生的相关资料，对供应商谈判应答文件进行评估与比较，提出书面评审意见。</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44.3.10谈判小组将对谈判过程进行记录，以存档备查。</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44.4评标方法和定标原则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44.4.1根据《深圳市政府采购评标委员会和评标方法暂行规定》（深财购[2005]5号），竞争性谈判采购项目的评标方法要比照</w:t>
      </w:r>
      <w:r>
        <w:rPr>
          <w:rFonts w:hint="eastAsia"/>
          <w:b/>
          <w:color w:val="000000" w:themeColor="text1"/>
          <w:highlight w:val="none"/>
          <w14:textFill>
            <w14:solidFill>
              <w14:schemeClr w14:val="tx1"/>
            </w14:solidFill>
          </w14:textFill>
        </w:rPr>
        <w:t>最低评标价法规定执行</w:t>
      </w:r>
      <w:r>
        <w:rPr>
          <w:rFonts w:hint="eastAsia"/>
          <w:color w:val="000000" w:themeColor="text1"/>
          <w:highlight w:val="none"/>
          <w14:textFill>
            <w14:solidFill>
              <w14:schemeClr w14:val="tx1"/>
            </w14:solidFill>
          </w14:textFill>
        </w:rPr>
        <w:t>。如确因实际情况需要采用其他评标方法的，应报经同级政府采购监督管理部门批准。</w:t>
      </w:r>
      <w:r>
        <w:rPr>
          <w:rFonts w:hint="eastAsia"/>
          <w:b/>
          <w:color w:val="000000" w:themeColor="text1"/>
          <w:highlight w:val="none"/>
          <w14:textFill>
            <w14:solidFill>
              <w14:schemeClr w14:val="tx1"/>
            </w14:solidFill>
          </w14:textFill>
        </w:rPr>
        <w:t>原招标文件若采用</w:t>
      </w:r>
      <w:r>
        <w:rPr>
          <w:rFonts w:hint="eastAsia"/>
          <w:b/>
          <w:bCs/>
          <w:color w:val="000000" w:themeColor="text1"/>
          <w:highlight w:val="none"/>
          <w14:textFill>
            <w14:solidFill>
              <w14:schemeClr w14:val="tx1"/>
            </w14:solidFill>
          </w14:textFill>
        </w:rPr>
        <w:t>最低评标价法以外的评标方法，转为竞争性谈判后，评标方法应采用</w:t>
      </w:r>
      <w:r>
        <w:rPr>
          <w:rFonts w:hint="eastAsia"/>
          <w:b/>
          <w:color w:val="000000" w:themeColor="text1"/>
          <w:highlight w:val="none"/>
          <w14:textFill>
            <w14:solidFill>
              <w14:schemeClr w14:val="tx1"/>
            </w14:solidFill>
          </w14:textFill>
        </w:rPr>
        <w:t>最低评标价法。</w:t>
      </w:r>
    </w:p>
    <w:p>
      <w:pPr>
        <w:tabs>
          <w:tab w:val="clear" w:pos="426"/>
        </w:tabs>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44.4.2对公开招标失败转为竞争性谈判方式采购的项目，谈判小组</w:t>
      </w:r>
      <w:r>
        <w:rPr>
          <w:rFonts w:hint="eastAsia"/>
          <w:color w:val="000000" w:themeColor="text1"/>
          <w:highlight w:val="none"/>
          <w14:textFill>
            <w14:solidFill>
              <w14:schemeClr w14:val="tx1"/>
            </w14:solidFill>
          </w14:textFill>
        </w:rPr>
        <w:t>对谈判应答文件进行评审和比较，综合各家供应商最终的方案、服务和投资等谈判结果并按本通用条款第</w:t>
      </w:r>
      <w:r>
        <w:rPr>
          <w:rFonts w:hint="eastAsia"/>
          <w:bCs/>
          <w:color w:val="000000" w:themeColor="text1"/>
          <w:szCs w:val="21"/>
          <w:highlight w:val="none"/>
          <w14:textFill>
            <w14:solidFill>
              <w14:schemeClr w14:val="tx1"/>
            </w14:solidFill>
          </w14:textFill>
        </w:rPr>
        <w:t>37.1.1款</w:t>
      </w:r>
      <w:r>
        <w:rPr>
          <w:rFonts w:hint="eastAsia"/>
          <w:color w:val="000000" w:themeColor="text1"/>
          <w:highlight w:val="none"/>
          <w14:textFill>
            <w14:solidFill>
              <w14:schemeClr w14:val="tx1"/>
            </w14:solidFill>
          </w14:textFill>
        </w:rPr>
        <w:t>的</w:t>
      </w:r>
      <w:r>
        <w:rPr>
          <w:rFonts w:hint="eastAsia"/>
          <w:b/>
          <w:bCs/>
          <w:color w:val="000000" w:themeColor="text1"/>
          <w:highlight w:val="none"/>
          <w14:textFill>
            <w14:solidFill>
              <w14:schemeClr w14:val="tx1"/>
            </w14:solidFill>
          </w14:textFill>
        </w:rPr>
        <w:t>最低评标价法</w:t>
      </w:r>
      <w:r>
        <w:rPr>
          <w:rFonts w:hint="eastAsia"/>
          <w:color w:val="000000" w:themeColor="text1"/>
          <w:highlight w:val="none"/>
          <w14:textFill>
            <w14:solidFill>
              <w14:schemeClr w14:val="tx1"/>
            </w14:solidFill>
          </w14:textFill>
        </w:rPr>
        <w:t>进行评审。</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44.4.3若要采用其他评标方法的，必须报经政府采购监督管理部门批准，谈判小组按批准的评标方法进行评审。谈判邀请文件中应注明批准的评标方法。</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44.4.4谈判小组向采购代理机构提交书面评标报告，并推荐中标候选人或确定中标人。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45．公开招标失败项目转为单一来源谈判方式采购</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45.1谈判文件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45.1.1公开招标失败项目转为单一来源谈判方式采购的，原招标文件转为谈判文件。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45.2谈判小组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45.2.1公开招标失败项目转为单一来源谈判方式采购后，评标委员会转为谈判小组，专家可重新抽取也可继续采用评标委员会内专家。</w:t>
      </w:r>
    </w:p>
    <w:p>
      <w:pPr>
        <w:tabs>
          <w:tab w:val="clear" w:pos="426"/>
        </w:tabs>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45.2.2</w:t>
      </w:r>
      <w:r>
        <w:rPr>
          <w:rFonts w:hint="eastAsia"/>
          <w:color w:val="000000" w:themeColor="text1"/>
          <w:highlight w:val="none"/>
          <w14:textFill>
            <w14:solidFill>
              <w14:schemeClr w14:val="tx1"/>
            </w14:solidFill>
          </w14:textFill>
        </w:rPr>
        <w:t>谈判前，谈判小组将对单一来源供应商的谈判应答文件进行审查，</w:t>
      </w:r>
      <w:r>
        <w:rPr>
          <w:rFonts w:hint="eastAsia"/>
          <w:bCs/>
          <w:color w:val="000000" w:themeColor="text1"/>
          <w:highlight w:val="none"/>
          <w14:textFill>
            <w14:solidFill>
              <w14:schemeClr w14:val="tx1"/>
            </w14:solidFill>
          </w14:textFill>
        </w:rPr>
        <w:t>当谈判应答文件出现下列情况之一的将视为无效，按无效标或废标处理，不得进入谈判，</w:t>
      </w:r>
      <w:r>
        <w:rPr>
          <w:rFonts w:hint="eastAsia"/>
          <w:b/>
          <w:color w:val="000000" w:themeColor="text1"/>
          <w:highlight w:val="none"/>
          <w14:textFill>
            <w14:solidFill>
              <w14:schemeClr w14:val="tx1"/>
            </w14:solidFill>
          </w14:textFill>
        </w:rPr>
        <w:t>具体内容见原招标文件中“资格、符合性评审条款</w:t>
      </w:r>
      <w:r>
        <w:rPr>
          <w:rFonts w:hint="eastAsia"/>
          <w:b/>
          <w:bCs/>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部分以及谈判邀请中相应的变动部分。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45.3谈判程序</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45.3.1参加谈判的供应商和谈判小组成员填写谈判登记表，并交验证明文件（法定代表人证明书、法人授权委托书、被授权的谈判代表身份证原件）。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谈判小组主持人宣布谈判规则和谈判纪律。</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在谈判中，谈判小组将就以下谈判内容跟供应商进行谈判：</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）项目方案；</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（2）报价；</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（3）其它相关事项。</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原招标文件或谈判邀请文件有实质性变动的，谈判小组应当通过采购代理机构通知供应商。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45.3.4谈判小组可以用书面形式要求供应商对其谈判应答文件含义不明确的内容作必要的澄清或者说明，重要问题供应商应以书面形式进行澄清、说明。</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 允许供应商在谈判结束之前根据谈判小组提出的内容进行澄清、修改或完善，或对项目方案进行相应的调整。</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6供应商对谈判应答文件进行修改，都应形成文字材料，并经供应商谈判授权人签字认可。</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45.3.7谈判小组与单一来源供应商进行谈判。供应商有两次更改机会；供应商应在规定的时间内提出最后更改及书面承诺。</w:t>
      </w:r>
    </w:p>
    <w:p>
      <w:pPr>
        <w:tabs>
          <w:tab w:val="clear" w:pos="426"/>
        </w:tabs>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45.3.8有下列情形之一的，供应商的谈判结果作废标处理，</w:t>
      </w:r>
      <w:r>
        <w:rPr>
          <w:rFonts w:hint="eastAsia"/>
          <w:color w:val="000000" w:themeColor="text1"/>
          <w:highlight w:val="none"/>
          <w14:textFill>
            <w14:solidFill>
              <w14:schemeClr w14:val="tx1"/>
            </w14:solidFill>
          </w14:textFill>
        </w:rPr>
        <w:t>具体内容见原招标文件中不符合“</w:t>
      </w:r>
      <w:r>
        <w:rPr>
          <w:rFonts w:hint="eastAsia"/>
          <w:b/>
          <w:color w:val="000000" w:themeColor="text1"/>
          <w:highlight w:val="none"/>
          <w14:textFill>
            <w14:solidFill>
              <w14:schemeClr w14:val="tx1"/>
            </w14:solidFill>
          </w14:textFill>
        </w:rPr>
        <w:t>资格、符合性评审条款</w:t>
      </w:r>
      <w:r>
        <w:rPr>
          <w:rFonts w:hint="eastAsia"/>
          <w:color w:val="000000" w:themeColor="text1"/>
          <w:highlight w:val="none"/>
          <w14:textFill>
            <w14:solidFill>
              <w14:schemeClr w14:val="tx1"/>
            </w14:solidFill>
          </w14:textFill>
        </w:rPr>
        <w:t>”部分以及谈判邀请中相应的变动部分。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9谈判结束后，谈判小组根据供应商提供的谈判应答文件、谈判过程中产生的相关资料，对供应商谈判应答文件进行评估与比较，提出书面评审意见。</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45.3.10谈判小组将对谈判过程进行记录，以存档备查。</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45.4评标方法和定标原则</w:t>
      </w:r>
    </w:p>
    <w:p>
      <w:pPr>
        <w:tabs>
          <w:tab w:val="clear" w:pos="426"/>
        </w:tabs>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45.4.1</w:t>
      </w:r>
      <w:r>
        <w:rPr>
          <w:rFonts w:hint="eastAsia"/>
          <w:b/>
          <w:color w:val="000000" w:themeColor="text1"/>
          <w:szCs w:val="21"/>
          <w:highlight w:val="none"/>
          <w14:textFill>
            <w14:solidFill>
              <w14:schemeClr w14:val="tx1"/>
            </w14:solidFill>
          </w14:textFill>
        </w:rPr>
        <w:t>单一来源谈判采用最低评标价法。</w:t>
      </w:r>
      <w:r>
        <w:rPr>
          <w:rFonts w:hint="eastAsia"/>
          <w:color w:val="000000" w:themeColor="text1"/>
          <w:highlight w:val="none"/>
          <w14:textFill>
            <w14:solidFill>
              <w14:schemeClr w14:val="tx1"/>
            </w14:solidFill>
          </w14:textFill>
        </w:rPr>
        <w:t>原招标文件若采用</w:t>
      </w:r>
      <w:r>
        <w:rPr>
          <w:rFonts w:hint="eastAsia"/>
          <w:bCs/>
          <w:color w:val="000000" w:themeColor="text1"/>
          <w:highlight w:val="none"/>
          <w14:textFill>
            <w14:solidFill>
              <w14:schemeClr w14:val="tx1"/>
            </w14:solidFill>
          </w14:textFill>
        </w:rPr>
        <w:t>最低评标价法以外的评标方法，转为单一来源谈判后，评标方法改为</w:t>
      </w:r>
      <w:r>
        <w:rPr>
          <w:rFonts w:hint="eastAsia"/>
          <w:color w:val="000000" w:themeColor="text1"/>
          <w:szCs w:val="21"/>
          <w:highlight w:val="none"/>
          <w14:textFill>
            <w14:solidFill>
              <w14:schemeClr w14:val="tx1"/>
            </w14:solidFill>
          </w14:textFill>
        </w:rPr>
        <w:t>最低评标价法。谈判小组</w:t>
      </w:r>
      <w:r>
        <w:rPr>
          <w:rFonts w:hint="eastAsia"/>
          <w:color w:val="000000" w:themeColor="text1"/>
          <w:highlight w:val="none"/>
          <w14:textFill>
            <w14:solidFill>
              <w14:schemeClr w14:val="tx1"/>
            </w14:solidFill>
          </w14:textFill>
        </w:rPr>
        <w:t>对谈判应答文件进行评审和比较，对供应商最终的方案、服务和投资等谈判结果按本通用条款第37.1.1的</w:t>
      </w:r>
      <w:r>
        <w:rPr>
          <w:rFonts w:hint="eastAsia"/>
          <w:b/>
          <w:bCs/>
          <w:color w:val="000000" w:themeColor="text1"/>
          <w:highlight w:val="none"/>
          <w14:textFill>
            <w14:solidFill>
              <w14:schemeClr w14:val="tx1"/>
            </w14:solidFill>
          </w14:textFill>
        </w:rPr>
        <w:t>最低评标价法</w:t>
      </w:r>
      <w:r>
        <w:rPr>
          <w:rFonts w:hint="eastAsia"/>
          <w:color w:val="000000" w:themeColor="text1"/>
          <w:highlight w:val="none"/>
          <w14:textFill>
            <w14:solidFill>
              <w14:schemeClr w14:val="tx1"/>
            </w14:solidFill>
          </w14:textFill>
        </w:rPr>
        <w:t>进行评审。</w:t>
      </w:r>
    </w:p>
    <w:p>
      <w:pPr>
        <w:tabs>
          <w:tab w:val="clear" w:pos="426"/>
        </w:tabs>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45.4.2谈判小组向采购代理机构提交书面评标报告，并推荐中标候选人或确定中标人。</w:t>
      </w:r>
    </w:p>
    <w:bookmarkEnd w:id="365"/>
    <w:bookmarkEnd w:id="366"/>
    <w:bookmarkEnd w:id="367"/>
    <w:bookmarkEnd w:id="368"/>
    <w:p>
      <w:pPr>
        <w:pStyle w:val="5"/>
        <w:tabs>
          <w:tab w:val="clear" w:pos="426"/>
        </w:tabs>
        <w:rPr>
          <w:color w:val="000000" w:themeColor="text1"/>
          <w:sz w:val="28"/>
          <w:szCs w:val="28"/>
          <w:highlight w:val="none"/>
          <w14:textFill>
            <w14:solidFill>
              <w14:schemeClr w14:val="tx1"/>
            </w14:solidFill>
          </w14:textFill>
        </w:rPr>
      </w:pPr>
      <w:bookmarkStart w:id="369" w:name="_Toc3628672"/>
      <w:bookmarkStart w:id="370" w:name="_Toc398220537"/>
      <w:bookmarkStart w:id="371" w:name="_Toc432592829"/>
      <w:bookmarkStart w:id="372" w:name="_Toc10032"/>
      <w:r>
        <w:rPr>
          <w:rFonts w:hint="eastAsia"/>
          <w:color w:val="000000" w:themeColor="text1"/>
          <w:highlight w:val="none"/>
          <w14:textFill>
            <w14:solidFill>
              <w14:schemeClr w14:val="tx1"/>
            </w14:solidFill>
          </w14:textFill>
        </w:rPr>
        <w:t>第九章 合同的授予与备案</w:t>
      </w:r>
      <w:bookmarkEnd w:id="369"/>
      <w:bookmarkEnd w:id="370"/>
      <w:bookmarkEnd w:id="371"/>
      <w:bookmarkEnd w:id="372"/>
    </w:p>
    <w:p>
      <w:pPr>
        <w:tabs>
          <w:tab w:val="clear" w:pos="426"/>
        </w:tabs>
        <w:rPr>
          <w:color w:val="000000" w:themeColor="text1"/>
          <w:highlight w:val="none"/>
          <w14:textFill>
            <w14:solidFill>
              <w14:schemeClr w14:val="tx1"/>
            </w14:solidFill>
          </w14:textFill>
        </w:rPr>
      </w:pPr>
      <w:bookmarkStart w:id="373" w:name="_33._合同授予标准"/>
      <w:bookmarkEnd w:id="373"/>
      <w:bookmarkStart w:id="374" w:name="_Toc201401407"/>
      <w:bookmarkStart w:id="375" w:name="_Toc201401599"/>
      <w:bookmarkStart w:id="376" w:name="_Toc201997860"/>
      <w:r>
        <w:rPr>
          <w:rFonts w:hint="eastAsia"/>
          <w:color w:val="000000" w:themeColor="text1"/>
          <w:highlight w:val="none"/>
          <w14:textFill>
            <w14:solidFill>
              <w14:schemeClr w14:val="tx1"/>
            </w14:solidFill>
          </w14:textFill>
        </w:rPr>
        <w:t xml:space="preserve">46．  </w:t>
      </w:r>
      <w:bookmarkEnd w:id="374"/>
      <w:bookmarkEnd w:id="375"/>
      <w:r>
        <w:rPr>
          <w:rFonts w:hint="eastAsia"/>
          <w:color w:val="000000" w:themeColor="text1"/>
          <w:highlight w:val="none"/>
          <w14:textFill>
            <w14:solidFill>
              <w14:schemeClr w14:val="tx1"/>
            </w14:solidFill>
          </w14:textFill>
        </w:rPr>
        <w:t>履约担保</w:t>
      </w:r>
      <w:bookmarkEnd w:id="376"/>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46.1  本项目履约担保的相关要求：详见“投标须知前附表”。</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46.2  在签订合同前，中标人应按规定向采购人提交履约担保，采用履约保函形式的可参照使用本招标文件提供的格式。</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46.3  联合体中标的，其履约担保由联合体牵头人提交，并应符合本节第42.1条、第45.2条的规定。</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46.4  如果中标人拒不提交本节第42.1条、第42.2条要求的履约担保的，采购人可取消其中标资格，并没收其投标担保。</w:t>
      </w:r>
    </w:p>
    <w:p>
      <w:pPr>
        <w:tabs>
          <w:tab w:val="clear" w:pos="426"/>
        </w:tabs>
        <w:rPr>
          <w:color w:val="000000" w:themeColor="text1"/>
          <w:highlight w:val="none"/>
          <w14:textFill>
            <w14:solidFill>
              <w14:schemeClr w14:val="tx1"/>
            </w14:solidFill>
          </w14:textFill>
        </w:rPr>
      </w:pPr>
      <w:bookmarkStart w:id="377" w:name="_Toc201401600"/>
      <w:bookmarkStart w:id="378" w:name="_Toc201997862"/>
      <w:bookmarkStart w:id="379" w:name="_Toc201401408"/>
      <w:r>
        <w:rPr>
          <w:rFonts w:hint="eastAsia"/>
          <w:color w:val="000000" w:themeColor="text1"/>
          <w:highlight w:val="none"/>
          <w14:textFill>
            <w14:solidFill>
              <w14:schemeClr w14:val="tx1"/>
            </w14:solidFill>
          </w14:textFill>
        </w:rPr>
        <w:t>47．  签订合同</w:t>
      </w:r>
      <w:bookmarkEnd w:id="377"/>
      <w:bookmarkEnd w:id="378"/>
      <w:bookmarkEnd w:id="379"/>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47.1  采购人和中标人应当按“投标须知前附表”的规定，依据招标文件和中标人的投标文件订立书面合同。</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47.2  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pStyle w:val="5"/>
        <w:tabs>
          <w:tab w:val="clear" w:pos="426"/>
        </w:tabs>
        <w:rPr>
          <w:color w:val="000000" w:themeColor="text1"/>
          <w:highlight w:val="none"/>
          <w14:textFill>
            <w14:solidFill>
              <w14:schemeClr w14:val="tx1"/>
            </w14:solidFill>
          </w14:textFill>
        </w:rPr>
      </w:pPr>
      <w:bookmarkStart w:id="380" w:name="_Toc24304"/>
      <w:bookmarkStart w:id="381" w:name="_Toc432592830"/>
      <w:bookmarkStart w:id="382" w:name="_Toc3628673"/>
      <w:bookmarkStart w:id="383" w:name="_Toc398220538"/>
      <w:r>
        <w:rPr>
          <w:rFonts w:hint="eastAsia"/>
          <w:color w:val="000000" w:themeColor="text1"/>
          <w:highlight w:val="none"/>
          <w14:textFill>
            <w14:solidFill>
              <w14:schemeClr w14:val="tx1"/>
            </w14:solidFill>
          </w14:textFill>
        </w:rPr>
        <w:t>第十章 质疑受理</w:t>
      </w:r>
      <w:bookmarkEnd w:id="380"/>
      <w:bookmarkEnd w:id="381"/>
      <w:bookmarkEnd w:id="382"/>
      <w:bookmarkEnd w:id="383"/>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48.质疑受理机构</w:t>
      </w:r>
    </w:p>
    <w:p>
      <w:pPr>
        <w:tabs>
          <w:tab w:val="clear" w:pos="426"/>
        </w:tabs>
        <w:rPr>
          <w:color w:val="000000" w:themeColor="text1"/>
          <w:sz w:val="22"/>
          <w:szCs w:val="22"/>
          <w:highlight w:val="none"/>
          <w14:textFill>
            <w14:solidFill>
              <w14:schemeClr w14:val="tx1"/>
            </w14:solidFill>
          </w14:textFill>
        </w:rPr>
      </w:pPr>
      <w:r>
        <w:rPr>
          <w:rFonts w:hint="eastAsia"/>
          <w:color w:val="000000" w:themeColor="text1"/>
          <w:highlight w:val="none"/>
          <w14:textFill>
            <w14:solidFill>
              <w14:schemeClr w14:val="tx1"/>
            </w14:solidFill>
          </w14:textFill>
        </w:rPr>
        <w:t>采购代理机构及采购人</w:t>
      </w:r>
      <w:r>
        <w:rPr>
          <w:color w:val="000000" w:themeColor="text1"/>
          <w:highlight w:val="none"/>
          <w14:textFill>
            <w14:solidFill>
              <w14:schemeClr w14:val="tx1"/>
            </w14:solidFill>
          </w14:textFill>
        </w:rPr>
        <w:t>负责受理和答复质疑</w:t>
      </w:r>
      <w:r>
        <w:rPr>
          <w:color w:val="000000" w:themeColor="text1"/>
          <w:sz w:val="22"/>
          <w:szCs w:val="22"/>
          <w:highlight w:val="none"/>
          <w14:textFill>
            <w14:solidFill>
              <w14:schemeClr w14:val="tx1"/>
            </w14:solidFill>
          </w14:textFill>
        </w:rPr>
        <w:t>。</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49.质疑处理原则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49.1</w:t>
      </w:r>
      <w:r>
        <w:rPr>
          <w:color w:val="000000" w:themeColor="text1"/>
          <w:highlight w:val="none"/>
          <w14:textFill>
            <w14:solidFill>
              <w14:schemeClr w14:val="tx1"/>
            </w14:solidFill>
          </w14:textFill>
        </w:rPr>
        <w:t>质疑处理遵循公平、公正、规范、高效的原则。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49.2</w:t>
      </w:r>
      <w:r>
        <w:rPr>
          <w:color w:val="000000" w:themeColor="text1"/>
          <w:highlight w:val="none"/>
          <w14:textFill>
            <w14:solidFill>
              <w14:schemeClr w14:val="tx1"/>
            </w14:solidFill>
          </w14:textFill>
        </w:rPr>
        <w:t>供应商质疑实行实名制和“谁质疑，谁举证”的原则，质疑应有具体的事项及事实根据。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50.质疑受理的时效和范围</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50.1供应商认为采购文件、采购过程和中标、成交结果使自己权益受到损害的，可以在知道或者应知其权益受到损害之日起七个工作日内，以书面形式向采购代理机构提出质疑。</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50.2供应商对采购文件有疑问的，采购代理机构及采购人按答疑程序处理；供应商对采购文件有异议的，按质疑程序处理。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51.质疑条件</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51.1提出质疑的应是直接参与相应采购项目的供应商。以联合体形式参与的，由联合体共同提出；</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51.2提供质疑的项目名称和编号、质疑供应商的单位名称、详细地址、邮政编码、联系人及联系电话等基本情况；</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51.3有质疑的具体事项、请求及理由，并附相关证据材料；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51.4质疑书加盖公章，被授权人进行质疑的同时提交法人授权委托书；</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51.5质疑材料中有外文资料的，应一并附上中文译本，并以中文译本为准。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51.6质疑不得超过质疑受理的时效和范围。</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不符合上述条件的，我采购代理机构不予受理。</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52.受理质疑办理程序</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52.1先与质疑供应商进行沟通，以消除因误解或对采购规则和程序的不了解而引起的质疑。对沟通情况满意的，供应商撤回质疑，质疑处理程序终止。</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52.2处理质疑一般进行书面审查；必要时听取各方当事人的陈述和申辩、进行相关调查；组织原评标委员会或谈判小组进行复议。</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52.3在质疑处理期间，采购代理机构视情形决定暂停采购活动。</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52.4采购代理机构原则上在质疑受理之日起十个工作日内书面答复质疑供应商。答复函以直接领取、传真或邮寄方式送达。</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52.5供应商向采购代理机构提出质疑后，在质疑处理期限内，不得同时向其他方面提起同一质疑。质疑供应商如已就同一事项提起投诉、提请行政复议或诉讼的，质疑程序终止。</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53.相关责任与义务</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53.1采购单位、评标专家和相关供应商等当事人应积极配合采购代理机构进行质疑调查，如实反映情况，及时提供证明材料。</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53.2质疑供应商有下列情形之一的，属于虚假、恶意质疑，采购代理机构将有权力将质疑供应商虚假、恶意质疑的行为上报政府采购监督管理部门，并视情节提请政府采购监督管理部门给予一定年限内禁止参与政府采购活动资格或其他处罚：</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53.2.1捏造事实或提供虚假证明材料的；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53.2.2假冒他人名义进行质疑的；</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53.2.3拒不配合进行有关调查、情节严重的。</w:t>
      </w:r>
    </w:p>
    <w:p>
      <w:pPr>
        <w:tabs>
          <w:tab w:val="clear" w:pos="426"/>
        </w:tabs>
        <w:rPr>
          <w:b/>
          <w:color w:val="000000" w:themeColor="text1"/>
          <w:highlight w:val="none"/>
          <w14:textFill>
            <w14:solidFill>
              <w14:schemeClr w14:val="tx1"/>
            </w14:solidFill>
          </w14:textFill>
        </w:rPr>
      </w:pPr>
      <w:bookmarkStart w:id="384" w:name="_Toc201401601"/>
      <w:bookmarkStart w:id="385" w:name="_Toc201401409"/>
      <w:bookmarkStart w:id="386" w:name="_Toc201997863"/>
      <w:r>
        <w:rPr>
          <w:rFonts w:hint="eastAsia"/>
          <w:color w:val="000000" w:themeColor="text1"/>
          <w:highlight w:val="none"/>
          <w14:textFill>
            <w14:solidFill>
              <w14:schemeClr w14:val="tx1"/>
            </w14:solidFill>
          </w14:textFill>
        </w:rPr>
        <w:t xml:space="preserve">54．  </w:t>
      </w:r>
      <w:r>
        <w:rPr>
          <w:rFonts w:hint="eastAsia"/>
          <w:b/>
          <w:color w:val="000000" w:themeColor="text1"/>
          <w:highlight w:val="none"/>
          <w14:textFill>
            <w14:solidFill>
              <w14:schemeClr w14:val="tx1"/>
            </w14:solidFill>
          </w14:textFill>
        </w:rPr>
        <w:t>其他</w:t>
      </w:r>
      <w:bookmarkEnd w:id="384"/>
      <w:bookmarkEnd w:id="385"/>
      <w:bookmarkEnd w:id="386"/>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54.1  本招标文件的解释权归采购代理机构所有，采购代理机构在征得采购人或相关主管部门同意后，有权在法律允许范围内调整本次招标活动的细节及保留最终解释权。</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54.2 采购代理机构向投标人提供的资料和数据，是采购代理机构现有的能供投标人利用的资料，采购代理机构对投标人由此而作出的推论、理解和结论概不负责。</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54.3 如果投标人实质上不符合投标资格，即使已购买招标文件、参加投标并缴纳各种费用，采购代理机构或采购人可以随时取消其投标或中标资格，采购代理机构或采购人对该投标人的一切损失概不责任。</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54.4 中标无效的，发出的中标通知书和签订的合同自始没有法律约束力，但不影响合同中存在的有关解决争议方法的条款的效力。</w:t>
      </w:r>
    </w:p>
    <w:p>
      <w:pPr>
        <w:tabs>
          <w:tab w:val="clear" w:pos="426"/>
        </w:tabs>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54.5 本招标文件所有的附件与本招标文件具有同等效力。</w:t>
      </w:r>
    </w:p>
    <w:p>
      <w:pPr>
        <w:tabs>
          <w:tab w:val="clear" w:pos="426"/>
        </w:tabs>
        <w:rPr>
          <w:color w:val="000000" w:themeColor="text1"/>
          <w:highlight w:val="none"/>
          <w14:textFill>
            <w14:solidFill>
              <w14:schemeClr w14:val="tx1"/>
            </w14:solidFill>
          </w14:textFill>
        </w:rPr>
      </w:pPr>
    </w:p>
    <w:p>
      <w:pPr>
        <w:pStyle w:val="42"/>
        <w:tabs>
          <w:tab w:val="clear" w:pos="426"/>
        </w:tabs>
        <w:rPr>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387" w:name="_Toc3771"/>
      <w:bookmarkStart w:id="388" w:name="_Toc3628674"/>
      <w:r>
        <w:rPr>
          <w:rFonts w:hint="eastAsia"/>
          <w:color w:val="000000" w:themeColor="text1"/>
          <w:highlight w:val="none"/>
          <w14:textFill>
            <w14:solidFill>
              <w14:schemeClr w14:val="tx1"/>
            </w14:solidFill>
          </w14:textFill>
        </w:rPr>
        <w:t>招标代理服务取费说明</w:t>
      </w:r>
      <w:bookmarkEnd w:id="387"/>
      <w:bookmarkEnd w:id="388"/>
    </w:p>
    <w:p>
      <w:pPr>
        <w:tabs>
          <w:tab w:val="clear" w:pos="426"/>
        </w:tabs>
        <w:spacing w:line="300" w:lineRule="auto"/>
        <w:ind w:firstLine="440" w:firstLineChars="200"/>
        <w:rPr>
          <w:color w:val="000000" w:themeColor="text1"/>
          <w:sz w:val="22"/>
          <w:highlight w:val="none"/>
          <w14:textFill>
            <w14:solidFill>
              <w14:schemeClr w14:val="tx1"/>
            </w14:solidFill>
          </w14:textFill>
        </w:rPr>
      </w:pPr>
    </w:p>
    <w:p>
      <w:pPr>
        <w:tabs>
          <w:tab w:val="clear" w:pos="426"/>
        </w:tabs>
        <w:spacing w:line="300" w:lineRule="auto"/>
        <w:ind w:firstLine="440" w:firstLineChars="200"/>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根据《深圳市财政委员会关于规范深圳市社会采购代理机构管理有关事项的补充通知》（深财购〔</w:t>
      </w:r>
      <w:r>
        <w:rPr>
          <w:color w:val="000000" w:themeColor="text1"/>
          <w:sz w:val="22"/>
          <w:highlight w:val="none"/>
          <w14:textFill>
            <w14:solidFill>
              <w14:schemeClr w14:val="tx1"/>
            </w14:solidFill>
          </w14:textFill>
        </w:rPr>
        <w:t>2018〕27号）</w:t>
      </w:r>
      <w:r>
        <w:rPr>
          <w:rFonts w:hint="eastAsia"/>
          <w:color w:val="000000" w:themeColor="text1"/>
          <w:sz w:val="22"/>
          <w:highlight w:val="none"/>
          <w14:textFill>
            <w14:solidFill>
              <w14:schemeClr w14:val="tx1"/>
            </w14:solidFill>
          </w14:textFill>
        </w:rPr>
        <w:t xml:space="preserve">的规定，招标代理服务收费将以招标文件规定的计算基数，按差额定率累进法计算，并向中标人收取，收费标准如下表所列： </w:t>
      </w:r>
    </w:p>
    <w:p>
      <w:pPr>
        <w:tabs>
          <w:tab w:val="clear" w:pos="426"/>
        </w:tabs>
        <w:spacing w:line="300" w:lineRule="auto"/>
        <w:ind w:firstLine="440" w:firstLineChars="200"/>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招标代理服务收费标准</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240" w:lineRule="auto"/>
              <w:jc w:val="right"/>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项目类型</w:t>
            </w:r>
          </w:p>
          <w:p>
            <w:pPr>
              <w:tabs>
                <w:tab w:val="clear" w:pos="426"/>
              </w:tabs>
              <w:spacing w:line="240" w:lineRule="auto"/>
              <w:jc w:val="center"/>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费率</w:t>
            </w:r>
          </w:p>
          <w:p>
            <w:pPr>
              <w:tabs>
                <w:tab w:val="clear" w:pos="426"/>
              </w:tabs>
              <w:spacing w:line="240" w:lineRule="auto"/>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中标金额</w:t>
            </w:r>
          </w:p>
        </w:tc>
        <w:tc>
          <w:tcPr>
            <w:tcW w:w="1845" w:type="dxa"/>
            <w:vAlign w:val="center"/>
          </w:tcPr>
          <w:p>
            <w:pPr>
              <w:tabs>
                <w:tab w:val="clear" w:pos="426"/>
              </w:tabs>
              <w:spacing w:line="240" w:lineRule="auto"/>
              <w:jc w:val="center"/>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货物采购</w:t>
            </w:r>
          </w:p>
        </w:tc>
        <w:tc>
          <w:tcPr>
            <w:tcW w:w="1845" w:type="dxa"/>
            <w:vAlign w:val="center"/>
          </w:tcPr>
          <w:p>
            <w:pPr>
              <w:tabs>
                <w:tab w:val="clear" w:pos="426"/>
              </w:tabs>
              <w:spacing w:line="240" w:lineRule="auto"/>
              <w:jc w:val="center"/>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服务采购</w:t>
            </w:r>
          </w:p>
        </w:tc>
        <w:tc>
          <w:tcPr>
            <w:tcW w:w="1846" w:type="dxa"/>
            <w:vAlign w:val="center"/>
          </w:tcPr>
          <w:p>
            <w:pPr>
              <w:tabs>
                <w:tab w:val="clear" w:pos="426"/>
              </w:tabs>
              <w:spacing w:line="240" w:lineRule="auto"/>
              <w:jc w:val="center"/>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100万元以下</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1.500%</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1.500%</w:t>
            </w:r>
          </w:p>
        </w:tc>
        <w:tc>
          <w:tcPr>
            <w:tcW w:w="1846"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100万元（含）-500万元</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1.100%</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0.800%</w:t>
            </w:r>
          </w:p>
        </w:tc>
        <w:tc>
          <w:tcPr>
            <w:tcW w:w="1846"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500万元（含）-1000万元</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0.800%</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0.450%</w:t>
            </w:r>
          </w:p>
        </w:tc>
        <w:tc>
          <w:tcPr>
            <w:tcW w:w="1846"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1000万元（含）-5000万元</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0.500%</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0.250%</w:t>
            </w:r>
          </w:p>
        </w:tc>
        <w:tc>
          <w:tcPr>
            <w:tcW w:w="1846"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5000万元（含）-1亿元</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0.250%</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0.100%</w:t>
            </w:r>
          </w:p>
        </w:tc>
        <w:tc>
          <w:tcPr>
            <w:tcW w:w="1846"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1亿元（含）-5亿元</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0.050%</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0.050%</w:t>
            </w:r>
          </w:p>
        </w:tc>
        <w:tc>
          <w:tcPr>
            <w:tcW w:w="1846"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5亿元（含）-10亿元</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0.035%</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0.035%</w:t>
            </w:r>
          </w:p>
        </w:tc>
        <w:tc>
          <w:tcPr>
            <w:tcW w:w="1846"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10亿元（含）-50亿元</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0.008%</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0.008%</w:t>
            </w:r>
          </w:p>
        </w:tc>
        <w:tc>
          <w:tcPr>
            <w:tcW w:w="1846"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50亿元（含）-100亿元</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0.006%</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0.006%</w:t>
            </w:r>
          </w:p>
        </w:tc>
        <w:tc>
          <w:tcPr>
            <w:tcW w:w="1846"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86" w:type="dxa"/>
            <w:vAlign w:val="center"/>
          </w:tcPr>
          <w:p>
            <w:pPr>
              <w:spacing w:line="24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100亿元（含）以上</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0.004%</w:t>
            </w:r>
          </w:p>
        </w:tc>
        <w:tc>
          <w:tcPr>
            <w:tcW w:w="1845"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0.004%</w:t>
            </w:r>
          </w:p>
        </w:tc>
        <w:tc>
          <w:tcPr>
            <w:tcW w:w="1846" w:type="dxa"/>
            <w:vAlign w:val="center"/>
          </w:tcPr>
          <w:p>
            <w:pPr>
              <w:spacing w:line="240" w:lineRule="auto"/>
              <w:jc w:val="cente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0.004%</w:t>
            </w:r>
          </w:p>
        </w:tc>
      </w:tr>
    </w:tbl>
    <w:p>
      <w:pPr>
        <w:tabs>
          <w:tab w:val="clear" w:pos="426"/>
        </w:tabs>
        <w:spacing w:line="300" w:lineRule="auto"/>
        <w:ind w:left="424" w:leftChars="202"/>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以某货物类项目招标为例：</w:t>
      </w:r>
    </w:p>
    <w:p>
      <w:pPr>
        <w:tabs>
          <w:tab w:val="clear" w:pos="426"/>
        </w:tabs>
        <w:spacing w:line="300" w:lineRule="auto"/>
        <w:ind w:left="424" w:leftChars="202"/>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假设其计算基准价</w:t>
      </w:r>
      <w:r>
        <w:rPr>
          <w:color w:val="000000" w:themeColor="text1"/>
          <w:sz w:val="22"/>
          <w:highlight w:val="none"/>
          <w14:textFill>
            <w14:solidFill>
              <w14:schemeClr w14:val="tx1"/>
            </w14:solidFill>
          </w14:textFill>
        </w:rPr>
        <w:t>为</w:t>
      </w:r>
      <w:r>
        <w:rPr>
          <w:rFonts w:hint="eastAsia"/>
          <w:color w:val="000000" w:themeColor="text1"/>
          <w:sz w:val="22"/>
          <w:highlight w:val="none"/>
          <w14:textFill>
            <w14:solidFill>
              <w14:schemeClr w14:val="tx1"/>
            </w14:solidFill>
          </w14:textFill>
        </w:rPr>
        <w:t>中标价5000万元</w:t>
      </w:r>
      <w:r>
        <w:rPr>
          <w:color w:val="000000" w:themeColor="text1"/>
          <w:sz w:val="22"/>
          <w:highlight w:val="none"/>
          <w14:textFill>
            <w14:solidFill>
              <w14:schemeClr w14:val="tx1"/>
            </w14:solidFill>
          </w14:textFill>
        </w:rPr>
        <w:t>，则招标代理</w:t>
      </w:r>
      <w:r>
        <w:rPr>
          <w:rFonts w:hint="eastAsia"/>
          <w:color w:val="000000" w:themeColor="text1"/>
          <w:sz w:val="22"/>
          <w:highlight w:val="none"/>
          <w14:textFill>
            <w14:solidFill>
              <w14:schemeClr w14:val="tx1"/>
            </w14:solidFill>
          </w14:textFill>
        </w:rPr>
        <w:t>服务</w:t>
      </w:r>
      <w:r>
        <w:rPr>
          <w:color w:val="000000" w:themeColor="text1"/>
          <w:sz w:val="22"/>
          <w:highlight w:val="none"/>
          <w14:textFill>
            <w14:solidFill>
              <w14:schemeClr w14:val="tx1"/>
            </w14:solidFill>
          </w14:textFill>
        </w:rPr>
        <w:t>费计算为：</w:t>
      </w:r>
    </w:p>
    <w:p>
      <w:pPr>
        <w:tabs>
          <w:tab w:val="clear" w:pos="426"/>
        </w:tabs>
        <w:spacing w:line="300" w:lineRule="auto"/>
        <w:ind w:left="424" w:leftChars="202"/>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100万元×1.5%=1.5万元</w:t>
      </w:r>
    </w:p>
    <w:p>
      <w:pPr>
        <w:tabs>
          <w:tab w:val="clear" w:pos="426"/>
        </w:tabs>
        <w:spacing w:line="300" w:lineRule="auto"/>
        <w:ind w:left="424" w:leftChars="202"/>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 xml:space="preserve">（500-100）万元×1.1%=4.4万元 </w:t>
      </w:r>
    </w:p>
    <w:p>
      <w:pPr>
        <w:tabs>
          <w:tab w:val="clear" w:pos="426"/>
        </w:tabs>
        <w:spacing w:line="300" w:lineRule="auto"/>
        <w:ind w:left="424" w:leftChars="202"/>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 xml:space="preserve">（1000-500）万元×0.8%=4万元 </w:t>
      </w:r>
    </w:p>
    <w:p>
      <w:pPr>
        <w:tabs>
          <w:tab w:val="clear" w:pos="426"/>
        </w:tabs>
        <w:spacing w:line="300" w:lineRule="auto"/>
        <w:ind w:left="424" w:leftChars="202"/>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（5000-1000）万元×0.5%=20万元</w:t>
      </w:r>
    </w:p>
    <w:p>
      <w:pPr>
        <w:tabs>
          <w:tab w:val="clear" w:pos="426"/>
        </w:tabs>
        <w:spacing w:line="300" w:lineRule="auto"/>
        <w:ind w:left="424" w:leftChars="202"/>
        <w:rPr>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因此，该项目招标代理服务费为：</w:t>
      </w:r>
      <w:r>
        <w:rPr>
          <w:color w:val="000000" w:themeColor="text1"/>
          <w:sz w:val="22"/>
          <w:highlight w:val="none"/>
          <w14:textFill>
            <w14:solidFill>
              <w14:schemeClr w14:val="tx1"/>
            </w14:solidFill>
          </w14:textFill>
        </w:rPr>
        <w:t>1.5万元+4.4万元+4万元+20万元=29.9万元</w:t>
      </w:r>
    </w:p>
    <w:p>
      <w:pPr>
        <w:tabs>
          <w:tab w:val="clear" w:pos="426"/>
        </w:tabs>
        <w:rPr>
          <w:color w:val="000000" w:themeColor="text1"/>
          <w:highlight w:val="none"/>
          <w14:textFill>
            <w14:solidFill>
              <w14:schemeClr w14:val="tx1"/>
            </w14:solidFill>
          </w14:textFill>
        </w:rPr>
      </w:pPr>
    </w:p>
    <w:p>
      <w:pPr>
        <w:pStyle w:val="33"/>
        <w:tabs>
          <w:tab w:val="clear" w:pos="426"/>
        </w:tabs>
        <w:rPr>
          <w:color w:val="000000" w:themeColor="text1"/>
          <w:highlight w:val="none"/>
          <w14:textFill>
            <w14:solidFill>
              <w14:schemeClr w14:val="tx1"/>
            </w14:solidFill>
          </w14:textFill>
        </w:rPr>
      </w:pPr>
    </w:p>
    <w:sectPr>
      <w:pgSz w:w="11906" w:h="16838"/>
      <w:pgMar w:top="1134" w:right="1134" w:bottom="1134" w:left="1418"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9"/>
      </w:rPr>
    </w:pPr>
    <w:r>
      <w:rPr>
        <w:rStyle w:val="49"/>
      </w:rPr>
      <w:fldChar w:fldCharType="begin"/>
    </w:r>
    <w:r>
      <w:rPr>
        <w:rStyle w:val="49"/>
      </w:rPr>
      <w:instrText xml:space="preserve">PAGE  </w:instrText>
    </w:r>
    <w:r>
      <w:rPr>
        <w:rStyle w:val="49"/>
      </w:rPr>
      <w:fldChar w:fldCharType="separate"/>
    </w:r>
    <w:r>
      <w:rPr>
        <w:rStyle w:val="49"/>
      </w:rPr>
      <w:t>59</w:t>
    </w:r>
    <w:r>
      <w:rPr>
        <w:rStyle w:val="49"/>
      </w:rP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lang w:val="zh-CN"/>
      </w:rPr>
      <w:fldChar w:fldCharType="begin"/>
    </w:r>
    <w:r>
      <w:rPr>
        <w:lang w:val="zh-CN"/>
      </w:rPr>
      <w:instrText xml:space="preserve"> PAGE   \* MERGEFORMAT </w:instrText>
    </w:r>
    <w:r>
      <w:rPr>
        <w:lang w:val="zh-CN"/>
      </w:rPr>
      <w:fldChar w:fldCharType="separate"/>
    </w:r>
    <w:r>
      <w:rPr>
        <w:lang w:val="zh-CN"/>
      </w:rPr>
      <w:t>12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bullet"/>
      <w:pStyle w:val="13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1"/>
    <w:multiLevelType w:val="multilevel"/>
    <w:tmpl w:val="00000001"/>
    <w:lvl w:ilvl="0" w:tentative="0">
      <w:start w:val="1"/>
      <w:numFmt w:val="bullet"/>
      <w:pStyle w:val="217"/>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0000002"/>
    <w:multiLevelType w:val="multilevel"/>
    <w:tmpl w:val="00000002"/>
    <w:lvl w:ilvl="0" w:tentative="0">
      <w:start w:val="1"/>
      <w:numFmt w:val="bullet"/>
      <w:pStyle w:val="99"/>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00000003"/>
    <w:multiLevelType w:val="multilevel"/>
    <w:tmpl w:val="00000003"/>
    <w:lvl w:ilvl="0" w:tentative="0">
      <w:start w:val="1"/>
      <w:numFmt w:val="chineseCountingThousand"/>
      <w:pStyle w:val="140"/>
      <w:lvlText w:val="第%1章"/>
      <w:lvlJc w:val="left"/>
      <w:pPr>
        <w:tabs>
          <w:tab w:val="left" w:pos="1440"/>
        </w:tabs>
        <w:ind w:left="0" w:firstLine="0"/>
      </w:pPr>
      <w:rPr>
        <w:rFonts w:hint="eastAsia"/>
      </w:rPr>
    </w:lvl>
    <w:lvl w:ilvl="1" w:tentative="0">
      <w:start w:val="1"/>
      <w:numFmt w:val="decimal"/>
      <w:pStyle w:val="141"/>
      <w:isLgl/>
      <w:lvlText w:val="%1.%2"/>
      <w:lvlJc w:val="left"/>
      <w:pPr>
        <w:tabs>
          <w:tab w:val="left" w:pos="720"/>
        </w:tabs>
        <w:ind w:left="0" w:firstLine="0"/>
      </w:pPr>
      <w:rPr>
        <w:rFonts w:hint="eastAsia"/>
      </w:rPr>
    </w:lvl>
    <w:lvl w:ilvl="2" w:tentative="0">
      <w:start w:val="1"/>
      <w:numFmt w:val="decimal"/>
      <w:pStyle w:val="142"/>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4">
    <w:nsid w:val="00000004"/>
    <w:multiLevelType w:val="multilevel"/>
    <w:tmpl w:val="00000004"/>
    <w:lvl w:ilvl="0" w:tentative="0">
      <w:start w:val="1"/>
      <w:numFmt w:val="chineseCountingThousand"/>
      <w:suff w:val="nothing"/>
      <w:lvlText w:val="%1、"/>
      <w:lvlJc w:val="left"/>
      <w:pPr>
        <w:ind w:left="312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5"/>
    <w:multiLevelType w:val="multilevel"/>
    <w:tmpl w:val="00000005"/>
    <w:lvl w:ilvl="0" w:tentative="0">
      <w:start w:val="1"/>
      <w:numFmt w:val="decimal"/>
      <w:pStyle w:val="94"/>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6"/>
    <w:multiLevelType w:val="multilevel"/>
    <w:tmpl w:val="00000006"/>
    <w:lvl w:ilvl="0" w:tentative="0">
      <w:start w:val="1"/>
      <w:numFmt w:val="chineseCountingThousand"/>
      <w:pStyle w:val="98"/>
      <w:lvlText w:val="第%1章"/>
      <w:lvlJc w:val="left"/>
      <w:pPr>
        <w:ind w:left="420" w:hanging="420"/>
      </w:pPr>
      <w:rPr>
        <w:rFonts w:hint="eastAsia"/>
      </w:rPr>
    </w:lvl>
    <w:lvl w:ilvl="1" w:tentative="0">
      <w:start w:val="1"/>
      <w:numFmt w:val="decimal"/>
      <w:lvlText w:val="1.%2"/>
      <w:lvlJc w:val="left"/>
      <w:pPr>
        <w:ind w:left="420" w:hanging="420"/>
      </w:pPr>
      <w:rPr>
        <w:rFonts w:hint="default" w:ascii="Calibri Light" w:hAnsi="Calibri Light" w:eastAsia="宋体" w:cs="Calibri"/>
        <w:sz w:val="32"/>
        <w:szCs w:val="32"/>
      </w:rPr>
    </w:lvl>
    <w:lvl w:ilvl="2" w:tentative="0">
      <w:start w:val="1"/>
      <w:numFmt w:val="decimal"/>
      <w:lvlText w:val="1.1.%3"/>
      <w:lvlJc w:val="left"/>
      <w:pPr>
        <w:ind w:left="420" w:firstLine="147"/>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9"/>
    <w:multiLevelType w:val="multilevel"/>
    <w:tmpl w:val="00000009"/>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0000000A"/>
    <w:multiLevelType w:val="multilevel"/>
    <w:tmpl w:val="0000000A"/>
    <w:lvl w:ilvl="0" w:tentative="0">
      <w:start w:val="1"/>
      <w:numFmt w:val="decimal"/>
      <w:pStyle w:val="102"/>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0000000B"/>
    <w:multiLevelType w:val="multilevel"/>
    <w:tmpl w:val="0000000B"/>
    <w:lvl w:ilvl="0" w:tentative="0">
      <w:start w:val="1"/>
      <w:numFmt w:val="bullet"/>
      <w:lvlText w:val=""/>
      <w:lvlJc w:val="left"/>
      <w:pPr>
        <w:ind w:left="420" w:hanging="420"/>
      </w:pPr>
      <w:rPr>
        <w:rFonts w:hint="default" w:ascii="Wingdings" w:hAnsi="Wingdings"/>
      </w:rPr>
    </w:lvl>
    <w:lvl w:ilvl="1" w:tentative="0">
      <w:start w:val="1"/>
      <w:numFmt w:val="decimal"/>
      <w:pStyle w:val="269"/>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000000C"/>
    <w:multiLevelType w:val="multilevel"/>
    <w:tmpl w:val="0000000C"/>
    <w:lvl w:ilvl="0" w:tentative="0">
      <w:start w:val="1"/>
      <w:numFmt w:val="chineseCountingThousand"/>
      <w:suff w:val="nothing"/>
      <w:lvlText w:val="%1、"/>
      <w:lvlJc w:val="left"/>
      <w:pPr>
        <w:ind w:left="846" w:hanging="420"/>
      </w:pPr>
      <w:rPr>
        <w:rFonts w:hint="eastAsia"/>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2">
    <w:nsid w:val="0000000D"/>
    <w:multiLevelType w:val="multilevel"/>
    <w:tmpl w:val="0000000D"/>
    <w:lvl w:ilvl="0" w:tentative="0">
      <w:start w:val="1"/>
      <w:numFmt w:val="decimal"/>
      <w:pStyle w:val="250"/>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3">
    <w:nsid w:val="0000000E"/>
    <w:multiLevelType w:val="multilevel"/>
    <w:tmpl w:val="0000000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4">
    <w:nsid w:val="0000000F"/>
    <w:multiLevelType w:val="multilevel"/>
    <w:tmpl w:val="0000000F"/>
    <w:lvl w:ilvl="0" w:tentative="0">
      <w:start w:val="5"/>
      <w:numFmt w:val="decimal"/>
      <w:lvlText w:val="%1"/>
      <w:lvlJc w:val="left"/>
      <w:pPr>
        <w:tabs>
          <w:tab w:val="left" w:pos="425"/>
        </w:tabs>
        <w:ind w:left="425" w:hanging="425"/>
      </w:pPr>
      <w:rPr>
        <w:rFonts w:hint="eastAsia"/>
      </w:rPr>
    </w:lvl>
    <w:lvl w:ilvl="1" w:tentative="0">
      <w:start w:val="1"/>
      <w:numFmt w:val="decimal"/>
      <w:pStyle w:val="93"/>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00000010"/>
    <w:multiLevelType w:val="multilevel"/>
    <w:tmpl w:val="00000010"/>
    <w:lvl w:ilvl="0" w:tentative="0">
      <w:start w:val="1"/>
      <w:numFmt w:val="decimal"/>
      <w:pStyle w:val="266"/>
      <w:lvlText w:val="%1)"/>
      <w:lvlJc w:val="left"/>
      <w:pPr>
        <w:ind w:left="420" w:hanging="420"/>
      </w:pPr>
      <w:rPr>
        <w:rFonts w:ascii="Times New Roman" w:hAnsi="Times New Roman" w:cs="Times New Roman"/>
        <w:b w:val="0"/>
        <w:bCs w:val="0"/>
        <w:i w:val="0"/>
        <w:iCs w:val="0"/>
        <w:caps w:val="0"/>
        <w:smallCaps w:val="0"/>
        <w:outline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1"/>
    <w:multiLevelType w:val="multilevel"/>
    <w:tmpl w:val="00000011"/>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7">
    <w:nsid w:val="00000012"/>
    <w:multiLevelType w:val="multilevel"/>
    <w:tmpl w:val="00000012"/>
    <w:lvl w:ilvl="0" w:tentative="0">
      <w:start w:val="1"/>
      <w:numFmt w:val="bullet"/>
      <w:pStyle w:val="13"/>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8">
    <w:nsid w:val="00000013"/>
    <w:multiLevelType w:val="multilevel"/>
    <w:tmpl w:val="00000013"/>
    <w:lvl w:ilvl="0" w:tentative="0">
      <w:start w:val="1"/>
      <w:numFmt w:val="decimal"/>
      <w:pStyle w:val="145"/>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4"/>
    <w:multiLevelType w:val="multilevel"/>
    <w:tmpl w:val="00000014"/>
    <w:lvl w:ilvl="0" w:tentative="0">
      <w:start w:val="1"/>
      <w:numFmt w:val="decimal"/>
      <w:pStyle w:val="256"/>
      <w:lvlText w:val="%1)"/>
      <w:lvlJc w:val="left"/>
      <w:pPr>
        <w:ind w:left="982" w:hanging="420"/>
      </w:pPr>
    </w:lvl>
    <w:lvl w:ilvl="1" w:tentative="0">
      <w:start w:val="1"/>
      <w:numFmt w:val="lowerLetter"/>
      <w:pStyle w:val="253"/>
      <w:lvlText w:val="%2)"/>
      <w:lvlJc w:val="left"/>
      <w:pPr>
        <w:ind w:left="1402" w:hanging="420"/>
      </w:pPr>
    </w:lvl>
    <w:lvl w:ilvl="2" w:tentative="0">
      <w:start w:val="1"/>
      <w:numFmt w:val="lowerRoman"/>
      <w:pStyle w:val="254"/>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0">
    <w:nsid w:val="00000015"/>
    <w:multiLevelType w:val="singleLevel"/>
    <w:tmpl w:val="00000015"/>
    <w:lvl w:ilvl="0" w:tentative="0">
      <w:start w:val="1"/>
      <w:numFmt w:val="bullet"/>
      <w:pStyle w:val="168"/>
      <w:lvlText w:val=""/>
      <w:lvlJc w:val="left"/>
      <w:pPr>
        <w:tabs>
          <w:tab w:val="left" w:pos="360"/>
        </w:tabs>
        <w:ind w:left="360" w:hanging="360"/>
      </w:pPr>
      <w:rPr>
        <w:rFonts w:hint="default" w:ascii="Wingdings" w:hAnsi="Wingdings"/>
      </w:rPr>
    </w:lvl>
  </w:abstractNum>
  <w:abstractNum w:abstractNumId="21">
    <w:nsid w:val="00000016"/>
    <w:multiLevelType w:val="multilevel"/>
    <w:tmpl w:val="00000016"/>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22">
    <w:nsid w:val="00000017"/>
    <w:multiLevelType w:val="multilevel"/>
    <w:tmpl w:val="00000017"/>
    <w:lvl w:ilvl="0" w:tentative="0">
      <w:start w:val="1"/>
      <w:numFmt w:val="chineseCountingThousand"/>
      <w:pStyle w:val="236"/>
      <w:lvlText w:val="第%1章"/>
      <w:lvlJc w:val="left"/>
      <w:pPr>
        <w:tabs>
          <w:tab w:val="left" w:pos="340"/>
        </w:tabs>
        <w:ind w:left="0" w:firstLine="0"/>
      </w:pPr>
      <w:rPr>
        <w:rFonts w:hint="eastAsia"/>
      </w:rPr>
    </w:lvl>
    <w:lvl w:ilvl="1" w:tentative="0">
      <w:start w:val="1"/>
      <w:numFmt w:val="decimal"/>
      <w:pStyle w:val="237"/>
      <w:isLgl/>
      <w:suff w:val="space"/>
      <w:lvlText w:val="%1.%2"/>
      <w:lvlJc w:val="left"/>
      <w:pPr>
        <w:ind w:left="0" w:firstLine="0"/>
      </w:pPr>
      <w:rPr>
        <w:rFonts w:hint="eastAsia"/>
      </w:rPr>
    </w:lvl>
    <w:lvl w:ilvl="2" w:tentative="0">
      <w:start w:val="1"/>
      <w:numFmt w:val="decimal"/>
      <w:pStyle w:val="239"/>
      <w:isLgl/>
      <w:suff w:val="space"/>
      <w:lvlText w:val="%1.%2.%3"/>
      <w:lvlJc w:val="left"/>
      <w:pPr>
        <w:ind w:left="0" w:firstLine="0"/>
      </w:pPr>
      <w:rPr>
        <w:rFonts w:hint="eastAsia"/>
      </w:rPr>
    </w:lvl>
    <w:lvl w:ilvl="3" w:tentative="0">
      <w:start w:val="1"/>
      <w:numFmt w:val="decimal"/>
      <w:pStyle w:val="241"/>
      <w:isLgl/>
      <w:suff w:val="space"/>
      <w:lvlText w:val="%1.%2.%3.%4"/>
      <w:lvlJc w:val="left"/>
      <w:pPr>
        <w:ind w:left="0" w:firstLine="0"/>
      </w:pPr>
      <w:rPr>
        <w:b w:val="0"/>
        <w:bCs w:val="0"/>
        <w:i w:val="0"/>
        <w:iCs w:val="0"/>
        <w:caps w:val="0"/>
        <w:smallCaps w:val="0"/>
        <w:outline w:val="0"/>
        <w:emboss w:val="0"/>
        <w:imprint w:val="0"/>
        <w:vanish w:val="0"/>
        <w:spacing w:val="0"/>
        <w:position w:val="0"/>
        <w:u w:val="none"/>
        <w:vertAlign w:val="baseline"/>
      </w:rPr>
    </w:lvl>
    <w:lvl w:ilvl="4" w:tentative="0">
      <w:start w:val="1"/>
      <w:numFmt w:val="decimal"/>
      <w:pStyle w:val="243"/>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3">
    <w:nsid w:val="00000018"/>
    <w:multiLevelType w:val="multilevel"/>
    <w:tmpl w:val="00000018"/>
    <w:lvl w:ilvl="0" w:tentative="0">
      <w:start w:val="1"/>
      <w:numFmt w:val="decimal"/>
      <w:pStyle w:val="261"/>
      <w:lvlText w:val="%1)"/>
      <w:lvlJc w:val="left"/>
      <w:pPr>
        <w:ind w:left="980" w:hanging="420"/>
      </w:pPr>
      <w:rPr>
        <w:b w:val="0"/>
        <w:bCs w:val="0"/>
        <w:i w:val="0"/>
        <w:iCs w:val="0"/>
        <w:caps w:val="0"/>
        <w:smallCaps w:val="0"/>
        <w:outline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4">
    <w:nsid w:val="00000019"/>
    <w:multiLevelType w:val="multilevel"/>
    <w:tmpl w:val="00000019"/>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000001A"/>
    <w:multiLevelType w:val="multilevel"/>
    <w:tmpl w:val="0000001A"/>
    <w:lvl w:ilvl="0" w:tentative="0">
      <w:start w:val="1"/>
      <w:numFmt w:val="bullet"/>
      <w:pStyle w:val="13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0000001B"/>
    <w:multiLevelType w:val="multilevel"/>
    <w:tmpl w:val="0000001B"/>
    <w:lvl w:ilvl="0" w:tentative="0">
      <w:start w:val="1"/>
      <w:numFmt w:val="decimal"/>
      <w:pStyle w:val="226"/>
      <w:suff w:val="space"/>
      <w:lvlText w:val="%1"/>
      <w:lvlJc w:val="left"/>
      <w:pPr>
        <w:ind w:left="0" w:firstLine="0"/>
      </w:pPr>
      <w:rPr>
        <w:rFonts w:hint="eastAsia"/>
      </w:rPr>
    </w:lvl>
    <w:lvl w:ilvl="1" w:tentative="0">
      <w:start w:val="1"/>
      <w:numFmt w:val="decimal"/>
      <w:pStyle w:val="228"/>
      <w:suff w:val="space"/>
      <w:lvlText w:val="%1.%2"/>
      <w:lvlJc w:val="left"/>
      <w:pPr>
        <w:ind w:left="0" w:firstLine="0"/>
      </w:pPr>
      <w:rPr>
        <w:rFonts w:hint="eastAsia"/>
      </w:rPr>
    </w:lvl>
    <w:lvl w:ilvl="2" w:tentative="0">
      <w:start w:val="1"/>
      <w:numFmt w:val="decimal"/>
      <w:pStyle w:val="230"/>
      <w:suff w:val="space"/>
      <w:lvlText w:val="%1.%2.%3"/>
      <w:lvlJc w:val="left"/>
      <w:pPr>
        <w:ind w:left="0" w:firstLine="0"/>
      </w:pPr>
      <w:rPr>
        <w:rFonts w:hint="eastAsia"/>
      </w:rPr>
    </w:lvl>
    <w:lvl w:ilvl="3" w:tentative="0">
      <w:start w:val="1"/>
      <w:numFmt w:val="decimal"/>
      <w:pStyle w:val="232"/>
      <w:suff w:val="space"/>
      <w:lvlText w:val="%1.%2.%3.%4"/>
      <w:lvlJc w:val="left"/>
      <w:pPr>
        <w:ind w:left="0" w:firstLine="0"/>
      </w:pPr>
      <w:rPr>
        <w:rFonts w:hint="eastAsia"/>
      </w:rPr>
    </w:lvl>
    <w:lvl w:ilvl="4" w:tentative="0">
      <w:start w:val="1"/>
      <w:numFmt w:val="decimal"/>
      <w:pStyle w:val="234"/>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7"/>
  </w:num>
  <w:num w:numId="2">
    <w:abstractNumId w:val="14"/>
  </w:num>
  <w:num w:numId="3">
    <w:abstractNumId w:val="5"/>
  </w:num>
  <w:num w:numId="4">
    <w:abstractNumId w:val="6"/>
  </w:num>
  <w:num w:numId="5">
    <w:abstractNumId w:val="2"/>
  </w:num>
  <w:num w:numId="6">
    <w:abstractNumId w:val="9"/>
  </w:num>
  <w:num w:numId="7">
    <w:abstractNumId w:val="13"/>
    <w:lvlOverride w:ilvl="0">
      <w:lvl w:ilvl="0" w:tentative="1">
        <w:start w:val="1"/>
        <w:numFmt w:val="decimal"/>
        <w:pStyle w:val="122"/>
        <w:lvlText w:val="%1."/>
        <w:lvlJc w:val="left"/>
        <w:pPr>
          <w:tabs>
            <w:tab w:val="left" w:pos="420"/>
          </w:tabs>
          <w:ind w:left="0" w:firstLine="420"/>
        </w:pPr>
        <w:rPr>
          <w:rFonts w:hint="eastAsia"/>
        </w:rPr>
      </w:lvl>
    </w:lvlOverride>
    <w:lvlOverride w:ilvl="1">
      <w:lvl w:ilvl="1" w:tentative="1">
        <w:start w:val="1"/>
        <w:numFmt w:val="decimal"/>
        <w:pStyle w:val="123"/>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0"/>
  </w:num>
  <w:num w:numId="9">
    <w:abstractNumId w:val="25"/>
  </w:num>
  <w:num w:numId="10">
    <w:abstractNumId w:val="3"/>
  </w:num>
  <w:num w:numId="11">
    <w:abstractNumId w:val="18"/>
  </w:num>
  <w:num w:numId="12">
    <w:abstractNumId w:val="20"/>
  </w:num>
  <w:num w:numId="13">
    <w:abstractNumId w:val="1"/>
  </w:num>
  <w:num w:numId="14">
    <w:abstractNumId w:val="26"/>
  </w:num>
  <w:num w:numId="15">
    <w:abstractNumId w:val="22"/>
  </w:num>
  <w:num w:numId="16">
    <w:abstractNumId w:val="12"/>
  </w:num>
  <w:num w:numId="17">
    <w:abstractNumId w:val="19"/>
  </w:num>
  <w:num w:numId="18">
    <w:abstractNumId w:val="23"/>
  </w:num>
  <w:num w:numId="19">
    <w:abstractNumId w:val="15"/>
  </w:num>
  <w:num w:numId="20">
    <w:abstractNumId w:val="10"/>
  </w:num>
  <w:num w:numId="21">
    <w:abstractNumId w:val="24"/>
  </w:num>
  <w:num w:numId="22">
    <w:abstractNumId w:val="21"/>
  </w:num>
  <w:num w:numId="23">
    <w:abstractNumId w:val="11"/>
  </w:num>
  <w:num w:numId="24">
    <w:abstractNumId w:val="4"/>
  </w:num>
  <w:num w:numId="25">
    <w:abstractNumId w:val="7"/>
  </w:num>
  <w:num w:numId="26">
    <w:abstractNumId w:val="8"/>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1D1"/>
    <w:rsid w:val="000223C6"/>
    <w:rsid w:val="000967FD"/>
    <w:rsid w:val="000E360C"/>
    <w:rsid w:val="000E4A3F"/>
    <w:rsid w:val="000F157E"/>
    <w:rsid w:val="00130D84"/>
    <w:rsid w:val="00134AC4"/>
    <w:rsid w:val="00165916"/>
    <w:rsid w:val="00201250"/>
    <w:rsid w:val="00226788"/>
    <w:rsid w:val="002470F0"/>
    <w:rsid w:val="00255CCE"/>
    <w:rsid w:val="00271FEE"/>
    <w:rsid w:val="002905CA"/>
    <w:rsid w:val="002D0156"/>
    <w:rsid w:val="00402A49"/>
    <w:rsid w:val="00446096"/>
    <w:rsid w:val="00500383"/>
    <w:rsid w:val="005123D7"/>
    <w:rsid w:val="00544280"/>
    <w:rsid w:val="0061387D"/>
    <w:rsid w:val="006D7D6C"/>
    <w:rsid w:val="00701079"/>
    <w:rsid w:val="00717A19"/>
    <w:rsid w:val="0074169A"/>
    <w:rsid w:val="007B400D"/>
    <w:rsid w:val="00824E78"/>
    <w:rsid w:val="00867CD0"/>
    <w:rsid w:val="00893E2B"/>
    <w:rsid w:val="008E2B23"/>
    <w:rsid w:val="008E6B26"/>
    <w:rsid w:val="00927F8B"/>
    <w:rsid w:val="00980C54"/>
    <w:rsid w:val="009C783C"/>
    <w:rsid w:val="00A52197"/>
    <w:rsid w:val="00A56EA9"/>
    <w:rsid w:val="00A83F49"/>
    <w:rsid w:val="00B656CA"/>
    <w:rsid w:val="00C14920"/>
    <w:rsid w:val="00C31100"/>
    <w:rsid w:val="00C4101E"/>
    <w:rsid w:val="00D315FF"/>
    <w:rsid w:val="00D54D78"/>
    <w:rsid w:val="00D61031"/>
    <w:rsid w:val="00DB04EA"/>
    <w:rsid w:val="00DF077F"/>
    <w:rsid w:val="00DF4746"/>
    <w:rsid w:val="00E41071"/>
    <w:rsid w:val="00E464B3"/>
    <w:rsid w:val="00E62465"/>
    <w:rsid w:val="00E80E3D"/>
    <w:rsid w:val="00E839CE"/>
    <w:rsid w:val="00EC2E6F"/>
    <w:rsid w:val="00EC41D1"/>
    <w:rsid w:val="03B941B9"/>
    <w:rsid w:val="03DC35AB"/>
    <w:rsid w:val="052D0F98"/>
    <w:rsid w:val="098C5D85"/>
    <w:rsid w:val="0A771320"/>
    <w:rsid w:val="0AB51D0F"/>
    <w:rsid w:val="0AD574FB"/>
    <w:rsid w:val="0D3325F8"/>
    <w:rsid w:val="0F2B489D"/>
    <w:rsid w:val="12022AF4"/>
    <w:rsid w:val="143B0276"/>
    <w:rsid w:val="16276905"/>
    <w:rsid w:val="172E3781"/>
    <w:rsid w:val="181C694E"/>
    <w:rsid w:val="20BE45DB"/>
    <w:rsid w:val="244537E7"/>
    <w:rsid w:val="26F70D57"/>
    <w:rsid w:val="281F76FA"/>
    <w:rsid w:val="29635FAB"/>
    <w:rsid w:val="29D30D90"/>
    <w:rsid w:val="2B2B3535"/>
    <w:rsid w:val="2D713656"/>
    <w:rsid w:val="2E2B7AD1"/>
    <w:rsid w:val="33575069"/>
    <w:rsid w:val="348C40F5"/>
    <w:rsid w:val="367D402B"/>
    <w:rsid w:val="3B460452"/>
    <w:rsid w:val="3CAD6942"/>
    <w:rsid w:val="3F6A67B1"/>
    <w:rsid w:val="40A700F7"/>
    <w:rsid w:val="426923AF"/>
    <w:rsid w:val="47A56365"/>
    <w:rsid w:val="48352572"/>
    <w:rsid w:val="4A162A4F"/>
    <w:rsid w:val="4AB52C04"/>
    <w:rsid w:val="4E145636"/>
    <w:rsid w:val="4E355907"/>
    <w:rsid w:val="5545537D"/>
    <w:rsid w:val="55BE62E0"/>
    <w:rsid w:val="58E708CE"/>
    <w:rsid w:val="592B59FB"/>
    <w:rsid w:val="59803AC2"/>
    <w:rsid w:val="598375BD"/>
    <w:rsid w:val="5AC3255C"/>
    <w:rsid w:val="5BB91857"/>
    <w:rsid w:val="5E5D3BF3"/>
    <w:rsid w:val="67FC0D58"/>
    <w:rsid w:val="686A26C7"/>
    <w:rsid w:val="68A63856"/>
    <w:rsid w:val="6C9C2403"/>
    <w:rsid w:val="72A06FA7"/>
    <w:rsid w:val="7348575A"/>
    <w:rsid w:val="75395FA7"/>
    <w:rsid w:val="75DF43A8"/>
    <w:rsid w:val="78B5457E"/>
    <w:rsid w:val="79750433"/>
    <w:rsid w:val="7CD018FA"/>
    <w:rsid w:val="7DAB677D"/>
    <w:rsid w:val="7FB26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64"/>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qFormat/>
    <w:uiPriority w:val="0"/>
    <w:pPr>
      <w:tabs>
        <w:tab w:val="left" w:pos="426"/>
      </w:tabs>
      <w:textAlignment w:val="baseline"/>
      <w:outlineLvl w:val="1"/>
    </w:pPr>
    <w:rPr>
      <w:bCs w:val="0"/>
      <w:kern w:val="0"/>
      <w:szCs w:val="20"/>
    </w:rPr>
  </w:style>
  <w:style w:type="paragraph" w:styleId="3">
    <w:name w:val="heading 3"/>
    <w:basedOn w:val="4"/>
    <w:next w:val="1"/>
    <w:link w:val="63"/>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25"/>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2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2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2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29"/>
    <w:qFormat/>
    <w:uiPriority w:val="0"/>
    <w:pPr>
      <w:keepNext/>
      <w:keepLines/>
      <w:spacing w:before="240" w:after="64" w:line="320" w:lineRule="auto"/>
      <w:outlineLvl w:val="8"/>
    </w:pPr>
    <w:rPr>
      <w:rFonts w:ascii="Arial" w:hAnsi="Arial" w:eastAsia="黑体" w:cs="Times New Roman"/>
      <w:kern w:val="2"/>
      <w:szCs w:val="20"/>
    </w:rPr>
  </w:style>
  <w:style w:type="character" w:default="1" w:styleId="47">
    <w:name w:val="Default Paragraph Font"/>
    <w:unhideWhenUsed/>
    <w:qFormat/>
    <w:uiPriority w:val="1"/>
  </w:style>
  <w:style w:type="table" w:default="1" w:styleId="44">
    <w:name w:val="Normal Table"/>
    <w:semiHidden/>
    <w:unhideWhenUsed/>
    <w:qFormat/>
    <w:uiPriority w:val="99"/>
    <w:tblPr>
      <w:tblLayout w:type="fixed"/>
      <w:tblCellMar>
        <w:top w:w="0" w:type="dxa"/>
        <w:left w:w="108" w:type="dxa"/>
        <w:bottom w:w="0" w:type="dxa"/>
        <w:right w:w="108" w:type="dxa"/>
      </w:tblCellMar>
    </w:tblPr>
  </w:style>
  <w:style w:type="paragraph" w:styleId="7">
    <w:name w:val="Normal Indent"/>
    <w:basedOn w:val="1"/>
    <w:link w:val="65"/>
    <w:qFormat/>
    <w:uiPriority w:val="0"/>
    <w:pPr>
      <w:ind w:firstLine="420"/>
    </w:pPr>
    <w:rPr>
      <w:rFonts w:ascii="Times New Roman" w:hAnsi="Times New Roman" w:cs="Times New Roman"/>
      <w:kern w:val="2"/>
      <w:szCs w:val="20"/>
    </w:r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numPr>
        <w:ilvl w:val="0"/>
        <w:numId w:val="1"/>
      </w:numPr>
      <w:tabs>
        <w:tab w:val="left" w:pos="820"/>
      </w:tabs>
      <w:spacing w:afterLines="50"/>
    </w:pPr>
    <w:rPr>
      <w:sz w:val="24"/>
      <w:szCs w:val="20"/>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tabs>
        <w:tab w:val="left" w:pos="360"/>
      </w:tabs>
      <w:ind w:left="360" w:hanging="360" w:hangingChars="200"/>
    </w:pPr>
    <w:rPr>
      <w:szCs w:val="20"/>
    </w:rPr>
  </w:style>
  <w:style w:type="paragraph" w:styleId="16">
    <w:name w:val="Document Map"/>
    <w:basedOn w:val="1"/>
    <w:link w:val="118"/>
    <w:qFormat/>
    <w:uiPriority w:val="0"/>
    <w:pPr>
      <w:shd w:val="clear" w:color="auto" w:fill="000080"/>
    </w:pPr>
    <w:rPr>
      <w:rFonts w:ascii="Times New Roman" w:hAnsi="Times New Roman" w:cs="Times New Roman"/>
      <w:kern w:val="2"/>
    </w:rPr>
  </w:style>
  <w:style w:type="paragraph" w:styleId="17">
    <w:name w:val="toa heading"/>
    <w:basedOn w:val="1"/>
    <w:next w:val="1"/>
    <w:qFormat/>
    <w:uiPriority w:val="0"/>
    <w:pPr>
      <w:spacing w:before="120"/>
    </w:pPr>
    <w:rPr>
      <w:rFonts w:ascii="Arial" w:hAnsi="Arial"/>
      <w:sz w:val="24"/>
      <w:szCs w:val="20"/>
    </w:rPr>
  </w:style>
  <w:style w:type="paragraph" w:styleId="18">
    <w:name w:val="annotation text"/>
    <w:basedOn w:val="1"/>
    <w:link w:val="79"/>
    <w:qFormat/>
    <w:uiPriority w:val="0"/>
    <w:pPr>
      <w:autoSpaceDE w:val="0"/>
      <w:autoSpaceDN w:val="0"/>
      <w:jc w:val="left"/>
      <w:textAlignment w:val="baseline"/>
    </w:pPr>
    <w:rPr>
      <w:rFonts w:hAnsi="Times New Roman" w:cs="Times New Roman"/>
      <w:sz w:val="34"/>
      <w:szCs w:val="20"/>
    </w:rPr>
  </w:style>
  <w:style w:type="paragraph" w:styleId="19">
    <w:name w:val="Body Text 3"/>
    <w:basedOn w:val="1"/>
    <w:link w:val="281"/>
    <w:qFormat/>
    <w:uiPriority w:val="0"/>
    <w:pPr>
      <w:spacing w:after="120"/>
    </w:pPr>
    <w:rPr>
      <w:rFonts w:ascii="Times New Roman" w:hAnsi="Times New Roman" w:cs="Times New Roman"/>
      <w:kern w:val="2"/>
      <w:sz w:val="16"/>
      <w:szCs w:val="16"/>
    </w:rPr>
  </w:style>
  <w:style w:type="paragraph" w:styleId="20">
    <w:name w:val="Body Text"/>
    <w:basedOn w:val="1"/>
    <w:qFormat/>
    <w:uiPriority w:val="0"/>
    <w:rPr>
      <w:b/>
      <w:bCs/>
      <w:sz w:val="24"/>
    </w:rPr>
  </w:style>
  <w:style w:type="paragraph" w:styleId="21">
    <w:name w:val="Body Text Indent"/>
    <w:basedOn w:val="1"/>
    <w:link w:val="221"/>
    <w:qFormat/>
    <w:uiPriority w:val="0"/>
    <w:pPr>
      <w:ind w:firstLine="420" w:firstLineChars="200"/>
    </w:pPr>
    <w:rPr>
      <w:rFonts w:ascii="Times New Roman" w:hAnsi="Times New Roman" w:cs="Times New Roman"/>
      <w:kern w:val="2"/>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39"/>
    <w:pPr>
      <w:ind w:left="420"/>
      <w:jc w:val="left"/>
    </w:pPr>
    <w:rPr>
      <w:i/>
      <w:iCs/>
    </w:rPr>
  </w:style>
  <w:style w:type="paragraph" w:styleId="24">
    <w:name w:val="Plain Text"/>
    <w:basedOn w:val="1"/>
    <w:link w:val="80"/>
    <w:qFormat/>
    <w:uiPriority w:val="0"/>
    <w:rPr>
      <w:rFonts w:hAnsi="Courier New" w:cs="Times New Roman"/>
      <w:kern w:val="2"/>
      <w:szCs w:val="20"/>
    </w:rPr>
  </w:style>
  <w:style w:type="paragraph" w:styleId="25">
    <w:name w:val="toc 8"/>
    <w:basedOn w:val="1"/>
    <w:next w:val="1"/>
    <w:qFormat/>
    <w:uiPriority w:val="0"/>
    <w:pPr>
      <w:ind w:left="1470"/>
      <w:jc w:val="left"/>
    </w:pPr>
    <w:rPr>
      <w:szCs w:val="21"/>
    </w:rPr>
  </w:style>
  <w:style w:type="paragraph" w:styleId="26">
    <w:name w:val="Date"/>
    <w:basedOn w:val="1"/>
    <w:next w:val="1"/>
    <w:link w:val="91"/>
    <w:qFormat/>
    <w:uiPriority w:val="0"/>
    <w:rPr>
      <w:rFonts w:hAnsi="Courier New" w:cs="Times New Roman"/>
      <w:kern w:val="2"/>
      <w:sz w:val="32"/>
      <w:szCs w:val="20"/>
    </w:rPr>
  </w:style>
  <w:style w:type="paragraph" w:styleId="27">
    <w:name w:val="Body Text Indent 2"/>
    <w:basedOn w:val="1"/>
    <w:link w:val="220"/>
    <w:qFormat/>
    <w:uiPriority w:val="0"/>
    <w:pPr>
      <w:spacing w:beforeLines="50" w:afterLines="50" w:line="120" w:lineRule="auto"/>
      <w:ind w:firstLine="840" w:firstLineChars="400"/>
      <w:jc w:val="left"/>
    </w:pPr>
    <w:rPr>
      <w:rFonts w:cs="Times New Roman"/>
      <w:kern w:val="2"/>
    </w:rPr>
  </w:style>
  <w:style w:type="paragraph" w:styleId="28">
    <w:name w:val="Balloon Text"/>
    <w:basedOn w:val="1"/>
    <w:link w:val="117"/>
    <w:qFormat/>
    <w:uiPriority w:val="0"/>
    <w:rPr>
      <w:rFonts w:ascii="Times New Roman" w:hAnsi="Times New Roman" w:cs="Times New Roman"/>
      <w:kern w:val="2"/>
      <w:sz w:val="18"/>
      <w:szCs w:val="18"/>
    </w:rPr>
  </w:style>
  <w:style w:type="paragraph" w:styleId="29">
    <w:name w:val="footer"/>
    <w:basedOn w:val="1"/>
    <w:link w:val="116"/>
    <w:qFormat/>
    <w:uiPriority w:val="99"/>
    <w:pPr>
      <w:tabs>
        <w:tab w:val="center" w:pos="4153"/>
        <w:tab w:val="right" w:pos="8306"/>
      </w:tabs>
      <w:jc w:val="left"/>
    </w:pPr>
    <w:rPr>
      <w:rFonts w:ascii="Times New Roman" w:hAnsi="Times New Roman" w:cs="Times New Roman"/>
      <w:kern w:val="2"/>
      <w:sz w:val="18"/>
      <w:szCs w:val="18"/>
    </w:rPr>
  </w:style>
  <w:style w:type="paragraph" w:styleId="30">
    <w:name w:val="header"/>
    <w:basedOn w:val="1"/>
    <w:link w:val="86"/>
    <w:qFormat/>
    <w:uiPriority w:val="99"/>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31">
    <w:name w:val="toc 1"/>
    <w:basedOn w:val="1"/>
    <w:next w:val="1"/>
    <w:qFormat/>
    <w:uiPriority w:val="39"/>
    <w:pPr>
      <w:tabs>
        <w:tab w:val="right" w:leader="dot" w:pos="8789"/>
      </w:tabs>
      <w:adjustRightInd/>
      <w:snapToGrid/>
      <w:spacing w:before="120" w:after="120"/>
      <w:jc w:val="left"/>
    </w:pPr>
    <w:rPr>
      <w:b/>
      <w:bCs/>
      <w:caps/>
      <w:sz w:val="28"/>
    </w:rPr>
  </w:style>
  <w:style w:type="paragraph" w:styleId="32">
    <w:name w:val="toc 4"/>
    <w:basedOn w:val="1"/>
    <w:next w:val="1"/>
    <w:qFormat/>
    <w:uiPriority w:val="0"/>
    <w:pPr>
      <w:ind w:left="630"/>
      <w:jc w:val="left"/>
    </w:pPr>
    <w:rPr>
      <w:szCs w:val="21"/>
    </w:rPr>
  </w:style>
  <w:style w:type="paragraph" w:styleId="33">
    <w:name w:val="Subtitle"/>
    <w:basedOn w:val="1"/>
    <w:next w:val="1"/>
    <w:link w:val="83"/>
    <w:qFormat/>
    <w:uiPriority w:val="0"/>
    <w:pPr>
      <w:spacing w:before="240" w:after="60" w:line="312" w:lineRule="auto"/>
      <w:jc w:val="center"/>
      <w:outlineLvl w:val="1"/>
    </w:pPr>
    <w:rPr>
      <w:rFonts w:ascii="Cambria" w:hAnsi="Cambria" w:cs="Times New Roman"/>
      <w:b/>
      <w:bCs/>
      <w:kern w:val="28"/>
      <w:sz w:val="28"/>
      <w:szCs w:val="32"/>
    </w:rPr>
  </w:style>
  <w:style w:type="paragraph" w:styleId="34">
    <w:name w:val="toc 6"/>
    <w:basedOn w:val="1"/>
    <w:next w:val="1"/>
    <w:qFormat/>
    <w:uiPriority w:val="0"/>
    <w:pPr>
      <w:ind w:left="1050"/>
      <w:jc w:val="left"/>
    </w:pPr>
    <w:rPr>
      <w:szCs w:val="21"/>
    </w:rPr>
  </w:style>
  <w:style w:type="paragraph" w:styleId="35">
    <w:name w:val="Body Text Indent 3"/>
    <w:basedOn w:val="1"/>
    <w:link w:val="276"/>
    <w:qFormat/>
    <w:uiPriority w:val="0"/>
    <w:pPr>
      <w:ind w:firstLine="482" w:firstLineChars="200"/>
    </w:pPr>
    <w:rPr>
      <w:rFonts w:hAnsi="Times New Roman" w:cs="Times New Roman"/>
      <w:b/>
      <w:bCs/>
      <w:kern w:val="2"/>
      <w:sz w:val="24"/>
    </w:rPr>
  </w:style>
  <w:style w:type="paragraph" w:styleId="36">
    <w:name w:val="toc 2"/>
    <w:basedOn w:val="1"/>
    <w:next w:val="1"/>
    <w:qFormat/>
    <w:uiPriority w:val="39"/>
    <w:pPr>
      <w:tabs>
        <w:tab w:val="clear" w:pos="426"/>
      </w:tabs>
      <w:adjustRightInd/>
      <w:snapToGrid/>
      <w:spacing w:line="300" w:lineRule="auto"/>
      <w:ind w:left="50" w:leftChars="50"/>
    </w:pPr>
    <w:rPr>
      <w:smallCaps/>
      <w:sz w:val="28"/>
    </w:rPr>
  </w:style>
  <w:style w:type="paragraph" w:styleId="37">
    <w:name w:val="toc 9"/>
    <w:basedOn w:val="1"/>
    <w:next w:val="1"/>
    <w:qFormat/>
    <w:uiPriority w:val="0"/>
    <w:pPr>
      <w:ind w:left="1680"/>
      <w:jc w:val="left"/>
    </w:pPr>
    <w:rPr>
      <w:szCs w:val="21"/>
    </w:rPr>
  </w:style>
  <w:style w:type="paragraph" w:styleId="38">
    <w:name w:val="Body Text 2"/>
    <w:basedOn w:val="1"/>
    <w:link w:val="280"/>
    <w:qFormat/>
    <w:uiPriority w:val="0"/>
    <w:rPr>
      <w:rFonts w:ascii="Times New Roman" w:hAnsi="Times New Roman" w:cs="Times New Roman"/>
      <w:kern w:val="2"/>
      <w:sz w:val="24"/>
    </w:rPr>
  </w:style>
  <w:style w:type="paragraph" w:styleId="39">
    <w:name w:val="HTML Preformatted"/>
    <w:basedOn w:val="1"/>
    <w:link w:val="27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40">
    <w:name w:val="Normal (Web)"/>
    <w:basedOn w:val="1"/>
    <w:qFormat/>
    <w:uiPriority w:val="0"/>
    <w:rPr>
      <w:sz w:val="24"/>
    </w:rPr>
  </w:style>
  <w:style w:type="paragraph" w:styleId="41">
    <w:name w:val="index 1"/>
    <w:basedOn w:val="1"/>
    <w:next w:val="1"/>
    <w:qFormat/>
    <w:uiPriority w:val="99"/>
    <w:rPr>
      <w:b/>
      <w:color w:val="0000FF"/>
      <w:sz w:val="24"/>
    </w:rPr>
  </w:style>
  <w:style w:type="paragraph" w:styleId="42">
    <w:name w:val="Title"/>
    <w:basedOn w:val="1"/>
    <w:link w:val="143"/>
    <w:qFormat/>
    <w:uiPriority w:val="0"/>
    <w:pPr>
      <w:spacing w:before="240" w:after="60"/>
      <w:jc w:val="center"/>
      <w:outlineLvl w:val="0"/>
    </w:pPr>
    <w:rPr>
      <w:rFonts w:ascii="Arial" w:hAnsi="Arial" w:cs="Times New Roman"/>
      <w:b/>
      <w:bCs/>
      <w:kern w:val="2"/>
      <w:sz w:val="36"/>
      <w:szCs w:val="32"/>
    </w:rPr>
  </w:style>
  <w:style w:type="paragraph" w:styleId="43">
    <w:name w:val="annotation subject"/>
    <w:basedOn w:val="18"/>
    <w:next w:val="18"/>
    <w:link w:val="258"/>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basedOn w:val="47"/>
    <w:qFormat/>
    <w:uiPriority w:val="0"/>
    <w:rPr>
      <w:rFonts w:hint="eastAsia" w:ascii="宋体" w:hAnsi="宋体" w:eastAsia="宋体" w:cs="宋体"/>
      <w:color w:val="0031C1"/>
      <w:sz w:val="18"/>
      <w:szCs w:val="18"/>
      <w:u w:val="none"/>
    </w:rPr>
  </w:style>
  <w:style w:type="character" w:styleId="51">
    <w:name w:val="Emphasis"/>
    <w:qFormat/>
    <w:uiPriority w:val="0"/>
    <w:rPr>
      <w:i/>
      <w:iCs/>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basedOn w:val="47"/>
    <w:qFormat/>
    <w:uiPriority w:val="99"/>
    <w:rPr>
      <w:rFonts w:hint="eastAsia" w:ascii="宋体" w:hAnsi="宋体" w:eastAsia="宋体" w:cs="宋体"/>
      <w:color w:val="0031C1"/>
      <w:sz w:val="18"/>
      <w:szCs w:val="18"/>
      <w:u w:val="none"/>
    </w:rPr>
  </w:style>
  <w:style w:type="character" w:styleId="56">
    <w:name w:val="HTML Code"/>
    <w:basedOn w:val="47"/>
    <w:qFormat/>
    <w:uiPriority w:val="0"/>
    <w:rPr>
      <w:rFonts w:ascii="Consolas" w:hAnsi="Consolas" w:eastAsia="Consolas" w:cs="Consolas"/>
      <w:color w:val="C7254E"/>
      <w:sz w:val="21"/>
      <w:szCs w:val="21"/>
      <w:shd w:val="clear" w:color="auto" w:fill="F9F2F4"/>
    </w:rPr>
  </w:style>
  <w:style w:type="character" w:styleId="57">
    <w:name w:val="annotation reference"/>
    <w:qFormat/>
    <w:uiPriority w:val="0"/>
    <w:rPr>
      <w:sz w:val="21"/>
      <w:szCs w:val="21"/>
    </w:rPr>
  </w:style>
  <w:style w:type="character" w:styleId="58">
    <w:name w:val="HTML Cite"/>
    <w:basedOn w:val="47"/>
    <w:qFormat/>
    <w:uiPriority w:val="0"/>
  </w:style>
  <w:style w:type="character" w:styleId="59">
    <w:name w:val="HTML Keyboard"/>
    <w:basedOn w:val="47"/>
    <w:qFormat/>
    <w:uiPriority w:val="0"/>
    <w:rPr>
      <w:rFonts w:hint="default" w:ascii="Consolas" w:hAnsi="Consolas" w:eastAsia="Consolas" w:cs="Consolas"/>
      <w:color w:val="FFFFFF"/>
      <w:sz w:val="21"/>
      <w:szCs w:val="21"/>
      <w:shd w:val="clear" w:color="auto" w:fill="333333"/>
    </w:rPr>
  </w:style>
  <w:style w:type="character" w:styleId="60">
    <w:name w:val="HTML Sample"/>
    <w:basedOn w:val="47"/>
    <w:qFormat/>
    <w:uiPriority w:val="0"/>
    <w:rPr>
      <w:rFonts w:hint="default" w:ascii="Consolas" w:hAnsi="Consolas" w:eastAsia="Consolas" w:cs="Consolas"/>
      <w:sz w:val="21"/>
      <w:szCs w:val="21"/>
    </w:rPr>
  </w:style>
  <w:style w:type="character" w:customStyle="1" w:styleId="61">
    <w:name w:val="标题 4 Char"/>
    <w:link w:val="4"/>
    <w:qFormat/>
    <w:uiPriority w:val="0"/>
    <w:rPr>
      <w:rFonts w:ascii="Arial" w:hAnsi="Arial" w:eastAsia="黑体"/>
      <w:b/>
      <w:bCs/>
      <w:kern w:val="2"/>
      <w:sz w:val="28"/>
      <w:szCs w:val="28"/>
      <w:lang w:val="en-US" w:eastAsia="zh-CN" w:bidi="ar-SA"/>
    </w:rPr>
  </w:style>
  <w:style w:type="paragraph" w:customStyle="1" w:styleId="62">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63">
    <w:name w:val="标题 3 Char1"/>
    <w:link w:val="3"/>
    <w:qFormat/>
    <w:uiPriority w:val="0"/>
    <w:rPr>
      <w:rFonts w:ascii="宋体" w:hAnsi="宋体"/>
      <w:b/>
      <w:bCs/>
      <w:kern w:val="2"/>
      <w:sz w:val="24"/>
      <w:szCs w:val="32"/>
      <w:shd w:val="clear" w:color="auto" w:fill="FFFFFF"/>
    </w:rPr>
  </w:style>
  <w:style w:type="character" w:customStyle="1" w:styleId="64">
    <w:name w:val="标题 1 Char"/>
    <w:link w:val="2"/>
    <w:qFormat/>
    <w:uiPriority w:val="0"/>
    <w:rPr>
      <w:rFonts w:ascii="宋体" w:hAnsi="宋体" w:eastAsia="黑体"/>
      <w:b/>
      <w:bCs/>
      <w:kern w:val="44"/>
      <w:sz w:val="28"/>
      <w:szCs w:val="28"/>
      <w:lang w:val="en-US" w:eastAsia="zh-CN" w:bidi="ar-SA"/>
    </w:rPr>
  </w:style>
  <w:style w:type="character" w:customStyle="1" w:styleId="65">
    <w:name w:val="正文缩进 Char"/>
    <w:link w:val="7"/>
    <w:qFormat/>
    <w:uiPriority w:val="0"/>
    <w:rPr>
      <w:rFonts w:eastAsia="宋体"/>
      <w:kern w:val="2"/>
      <w:sz w:val="21"/>
      <w:lang w:val="en-US" w:eastAsia="zh-CN" w:bidi="ar-SA"/>
    </w:rPr>
  </w:style>
  <w:style w:type="character" w:customStyle="1" w:styleId="66">
    <w:name w:val="标题 3 Char"/>
    <w:qFormat/>
    <w:uiPriority w:val="0"/>
    <w:rPr>
      <w:rFonts w:ascii="黑体" w:eastAsia="黑体"/>
      <w:bCs/>
      <w:sz w:val="30"/>
    </w:rPr>
  </w:style>
  <w:style w:type="paragraph" w:customStyle="1" w:styleId="67">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68">
    <w:name w:val="图"/>
    <w:basedOn w:val="1"/>
    <w:qFormat/>
    <w:uiPriority w:val="0"/>
    <w:pPr>
      <w:keepNext/>
      <w:spacing w:before="60" w:after="60" w:line="300" w:lineRule="auto"/>
      <w:jc w:val="center"/>
    </w:pPr>
    <w:rPr>
      <w:spacing w:val="20"/>
      <w:sz w:val="24"/>
      <w:szCs w:val="20"/>
    </w:rPr>
  </w:style>
  <w:style w:type="paragraph" w:customStyle="1" w:styleId="69">
    <w:name w:val="文档正文"/>
    <w:basedOn w:val="1"/>
    <w:qFormat/>
    <w:uiPriority w:val="0"/>
    <w:pPr>
      <w:spacing w:line="480" w:lineRule="atLeast"/>
      <w:ind w:firstLine="567" w:firstLineChars="200"/>
      <w:textAlignment w:val="baseline"/>
    </w:pPr>
    <w:rPr>
      <w:rFonts w:ascii="长城仿宋"/>
      <w:szCs w:val="20"/>
    </w:rPr>
  </w:style>
  <w:style w:type="paragraph" w:customStyle="1" w:styleId="70">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71">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72">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7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
    <w:name w:val="自定义正文"/>
    <w:basedOn w:val="1"/>
    <w:qFormat/>
    <w:uiPriority w:val="0"/>
    <w:pPr>
      <w:spacing w:afterLines="50"/>
      <w:ind w:left="600" w:leftChars="600"/>
    </w:pPr>
  </w:style>
  <w:style w:type="paragraph" w:customStyle="1" w:styleId="75">
    <w:name w:val="Char Char Char Char Char"/>
    <w:basedOn w:val="1"/>
    <w:qFormat/>
    <w:uiPriority w:val="0"/>
    <w:rPr>
      <w:rFonts w:ascii="Tahoma" w:hAnsi="Tahoma"/>
      <w:sz w:val="24"/>
      <w:szCs w:val="20"/>
    </w:rPr>
  </w:style>
  <w:style w:type="paragraph" w:customStyle="1" w:styleId="76">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77">
    <w:name w:val="Char Char"/>
    <w:basedOn w:val="1"/>
    <w:qFormat/>
    <w:uiPriority w:val="0"/>
    <w:rPr>
      <w:rFonts w:ascii="Tahoma" w:hAnsi="Tahoma"/>
      <w:sz w:val="24"/>
      <w:szCs w:val="20"/>
    </w:rPr>
  </w:style>
  <w:style w:type="paragraph" w:customStyle="1" w:styleId="78">
    <w:name w:val="È±Ê¡ÎÄ±¾"/>
    <w:basedOn w:val="1"/>
    <w:qFormat/>
    <w:uiPriority w:val="0"/>
    <w:pPr>
      <w:overflowPunct w:val="0"/>
      <w:autoSpaceDE w:val="0"/>
      <w:autoSpaceDN w:val="0"/>
      <w:jc w:val="left"/>
      <w:textAlignment w:val="baseline"/>
    </w:pPr>
    <w:rPr>
      <w:sz w:val="24"/>
      <w:szCs w:val="20"/>
    </w:rPr>
  </w:style>
  <w:style w:type="character" w:customStyle="1" w:styleId="79">
    <w:name w:val="批注文字 Char"/>
    <w:link w:val="18"/>
    <w:qFormat/>
    <w:uiPriority w:val="0"/>
    <w:rPr>
      <w:rFonts w:ascii="宋体" w:eastAsia="宋体"/>
      <w:sz w:val="34"/>
      <w:lang w:val="en-US" w:eastAsia="zh-CN" w:bidi="ar-SA"/>
    </w:rPr>
  </w:style>
  <w:style w:type="character" w:customStyle="1" w:styleId="80">
    <w:name w:val="纯文本 Char"/>
    <w:link w:val="24"/>
    <w:qFormat/>
    <w:uiPriority w:val="0"/>
    <w:rPr>
      <w:rFonts w:ascii="宋体" w:hAnsi="Courier New"/>
      <w:kern w:val="2"/>
      <w:sz w:val="21"/>
    </w:rPr>
  </w:style>
  <w:style w:type="character" w:customStyle="1" w:styleId="81">
    <w:name w:val="apple-converted-space"/>
    <w:basedOn w:val="47"/>
    <w:qFormat/>
    <w:uiPriority w:val="0"/>
  </w:style>
  <w:style w:type="paragraph" w:customStyle="1" w:styleId="82">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character" w:customStyle="1" w:styleId="83">
    <w:name w:val="副标题 Char"/>
    <w:link w:val="33"/>
    <w:qFormat/>
    <w:uiPriority w:val="0"/>
    <w:rPr>
      <w:rFonts w:ascii="Cambria" w:hAnsi="Cambria" w:cs="Times New Roman"/>
      <w:b/>
      <w:bCs/>
      <w:kern w:val="28"/>
      <w:sz w:val="28"/>
      <w:szCs w:val="32"/>
    </w:rPr>
  </w:style>
  <w:style w:type="paragraph" w:customStyle="1" w:styleId="84">
    <w:name w:val="Char Char Char"/>
    <w:basedOn w:val="1"/>
    <w:qFormat/>
    <w:uiPriority w:val="0"/>
    <w:rPr>
      <w:rFonts w:ascii="Tahoma" w:hAnsi="Tahoma"/>
      <w:sz w:val="24"/>
      <w:szCs w:val="20"/>
    </w:rPr>
  </w:style>
  <w:style w:type="paragraph" w:customStyle="1" w:styleId="85">
    <w:name w:val="列出段落1"/>
    <w:basedOn w:val="1"/>
    <w:link w:val="96"/>
    <w:qFormat/>
    <w:uiPriority w:val="0"/>
    <w:pPr>
      <w:ind w:firstLine="420" w:firstLineChars="200"/>
    </w:pPr>
    <w:rPr>
      <w:rFonts w:ascii="Times New Roman" w:hAnsi="Times New Roman" w:cs="Times New Roman"/>
      <w:kern w:val="2"/>
    </w:rPr>
  </w:style>
  <w:style w:type="character" w:customStyle="1" w:styleId="86">
    <w:name w:val="页眉 Char"/>
    <w:link w:val="30"/>
    <w:qFormat/>
    <w:uiPriority w:val="99"/>
    <w:rPr>
      <w:kern w:val="2"/>
      <w:sz w:val="18"/>
      <w:szCs w:val="18"/>
    </w:rPr>
  </w:style>
  <w:style w:type="paragraph" w:customStyle="1" w:styleId="87">
    <w:name w:val="Default"/>
    <w:link w:val="224"/>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88">
    <w:name w:val="主题"/>
    <w:basedOn w:val="1"/>
    <w:qFormat/>
    <w:uiPriority w:val="0"/>
  </w:style>
  <w:style w:type="paragraph" w:customStyle="1" w:styleId="89">
    <w:name w:val="默认段落字体 Para Char Char Char Char Char Char Char Char Char3 Char Char Char Char"/>
    <w:basedOn w:val="16"/>
    <w:qFormat/>
    <w:uiPriority w:val="0"/>
    <w:pPr>
      <w:spacing w:line="436" w:lineRule="exact"/>
      <w:ind w:left="357"/>
      <w:jc w:val="left"/>
      <w:outlineLvl w:val="3"/>
    </w:pPr>
    <w:rPr>
      <w:rFonts w:ascii="Tahoma" w:hAnsi="Tahoma"/>
      <w:b/>
      <w:sz w:val="24"/>
    </w:rPr>
  </w:style>
  <w:style w:type="paragraph" w:customStyle="1" w:styleId="90">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character" w:customStyle="1" w:styleId="91">
    <w:name w:val="日期 Char"/>
    <w:link w:val="26"/>
    <w:qFormat/>
    <w:uiPriority w:val="0"/>
    <w:rPr>
      <w:rFonts w:ascii="宋体" w:hAnsi="Courier New"/>
      <w:kern w:val="2"/>
      <w:sz w:val="32"/>
    </w:rPr>
  </w:style>
  <w:style w:type="paragraph" w:customStyle="1" w:styleId="92">
    <w:name w:val="表1黑体居中"/>
    <w:basedOn w:val="1"/>
    <w:qFormat/>
    <w:uiPriority w:val="0"/>
    <w:pPr>
      <w:ind w:firstLine="435"/>
      <w:jc w:val="center"/>
      <w:textAlignment w:val="baseline"/>
    </w:pPr>
    <w:rPr>
      <w:rFonts w:ascii="黑体" w:eastAsia="黑体"/>
      <w:szCs w:val="21"/>
    </w:rPr>
  </w:style>
  <w:style w:type="paragraph" w:customStyle="1" w:styleId="93">
    <w:name w:val="MaoC2"/>
    <w:basedOn w:val="1"/>
    <w:qFormat/>
    <w:uiPriority w:val="0"/>
    <w:pPr>
      <w:numPr>
        <w:ilvl w:val="1"/>
        <w:numId w:val="2"/>
      </w:numPr>
      <w:spacing w:line="480" w:lineRule="auto"/>
      <w:outlineLvl w:val="1"/>
    </w:pPr>
    <w:rPr>
      <w:rFonts w:ascii="黑体" w:eastAsia="黑体"/>
      <w:szCs w:val="20"/>
    </w:rPr>
  </w:style>
  <w:style w:type="paragraph" w:customStyle="1" w:styleId="94">
    <w:name w:val="图目录4"/>
    <w:basedOn w:val="1"/>
    <w:next w:val="1"/>
    <w:qFormat/>
    <w:uiPriority w:val="0"/>
    <w:pPr>
      <w:numPr>
        <w:ilvl w:val="0"/>
        <w:numId w:val="3"/>
      </w:numPr>
      <w:ind w:hanging="448"/>
      <w:jc w:val="center"/>
      <w:textAlignment w:val="baseline"/>
    </w:pPr>
    <w:rPr>
      <w:szCs w:val="20"/>
    </w:rPr>
  </w:style>
  <w:style w:type="paragraph" w:customStyle="1" w:styleId="95">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96">
    <w:name w:val="列出段落 Char"/>
    <w:link w:val="85"/>
    <w:qFormat/>
    <w:uiPriority w:val="0"/>
    <w:rPr>
      <w:kern w:val="2"/>
      <w:sz w:val="21"/>
      <w:szCs w:val="24"/>
    </w:rPr>
  </w:style>
  <w:style w:type="table" w:customStyle="1" w:styleId="97">
    <w:name w:val="Table Normal"/>
    <w:qFormat/>
    <w:uiPriority w:val="0"/>
    <w:pPr>
      <w:spacing w:line="360" w:lineRule="auto"/>
      <w:jc w:val="both"/>
    </w:pPr>
    <w:tblPr>
      <w:tblLayout w:type="fixed"/>
      <w:tblCellMar>
        <w:top w:w="0" w:type="dxa"/>
        <w:left w:w="0" w:type="dxa"/>
        <w:bottom w:w="0" w:type="dxa"/>
        <w:right w:w="0" w:type="dxa"/>
      </w:tblCellMar>
    </w:tblPr>
  </w:style>
  <w:style w:type="paragraph" w:customStyle="1" w:styleId="98">
    <w:name w:val="样式1"/>
    <w:basedOn w:val="1"/>
    <w:qFormat/>
    <w:uiPriority w:val="0"/>
    <w:pPr>
      <w:keepNext/>
      <w:keepLines/>
      <w:numPr>
        <w:ilvl w:val="0"/>
        <w:numId w:val="4"/>
      </w:numPr>
      <w:spacing w:before="340" w:after="330"/>
      <w:outlineLvl w:val="0"/>
    </w:pPr>
    <w:rPr>
      <w:b/>
      <w:kern w:val="44"/>
      <w:sz w:val="44"/>
      <w:szCs w:val="20"/>
    </w:rPr>
  </w:style>
  <w:style w:type="paragraph" w:customStyle="1" w:styleId="99">
    <w:name w:val="参数内容"/>
    <w:basedOn w:val="85"/>
    <w:qFormat/>
    <w:uiPriority w:val="0"/>
    <w:pPr>
      <w:numPr>
        <w:ilvl w:val="0"/>
        <w:numId w:val="5"/>
      </w:numPr>
      <w:ind w:firstLine="0" w:firstLineChars="0"/>
    </w:pPr>
    <w:rPr>
      <w:szCs w:val="18"/>
    </w:rPr>
  </w:style>
  <w:style w:type="paragraph" w:customStyle="1" w:styleId="100">
    <w:name w:val="标准正文"/>
    <w:basedOn w:val="21"/>
    <w:link w:val="101"/>
    <w:qFormat/>
    <w:uiPriority w:val="0"/>
    <w:pPr>
      <w:spacing w:before="60" w:after="60"/>
      <w:ind w:firstLine="482" w:firstLineChars="0"/>
      <w:jc w:val="left"/>
    </w:pPr>
    <w:rPr>
      <w:rFonts w:ascii="宋体" w:hAnsi="宋体"/>
      <w:kern w:val="0"/>
      <w:sz w:val="24"/>
      <w:szCs w:val="20"/>
    </w:rPr>
  </w:style>
  <w:style w:type="character" w:customStyle="1" w:styleId="101">
    <w:name w:val="标准正文 Char"/>
    <w:link w:val="100"/>
    <w:qFormat/>
    <w:uiPriority w:val="0"/>
    <w:rPr>
      <w:rFonts w:ascii="宋体" w:hAnsi="宋体" w:cs="宋体"/>
      <w:sz w:val="24"/>
    </w:rPr>
  </w:style>
  <w:style w:type="paragraph" w:customStyle="1" w:styleId="102">
    <w:name w:val="下级参数内容"/>
    <w:basedOn w:val="85"/>
    <w:qFormat/>
    <w:uiPriority w:val="0"/>
    <w:pPr>
      <w:numPr>
        <w:ilvl w:val="0"/>
        <w:numId w:val="6"/>
      </w:numPr>
      <w:ind w:left="1134" w:firstLine="0" w:firstLineChars="0"/>
    </w:pPr>
    <w:rPr>
      <w:rFonts w:ascii="仿宋" w:hAnsi="仿宋"/>
    </w:rPr>
  </w:style>
  <w:style w:type="paragraph" w:customStyle="1" w:styleId="103">
    <w:name w:val="Char Char Char1"/>
    <w:basedOn w:val="1"/>
    <w:qFormat/>
    <w:uiPriority w:val="0"/>
    <w:rPr>
      <w:rFonts w:ascii="Tahoma" w:hAnsi="Tahoma"/>
      <w:sz w:val="24"/>
      <w:szCs w:val="20"/>
    </w:rPr>
  </w:style>
  <w:style w:type="paragraph" w:customStyle="1" w:styleId="104">
    <w:name w:val="Char Char10 Char Char"/>
    <w:basedOn w:val="16"/>
    <w:qFormat/>
    <w:uiPriority w:val="0"/>
    <w:rPr>
      <w:rFonts w:ascii="Tahoma" w:hAnsi="Tahoma"/>
      <w:sz w:val="24"/>
    </w:rPr>
  </w:style>
  <w:style w:type="paragraph" w:customStyle="1" w:styleId="105">
    <w:name w:val="_Style 95"/>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06">
    <w:name w:val="font5"/>
    <w:basedOn w:val="1"/>
    <w:qFormat/>
    <w:uiPriority w:val="0"/>
    <w:pPr>
      <w:spacing w:before="100" w:beforeAutospacing="1" w:after="100" w:afterAutospacing="1"/>
      <w:jc w:val="left"/>
    </w:pPr>
    <w:rPr>
      <w:sz w:val="18"/>
      <w:szCs w:val="18"/>
    </w:rPr>
  </w:style>
  <w:style w:type="paragraph" w:customStyle="1" w:styleId="107">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08">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09">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10">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11">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12">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113">
    <w:name w:val="样式2"/>
    <w:basedOn w:val="2"/>
    <w:qFormat/>
    <w:uiPriority w:val="0"/>
    <w:pPr>
      <w:keepNext/>
      <w:keepLines/>
      <w:spacing w:before="0" w:after="0" w:line="578" w:lineRule="auto"/>
      <w:ind w:left="1200" w:hanging="420"/>
      <w:jc w:val="both"/>
    </w:pPr>
    <w:rPr>
      <w:rFonts w:eastAsia="宋体"/>
      <w:szCs w:val="44"/>
    </w:rPr>
  </w:style>
  <w:style w:type="paragraph" w:customStyle="1" w:styleId="114">
    <w:name w:val="样式3"/>
    <w:basedOn w:val="1"/>
    <w:qFormat/>
    <w:uiPriority w:val="0"/>
    <w:pPr>
      <w:ind w:left="1620" w:hanging="420"/>
      <w:outlineLvl w:val="2"/>
    </w:pPr>
    <w:rPr>
      <w:b/>
    </w:rPr>
  </w:style>
  <w:style w:type="paragraph" w:customStyle="1" w:styleId="115">
    <w:name w:val="样式4"/>
    <w:basedOn w:val="85"/>
    <w:qFormat/>
    <w:uiPriority w:val="0"/>
    <w:pPr>
      <w:ind w:left="2040" w:firstLine="0" w:firstLineChars="0"/>
      <w:jc w:val="left"/>
      <w:outlineLvl w:val="3"/>
    </w:pPr>
    <w:rPr>
      <w:rFonts w:ascii="宋体" w:hAnsi="宋体"/>
    </w:rPr>
  </w:style>
  <w:style w:type="character" w:customStyle="1" w:styleId="116">
    <w:name w:val="页脚 Char"/>
    <w:link w:val="29"/>
    <w:qFormat/>
    <w:uiPriority w:val="99"/>
    <w:rPr>
      <w:kern w:val="2"/>
      <w:sz w:val="18"/>
      <w:szCs w:val="18"/>
    </w:rPr>
  </w:style>
  <w:style w:type="character" w:customStyle="1" w:styleId="117">
    <w:name w:val="批注框文本 Char"/>
    <w:link w:val="28"/>
    <w:qFormat/>
    <w:uiPriority w:val="0"/>
    <w:rPr>
      <w:kern w:val="2"/>
      <w:sz w:val="18"/>
      <w:szCs w:val="18"/>
    </w:rPr>
  </w:style>
  <w:style w:type="character" w:customStyle="1" w:styleId="118">
    <w:name w:val="文档结构图 Char"/>
    <w:link w:val="16"/>
    <w:qFormat/>
    <w:uiPriority w:val="0"/>
    <w:rPr>
      <w:kern w:val="2"/>
      <w:sz w:val="21"/>
      <w:szCs w:val="24"/>
      <w:shd w:val="clear" w:color="auto" w:fill="000080"/>
    </w:rPr>
  </w:style>
  <w:style w:type="paragraph" w:customStyle="1" w:styleId="119">
    <w:name w:val="p0"/>
    <w:basedOn w:val="1"/>
    <w:qFormat/>
    <w:uiPriority w:val="0"/>
    <w:rPr>
      <w:rFonts w:ascii="Calibri" w:hAnsi="Calibri"/>
      <w:szCs w:val="21"/>
    </w:rPr>
  </w:style>
  <w:style w:type="paragraph" w:customStyle="1" w:styleId="120">
    <w:name w:val="图标题"/>
    <w:basedOn w:val="1"/>
    <w:link w:val="124"/>
    <w:qFormat/>
    <w:uiPriority w:val="0"/>
    <w:pPr>
      <w:jc w:val="center"/>
    </w:pPr>
    <w:rPr>
      <w:rFonts w:cs="Times New Roman"/>
      <w:kern w:val="2"/>
    </w:rPr>
  </w:style>
  <w:style w:type="paragraph" w:customStyle="1" w:styleId="121">
    <w:name w:val="表标题"/>
    <w:basedOn w:val="1"/>
    <w:qFormat/>
    <w:uiPriority w:val="0"/>
    <w:pPr>
      <w:jc w:val="center"/>
    </w:pPr>
    <w:rPr>
      <w:rFonts w:eastAsia="黑体"/>
      <w:b/>
    </w:rPr>
  </w:style>
  <w:style w:type="paragraph" w:customStyle="1" w:styleId="122">
    <w:name w:val="正文-1级标题-1"/>
    <w:basedOn w:val="1"/>
    <w:next w:val="1"/>
    <w:qFormat/>
    <w:uiPriority w:val="0"/>
    <w:pPr>
      <w:keepNext/>
      <w:numPr>
        <w:ilvl w:val="0"/>
        <w:numId w:val="7"/>
      </w:numPr>
      <w:spacing w:beforeLines="30" w:afterLines="30"/>
      <w:ind w:firstLine="0"/>
    </w:pPr>
    <w:rPr>
      <w:b/>
      <w:sz w:val="24"/>
      <w:szCs w:val="28"/>
      <w:lang w:val="en-GB"/>
    </w:rPr>
  </w:style>
  <w:style w:type="paragraph" w:customStyle="1" w:styleId="123">
    <w:name w:val="正文-1级列表-(1)"/>
    <w:basedOn w:val="1"/>
    <w:qFormat/>
    <w:uiPriority w:val="0"/>
    <w:pPr>
      <w:numPr>
        <w:ilvl w:val="1"/>
        <w:numId w:val="7"/>
      </w:numPr>
      <w:ind w:firstLine="0"/>
    </w:pPr>
    <w:rPr>
      <w:sz w:val="24"/>
      <w:lang w:val="en-GB"/>
    </w:rPr>
  </w:style>
  <w:style w:type="character" w:customStyle="1" w:styleId="124">
    <w:name w:val="图标题 Char"/>
    <w:link w:val="120"/>
    <w:qFormat/>
    <w:uiPriority w:val="0"/>
    <w:rPr>
      <w:rFonts w:ascii="宋体" w:hAnsi="宋体"/>
      <w:kern w:val="2"/>
      <w:sz w:val="21"/>
      <w:szCs w:val="24"/>
    </w:rPr>
  </w:style>
  <w:style w:type="character" w:customStyle="1" w:styleId="125">
    <w:name w:val="标题 5 Char"/>
    <w:link w:val="6"/>
    <w:qFormat/>
    <w:uiPriority w:val="0"/>
    <w:rPr>
      <w:b/>
      <w:kern w:val="2"/>
      <w:sz w:val="24"/>
    </w:rPr>
  </w:style>
  <w:style w:type="character" w:customStyle="1" w:styleId="126">
    <w:name w:val="标题 6 Char"/>
    <w:link w:val="8"/>
    <w:qFormat/>
    <w:uiPriority w:val="0"/>
    <w:rPr>
      <w:rFonts w:ascii="Arial" w:hAnsi="Arial" w:eastAsia="黑体"/>
      <w:b/>
      <w:kern w:val="2"/>
      <w:sz w:val="24"/>
    </w:rPr>
  </w:style>
  <w:style w:type="character" w:customStyle="1" w:styleId="127">
    <w:name w:val="标题 7 Char"/>
    <w:link w:val="9"/>
    <w:qFormat/>
    <w:uiPriority w:val="0"/>
    <w:rPr>
      <w:b/>
      <w:kern w:val="2"/>
      <w:sz w:val="24"/>
    </w:rPr>
  </w:style>
  <w:style w:type="character" w:customStyle="1" w:styleId="128">
    <w:name w:val="标题 8 Char"/>
    <w:link w:val="10"/>
    <w:qFormat/>
    <w:uiPriority w:val="0"/>
    <w:rPr>
      <w:rFonts w:ascii="Arial" w:hAnsi="Arial" w:eastAsia="黑体"/>
      <w:kern w:val="2"/>
      <w:sz w:val="24"/>
    </w:rPr>
  </w:style>
  <w:style w:type="character" w:customStyle="1" w:styleId="129">
    <w:name w:val="标题 9 Char"/>
    <w:link w:val="11"/>
    <w:qFormat/>
    <w:uiPriority w:val="0"/>
    <w:rPr>
      <w:rFonts w:ascii="Arial" w:hAnsi="Arial" w:eastAsia="黑体"/>
      <w:kern w:val="2"/>
      <w:sz w:val="21"/>
    </w:rPr>
  </w:style>
  <w:style w:type="paragraph" w:customStyle="1" w:styleId="130">
    <w:name w:val="样式 标题 1 + 段前: 0.5 行 段后: 0.5 行"/>
    <w:basedOn w:val="2"/>
    <w:qFormat/>
    <w:uiPriority w:val="0"/>
    <w:pPr>
      <w:keepNext/>
      <w:keepLines/>
      <w:numPr>
        <w:ilvl w:val="0"/>
        <w:numId w:val="8"/>
      </w:numPr>
      <w:spacing w:beforeLines="50" w:afterLines="50" w:line="578" w:lineRule="auto"/>
      <w:ind w:left="0" w:firstLine="0"/>
      <w:jc w:val="both"/>
    </w:pPr>
    <w:rPr>
      <w:rFonts w:ascii="Times New Roman" w:hAnsi="Times New Roman" w:eastAsia="宋体" w:cs="宋体"/>
      <w:sz w:val="44"/>
      <w:szCs w:val="20"/>
    </w:rPr>
  </w:style>
  <w:style w:type="paragraph" w:customStyle="1" w:styleId="131">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132">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133">
    <w:name w:val="￥正文"/>
    <w:basedOn w:val="1"/>
    <w:link w:val="134"/>
    <w:qFormat/>
    <w:uiPriority w:val="0"/>
    <w:pPr>
      <w:ind w:firstLine="200" w:firstLineChars="200"/>
    </w:pPr>
    <w:rPr>
      <w:rFonts w:ascii="Calibri" w:hAnsi="Calibri" w:cs="Times New Roman"/>
      <w:kern w:val="2"/>
      <w:sz w:val="24"/>
      <w:szCs w:val="20"/>
    </w:rPr>
  </w:style>
  <w:style w:type="character" w:customStyle="1" w:styleId="134">
    <w:name w:val="￥正文 Char"/>
    <w:link w:val="133"/>
    <w:qFormat/>
    <w:uiPriority w:val="0"/>
    <w:rPr>
      <w:rFonts w:ascii="Calibri" w:hAnsi="Calibri"/>
      <w:kern w:val="2"/>
      <w:sz w:val="24"/>
    </w:rPr>
  </w:style>
  <w:style w:type="paragraph" w:customStyle="1" w:styleId="135">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136">
    <w:name w:val="!项目ALT+P"/>
    <w:basedOn w:val="1"/>
    <w:qFormat/>
    <w:uiPriority w:val="0"/>
    <w:pPr>
      <w:numPr>
        <w:ilvl w:val="0"/>
        <w:numId w:val="9"/>
      </w:numPr>
      <w:spacing w:line="320" w:lineRule="atLeast"/>
      <w:ind w:firstLine="0"/>
      <w:textAlignment w:val="baseline"/>
    </w:pPr>
    <w:rPr>
      <w:szCs w:val="21"/>
    </w:rPr>
  </w:style>
  <w:style w:type="paragraph" w:customStyle="1" w:styleId="137">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138">
    <w:name w:val="正文内容"/>
    <w:basedOn w:val="1"/>
    <w:next w:val="16"/>
    <w:link w:val="139"/>
    <w:qFormat/>
    <w:uiPriority w:val="0"/>
    <w:rPr>
      <w:rFonts w:ascii="Times New Roman" w:hAnsi="Times New Roman" w:cs="Times New Roman"/>
      <w:sz w:val="20"/>
    </w:rPr>
  </w:style>
  <w:style w:type="character" w:customStyle="1" w:styleId="139">
    <w:name w:val="正文内容 Char"/>
    <w:link w:val="138"/>
    <w:qFormat/>
    <w:uiPriority w:val="0"/>
    <w:rPr>
      <w:szCs w:val="24"/>
    </w:rPr>
  </w:style>
  <w:style w:type="paragraph" w:customStyle="1" w:styleId="140">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41">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42">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character" w:customStyle="1" w:styleId="143">
    <w:name w:val="标题 Char"/>
    <w:link w:val="42"/>
    <w:qFormat/>
    <w:uiPriority w:val="0"/>
    <w:rPr>
      <w:rFonts w:ascii="Arial" w:hAnsi="Arial" w:cs="Arial"/>
      <w:b/>
      <w:bCs/>
      <w:kern w:val="2"/>
      <w:sz w:val="36"/>
      <w:szCs w:val="32"/>
    </w:rPr>
  </w:style>
  <w:style w:type="paragraph" w:customStyle="1" w:styleId="144">
    <w:name w:val="正文Land"/>
    <w:basedOn w:val="1"/>
    <w:qFormat/>
    <w:uiPriority w:val="0"/>
    <w:pPr>
      <w:spacing w:beforeLines="20" w:afterLines="50"/>
      <w:ind w:firstLine="200" w:firstLineChars="200"/>
    </w:pPr>
    <w:rPr>
      <w:color w:val="000000"/>
      <w:sz w:val="24"/>
    </w:rPr>
  </w:style>
  <w:style w:type="paragraph" w:customStyle="1" w:styleId="145">
    <w:name w:val="样式5"/>
    <w:basedOn w:val="1"/>
    <w:qFormat/>
    <w:uiPriority w:val="0"/>
    <w:pPr>
      <w:numPr>
        <w:ilvl w:val="0"/>
        <w:numId w:val="11"/>
      </w:numPr>
      <w:spacing w:beforeLines="50" w:afterLines="50"/>
      <w:ind w:firstLine="0"/>
    </w:pPr>
    <w:rPr>
      <w:rFonts w:eastAsia="仿宋_GB2312"/>
      <w:color w:val="000000"/>
      <w:sz w:val="24"/>
    </w:rPr>
  </w:style>
  <w:style w:type="paragraph" w:customStyle="1" w:styleId="146">
    <w:name w:val="font6"/>
    <w:basedOn w:val="1"/>
    <w:qFormat/>
    <w:uiPriority w:val="0"/>
    <w:pPr>
      <w:spacing w:beforeAutospacing="1" w:afterAutospacing="1"/>
      <w:jc w:val="left"/>
    </w:pPr>
    <w:rPr>
      <w:sz w:val="18"/>
      <w:szCs w:val="18"/>
    </w:rPr>
  </w:style>
  <w:style w:type="paragraph" w:customStyle="1" w:styleId="147">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48">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49">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50">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51">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52">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53">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54">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55">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56">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5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58">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159">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160">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161">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162">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6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164">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165">
    <w:name w:val="xl87"/>
    <w:basedOn w:val="1"/>
    <w:qFormat/>
    <w:uiPriority w:val="0"/>
    <w:pPr>
      <w:spacing w:beforeAutospacing="1" w:afterAutospacing="1"/>
      <w:jc w:val="left"/>
    </w:pPr>
    <w:rPr>
      <w:sz w:val="24"/>
    </w:rPr>
  </w:style>
  <w:style w:type="paragraph" w:customStyle="1" w:styleId="166">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167">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68">
    <w:name w:val="Bulleted Items--Level 2"/>
    <w:basedOn w:val="1"/>
    <w:qFormat/>
    <w:uiPriority w:val="0"/>
    <w:pPr>
      <w:numPr>
        <w:ilvl w:val="0"/>
        <w:numId w:val="12"/>
      </w:numPr>
      <w:tabs>
        <w:tab w:val="clear" w:pos="360"/>
      </w:tabs>
      <w:spacing w:line="280" w:lineRule="exact"/>
      <w:ind w:left="2520" w:firstLine="0"/>
    </w:pPr>
    <w:rPr>
      <w:color w:val="000000"/>
      <w:sz w:val="22"/>
      <w:szCs w:val="20"/>
      <w:lang w:eastAsia="en-US"/>
    </w:rPr>
  </w:style>
  <w:style w:type="paragraph" w:customStyle="1" w:styleId="169">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170">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171">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172">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73">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174">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175">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176">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177">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178">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179">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180">
    <w:name w:val="xl101"/>
    <w:basedOn w:val="1"/>
    <w:qFormat/>
    <w:uiPriority w:val="0"/>
    <w:pPr>
      <w:spacing w:beforeAutospacing="1" w:afterAutospacing="1"/>
      <w:jc w:val="left"/>
      <w:textAlignment w:val="center"/>
    </w:pPr>
    <w:rPr>
      <w:color w:val="FF0000"/>
      <w:sz w:val="20"/>
      <w:szCs w:val="20"/>
    </w:rPr>
  </w:style>
  <w:style w:type="paragraph" w:customStyle="1" w:styleId="181">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182">
    <w:name w:val="xl103"/>
    <w:basedOn w:val="1"/>
    <w:qFormat/>
    <w:uiPriority w:val="0"/>
    <w:pPr>
      <w:spacing w:beforeAutospacing="1" w:afterAutospacing="1"/>
      <w:jc w:val="left"/>
      <w:textAlignment w:val="center"/>
    </w:pPr>
    <w:rPr>
      <w:color w:val="FF0000"/>
      <w:sz w:val="22"/>
      <w:szCs w:val="22"/>
    </w:rPr>
  </w:style>
  <w:style w:type="paragraph" w:customStyle="1" w:styleId="183">
    <w:name w:val="xl104"/>
    <w:basedOn w:val="1"/>
    <w:qFormat/>
    <w:uiPriority w:val="0"/>
    <w:pPr>
      <w:spacing w:beforeAutospacing="1" w:afterAutospacing="1"/>
      <w:jc w:val="center"/>
    </w:pPr>
    <w:rPr>
      <w:sz w:val="24"/>
    </w:rPr>
  </w:style>
  <w:style w:type="paragraph" w:customStyle="1" w:styleId="18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18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186">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187">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18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189">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190">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191">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2">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193">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194">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5">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196">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197">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19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199">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200">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201">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202">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03">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204">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0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07">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08">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09">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1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1">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2">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213">
    <w:name w:val="样式 首行缩进:  0 字符"/>
    <w:basedOn w:val="1"/>
    <w:qFormat/>
    <w:uiPriority w:val="0"/>
    <w:pPr>
      <w:ind w:firstLine="200" w:firstLineChars="200"/>
    </w:pPr>
    <w:rPr>
      <w:sz w:val="24"/>
      <w:szCs w:val="20"/>
    </w:rPr>
  </w:style>
  <w:style w:type="paragraph" w:customStyle="1" w:styleId="214">
    <w:name w:val="5"/>
    <w:basedOn w:val="1"/>
    <w:qFormat/>
    <w:uiPriority w:val="0"/>
    <w:pPr>
      <w:ind w:firstLine="200" w:firstLineChars="200"/>
      <w:jc w:val="left"/>
    </w:pPr>
    <w:rPr>
      <w:sz w:val="24"/>
    </w:rPr>
  </w:style>
  <w:style w:type="paragraph" w:customStyle="1" w:styleId="215">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16">
    <w:name w:val="附件标题"/>
    <w:basedOn w:val="1"/>
    <w:qFormat/>
    <w:uiPriority w:val="0"/>
    <w:pPr>
      <w:ind w:firstLine="200" w:firstLineChars="200"/>
      <w:jc w:val="center"/>
    </w:pPr>
    <w:rPr>
      <w:rFonts w:ascii="Arial" w:hAnsi="Arial" w:eastAsia="黑体"/>
      <w:sz w:val="24"/>
    </w:rPr>
  </w:style>
  <w:style w:type="paragraph" w:customStyle="1" w:styleId="217">
    <w:name w:val="附件(1)"/>
    <w:basedOn w:val="1"/>
    <w:qFormat/>
    <w:uiPriority w:val="0"/>
    <w:pPr>
      <w:numPr>
        <w:ilvl w:val="0"/>
        <w:numId w:val="13"/>
      </w:numPr>
      <w:ind w:firstLine="200" w:firstLineChars="200"/>
    </w:pPr>
    <w:rPr>
      <w:sz w:val="24"/>
    </w:rPr>
  </w:style>
  <w:style w:type="paragraph" w:customStyle="1" w:styleId="218">
    <w:name w:val="附件1."/>
    <w:basedOn w:val="2"/>
    <w:qFormat/>
    <w:uiPriority w:val="0"/>
    <w:pPr>
      <w:tabs>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219">
    <w:name w:val="附件圈"/>
    <w:basedOn w:val="217"/>
    <w:qFormat/>
    <w:uiPriority w:val="0"/>
    <w:pPr>
      <w:numPr>
        <w:numId w:val="0"/>
      </w:numPr>
      <w:tabs>
        <w:tab w:val="clear" w:pos="426"/>
      </w:tabs>
      <w:ind w:firstLine="420" w:firstLineChars="200"/>
    </w:pPr>
  </w:style>
  <w:style w:type="character" w:customStyle="1" w:styleId="220">
    <w:name w:val="正文文本缩进 2 Char"/>
    <w:link w:val="27"/>
    <w:qFormat/>
    <w:uiPriority w:val="0"/>
    <w:rPr>
      <w:rFonts w:ascii="宋体" w:hAnsi="宋体"/>
      <w:kern w:val="2"/>
      <w:sz w:val="21"/>
      <w:szCs w:val="24"/>
    </w:rPr>
  </w:style>
  <w:style w:type="character" w:customStyle="1" w:styleId="221">
    <w:name w:val="正文文本缩进 Char"/>
    <w:link w:val="21"/>
    <w:qFormat/>
    <w:uiPriority w:val="0"/>
    <w:rPr>
      <w:kern w:val="2"/>
      <w:sz w:val="21"/>
      <w:szCs w:val="24"/>
    </w:rPr>
  </w:style>
  <w:style w:type="paragraph" w:customStyle="1" w:styleId="222">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223">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character" w:customStyle="1" w:styleId="224">
    <w:name w:val="Default Char"/>
    <w:link w:val="87"/>
    <w:qFormat/>
    <w:uiPriority w:val="0"/>
    <w:rPr>
      <w:rFonts w:ascii="宋体" w:hAnsi="Calibri"/>
      <w:color w:val="000000"/>
      <w:sz w:val="24"/>
      <w:szCs w:val="24"/>
      <w:lang w:bidi="ar-SA"/>
    </w:rPr>
  </w:style>
  <w:style w:type="paragraph" w:customStyle="1" w:styleId="225">
    <w:name w:val="CM51"/>
    <w:basedOn w:val="87"/>
    <w:next w:val="87"/>
    <w:qFormat/>
    <w:uiPriority w:val="0"/>
    <w:pPr>
      <w:spacing w:after="103"/>
    </w:pPr>
    <w:rPr>
      <w:rFonts w:ascii="黑体" w:eastAsia="黑体"/>
      <w:color w:val="auto"/>
    </w:rPr>
  </w:style>
  <w:style w:type="paragraph" w:customStyle="1" w:styleId="226">
    <w:name w:val="pan"/>
    <w:basedOn w:val="85"/>
    <w:link w:val="227"/>
    <w:qFormat/>
    <w:uiPriority w:val="0"/>
    <w:pPr>
      <w:numPr>
        <w:ilvl w:val="0"/>
        <w:numId w:val="14"/>
      </w:numPr>
      <w:tabs>
        <w:tab w:val="left" w:pos="840"/>
      </w:tabs>
      <w:ind w:left="840" w:hanging="420" w:firstLineChars="0"/>
      <w:outlineLvl w:val="0"/>
    </w:pPr>
    <w:rPr>
      <w:rFonts w:ascii="黑体" w:hAnsi="黑体" w:eastAsia="黑体"/>
      <w:sz w:val="32"/>
      <w:szCs w:val="32"/>
    </w:rPr>
  </w:style>
  <w:style w:type="character" w:customStyle="1" w:styleId="227">
    <w:name w:val="pan Char"/>
    <w:link w:val="226"/>
    <w:qFormat/>
    <w:uiPriority w:val="0"/>
    <w:rPr>
      <w:rFonts w:ascii="黑体" w:hAnsi="黑体" w:eastAsia="黑体"/>
      <w:kern w:val="2"/>
      <w:sz w:val="32"/>
      <w:szCs w:val="32"/>
      <w:shd w:val="clear" w:color="auto" w:fill="FFFFFF"/>
    </w:rPr>
  </w:style>
  <w:style w:type="paragraph" w:customStyle="1" w:styleId="228">
    <w:name w:val="pan2"/>
    <w:basedOn w:val="85"/>
    <w:link w:val="229"/>
    <w:qFormat/>
    <w:uiPriority w:val="0"/>
    <w:pPr>
      <w:numPr>
        <w:ilvl w:val="1"/>
        <w:numId w:val="14"/>
      </w:numPr>
      <w:tabs>
        <w:tab w:val="left" w:pos="840"/>
      </w:tabs>
      <w:ind w:left="840" w:hanging="420" w:firstLineChars="0"/>
      <w:outlineLvl w:val="1"/>
    </w:pPr>
    <w:rPr>
      <w:rFonts w:ascii="黑体" w:hAnsi="黑体" w:eastAsia="黑体"/>
      <w:sz w:val="30"/>
      <w:szCs w:val="30"/>
    </w:rPr>
  </w:style>
  <w:style w:type="character" w:customStyle="1" w:styleId="229">
    <w:name w:val="pan2 Char"/>
    <w:link w:val="228"/>
    <w:qFormat/>
    <w:uiPriority w:val="0"/>
    <w:rPr>
      <w:rFonts w:ascii="黑体" w:hAnsi="黑体" w:eastAsia="黑体"/>
      <w:kern w:val="2"/>
      <w:sz w:val="30"/>
      <w:szCs w:val="30"/>
      <w:shd w:val="clear" w:color="auto" w:fill="FFFFFF"/>
    </w:rPr>
  </w:style>
  <w:style w:type="paragraph" w:customStyle="1" w:styleId="230">
    <w:name w:val="pan3"/>
    <w:basedOn w:val="85"/>
    <w:link w:val="231"/>
    <w:qFormat/>
    <w:uiPriority w:val="0"/>
    <w:pPr>
      <w:numPr>
        <w:ilvl w:val="2"/>
        <w:numId w:val="14"/>
      </w:numPr>
      <w:tabs>
        <w:tab w:val="left" w:pos="1260"/>
      </w:tabs>
      <w:ind w:left="1260" w:hanging="420" w:firstLineChars="0"/>
      <w:outlineLvl w:val="2"/>
    </w:pPr>
    <w:rPr>
      <w:rFonts w:ascii="黑体" w:hAnsi="黑体" w:eastAsia="黑体"/>
      <w:sz w:val="28"/>
      <w:szCs w:val="28"/>
    </w:rPr>
  </w:style>
  <w:style w:type="character" w:customStyle="1" w:styleId="231">
    <w:name w:val="pan3 Char"/>
    <w:link w:val="230"/>
    <w:qFormat/>
    <w:uiPriority w:val="0"/>
    <w:rPr>
      <w:rFonts w:ascii="黑体" w:hAnsi="黑体" w:eastAsia="黑体"/>
      <w:kern w:val="2"/>
      <w:sz w:val="28"/>
      <w:szCs w:val="28"/>
      <w:shd w:val="clear" w:color="auto" w:fill="FFFFFF"/>
    </w:rPr>
  </w:style>
  <w:style w:type="paragraph" w:customStyle="1" w:styleId="232">
    <w:name w:val="pan4"/>
    <w:basedOn w:val="85"/>
    <w:link w:val="233"/>
    <w:qFormat/>
    <w:uiPriority w:val="0"/>
    <w:pPr>
      <w:numPr>
        <w:ilvl w:val="3"/>
        <w:numId w:val="14"/>
      </w:numPr>
      <w:tabs>
        <w:tab w:val="left" w:pos="1680"/>
      </w:tabs>
      <w:ind w:left="1680" w:hanging="420" w:firstLineChars="0"/>
      <w:outlineLvl w:val="3"/>
    </w:pPr>
    <w:rPr>
      <w:rFonts w:ascii="黑体" w:hAnsi="黑体" w:eastAsia="黑体"/>
      <w:sz w:val="28"/>
      <w:szCs w:val="28"/>
    </w:rPr>
  </w:style>
  <w:style w:type="character" w:customStyle="1" w:styleId="233">
    <w:name w:val="pan4 Char"/>
    <w:link w:val="232"/>
    <w:qFormat/>
    <w:uiPriority w:val="0"/>
    <w:rPr>
      <w:rFonts w:ascii="黑体" w:hAnsi="黑体" w:eastAsia="黑体"/>
      <w:kern w:val="2"/>
      <w:sz w:val="28"/>
      <w:szCs w:val="28"/>
      <w:shd w:val="clear" w:color="auto" w:fill="FFFFFF"/>
    </w:rPr>
  </w:style>
  <w:style w:type="paragraph" w:customStyle="1" w:styleId="234">
    <w:name w:val="pan5"/>
    <w:basedOn w:val="85"/>
    <w:link w:val="235"/>
    <w:qFormat/>
    <w:uiPriority w:val="0"/>
    <w:pPr>
      <w:numPr>
        <w:ilvl w:val="4"/>
        <w:numId w:val="14"/>
      </w:numPr>
      <w:tabs>
        <w:tab w:val="left" w:pos="1008"/>
      </w:tabs>
      <w:ind w:left="1008" w:hanging="1008" w:firstLineChars="0"/>
      <w:outlineLvl w:val="4"/>
    </w:pPr>
    <w:rPr>
      <w:rFonts w:ascii="黑体" w:hAnsi="黑体" w:eastAsia="黑体"/>
      <w:sz w:val="24"/>
    </w:rPr>
  </w:style>
  <w:style w:type="character" w:customStyle="1" w:styleId="235">
    <w:name w:val="pan5 Char"/>
    <w:link w:val="234"/>
    <w:qFormat/>
    <w:uiPriority w:val="0"/>
    <w:rPr>
      <w:rFonts w:ascii="黑体" w:hAnsi="黑体" w:eastAsia="黑体"/>
      <w:kern w:val="2"/>
      <w:sz w:val="24"/>
      <w:szCs w:val="24"/>
      <w:shd w:val="clear" w:color="auto" w:fill="FFFFFF"/>
    </w:rPr>
  </w:style>
  <w:style w:type="paragraph" w:customStyle="1" w:styleId="236">
    <w:name w:val="一级标题"/>
    <w:basedOn w:val="85"/>
    <w:link w:val="238"/>
    <w:qFormat/>
    <w:uiPriority w:val="0"/>
    <w:pPr>
      <w:numPr>
        <w:ilvl w:val="0"/>
        <w:numId w:val="15"/>
      </w:numPr>
      <w:spacing w:line="720" w:lineRule="auto"/>
      <w:ind w:firstLineChars="0"/>
      <w:jc w:val="center"/>
      <w:outlineLvl w:val="0"/>
    </w:pPr>
    <w:rPr>
      <w:rFonts w:ascii="黑体" w:hAnsi="黑体" w:eastAsia="黑体"/>
      <w:sz w:val="44"/>
      <w:szCs w:val="44"/>
    </w:rPr>
  </w:style>
  <w:style w:type="paragraph" w:customStyle="1" w:styleId="237">
    <w:name w:val="二级标题"/>
    <w:basedOn w:val="85"/>
    <w:link w:val="240"/>
    <w:qFormat/>
    <w:uiPriority w:val="0"/>
    <w:pPr>
      <w:numPr>
        <w:ilvl w:val="1"/>
        <w:numId w:val="15"/>
      </w:numPr>
      <w:spacing w:line="720" w:lineRule="auto"/>
      <w:ind w:firstLineChars="0"/>
      <w:outlineLvl w:val="1"/>
    </w:pPr>
    <w:rPr>
      <w:rFonts w:ascii="黑体" w:hAnsi="黑体" w:eastAsia="黑体"/>
      <w:sz w:val="36"/>
      <w:szCs w:val="36"/>
    </w:rPr>
  </w:style>
  <w:style w:type="character" w:customStyle="1" w:styleId="238">
    <w:name w:val="一级标题 Char"/>
    <w:link w:val="236"/>
    <w:qFormat/>
    <w:uiPriority w:val="0"/>
    <w:rPr>
      <w:rFonts w:ascii="黑体" w:hAnsi="黑体" w:eastAsia="黑体"/>
      <w:kern w:val="2"/>
      <w:sz w:val="44"/>
      <w:szCs w:val="44"/>
      <w:shd w:val="clear" w:color="auto" w:fill="FFFFFF"/>
    </w:rPr>
  </w:style>
  <w:style w:type="paragraph" w:customStyle="1" w:styleId="239">
    <w:name w:val="三级标题"/>
    <w:basedOn w:val="85"/>
    <w:link w:val="242"/>
    <w:qFormat/>
    <w:uiPriority w:val="0"/>
    <w:pPr>
      <w:numPr>
        <w:ilvl w:val="2"/>
        <w:numId w:val="15"/>
      </w:numPr>
      <w:spacing w:line="720" w:lineRule="auto"/>
      <w:ind w:firstLineChars="0"/>
      <w:outlineLvl w:val="2"/>
    </w:pPr>
    <w:rPr>
      <w:rFonts w:ascii="黑体" w:hAnsi="黑体" w:eastAsia="黑体"/>
      <w:sz w:val="32"/>
      <w:szCs w:val="32"/>
    </w:rPr>
  </w:style>
  <w:style w:type="character" w:customStyle="1" w:styleId="240">
    <w:name w:val="二级标题 Char"/>
    <w:link w:val="237"/>
    <w:qFormat/>
    <w:uiPriority w:val="0"/>
    <w:rPr>
      <w:rFonts w:ascii="黑体" w:hAnsi="黑体" w:eastAsia="黑体"/>
      <w:kern w:val="2"/>
      <w:sz w:val="36"/>
      <w:szCs w:val="36"/>
      <w:shd w:val="clear" w:color="auto" w:fill="FFFFFF"/>
    </w:rPr>
  </w:style>
  <w:style w:type="paragraph" w:customStyle="1" w:styleId="241">
    <w:name w:val="四级标题"/>
    <w:basedOn w:val="85"/>
    <w:link w:val="244"/>
    <w:qFormat/>
    <w:uiPriority w:val="0"/>
    <w:pPr>
      <w:numPr>
        <w:ilvl w:val="3"/>
        <w:numId w:val="15"/>
      </w:numPr>
      <w:spacing w:line="720" w:lineRule="auto"/>
      <w:ind w:firstLineChars="0"/>
      <w:outlineLvl w:val="3"/>
    </w:pPr>
    <w:rPr>
      <w:rFonts w:ascii="黑体" w:hAnsi="黑体" w:eastAsia="黑体"/>
      <w:sz w:val="30"/>
      <w:szCs w:val="30"/>
    </w:rPr>
  </w:style>
  <w:style w:type="character" w:customStyle="1" w:styleId="242">
    <w:name w:val="三级标题 Char"/>
    <w:link w:val="239"/>
    <w:qFormat/>
    <w:uiPriority w:val="0"/>
    <w:rPr>
      <w:rFonts w:ascii="黑体" w:hAnsi="黑体" w:eastAsia="黑体"/>
      <w:kern w:val="2"/>
      <w:sz w:val="32"/>
      <w:szCs w:val="32"/>
      <w:shd w:val="clear" w:color="auto" w:fill="FFFFFF"/>
    </w:rPr>
  </w:style>
  <w:style w:type="paragraph" w:customStyle="1" w:styleId="243">
    <w:name w:val="五级标题"/>
    <w:basedOn w:val="85"/>
    <w:link w:val="245"/>
    <w:qFormat/>
    <w:uiPriority w:val="0"/>
    <w:pPr>
      <w:numPr>
        <w:ilvl w:val="4"/>
        <w:numId w:val="15"/>
      </w:numPr>
      <w:spacing w:line="720" w:lineRule="auto"/>
      <w:ind w:firstLineChars="0"/>
      <w:outlineLvl w:val="4"/>
    </w:pPr>
    <w:rPr>
      <w:rFonts w:ascii="黑体" w:hAnsi="黑体" w:eastAsia="黑体"/>
      <w:sz w:val="28"/>
      <w:szCs w:val="28"/>
    </w:rPr>
  </w:style>
  <w:style w:type="character" w:customStyle="1" w:styleId="244">
    <w:name w:val="四级标题 Char"/>
    <w:link w:val="241"/>
    <w:qFormat/>
    <w:uiPriority w:val="0"/>
    <w:rPr>
      <w:rFonts w:ascii="黑体" w:hAnsi="黑体" w:eastAsia="黑体"/>
      <w:kern w:val="2"/>
      <w:sz w:val="30"/>
      <w:szCs w:val="30"/>
      <w:shd w:val="clear" w:color="auto" w:fill="FFFFFF"/>
    </w:rPr>
  </w:style>
  <w:style w:type="character" w:customStyle="1" w:styleId="245">
    <w:name w:val="五级标题 Char"/>
    <w:link w:val="243"/>
    <w:qFormat/>
    <w:uiPriority w:val="0"/>
    <w:rPr>
      <w:rFonts w:ascii="黑体" w:hAnsi="黑体" w:eastAsia="黑体"/>
      <w:kern w:val="2"/>
      <w:sz w:val="28"/>
      <w:szCs w:val="28"/>
      <w:shd w:val="clear" w:color="auto" w:fill="FFFFFF"/>
    </w:rPr>
  </w:style>
  <w:style w:type="paragraph" w:customStyle="1" w:styleId="246">
    <w:name w:val="图片"/>
    <w:basedOn w:val="1"/>
    <w:link w:val="248"/>
    <w:qFormat/>
    <w:uiPriority w:val="0"/>
    <w:pPr>
      <w:ind w:firstLine="200" w:firstLineChars="200"/>
      <w:jc w:val="center"/>
    </w:pPr>
    <w:rPr>
      <w:rFonts w:cs="Times New Roman"/>
      <w:kern w:val="2"/>
      <w:sz w:val="24"/>
    </w:rPr>
  </w:style>
  <w:style w:type="paragraph" w:customStyle="1" w:styleId="247">
    <w:name w:val="图片注释"/>
    <w:basedOn w:val="1"/>
    <w:link w:val="249"/>
    <w:qFormat/>
    <w:uiPriority w:val="0"/>
    <w:pPr>
      <w:spacing w:afterLines="25"/>
      <w:ind w:firstLine="200" w:firstLineChars="200"/>
      <w:jc w:val="center"/>
    </w:pPr>
    <w:rPr>
      <w:rFonts w:cs="Times New Roman"/>
      <w:kern w:val="2"/>
      <w:sz w:val="24"/>
      <w:u w:val="single"/>
    </w:rPr>
  </w:style>
  <w:style w:type="character" w:customStyle="1" w:styleId="248">
    <w:name w:val="图片 Char"/>
    <w:link w:val="246"/>
    <w:qFormat/>
    <w:uiPriority w:val="0"/>
    <w:rPr>
      <w:rFonts w:ascii="宋体" w:hAnsi="宋体"/>
      <w:kern w:val="2"/>
      <w:sz w:val="24"/>
      <w:szCs w:val="24"/>
    </w:rPr>
  </w:style>
  <w:style w:type="character" w:customStyle="1" w:styleId="249">
    <w:name w:val="图片注释 Char"/>
    <w:link w:val="247"/>
    <w:qFormat/>
    <w:uiPriority w:val="0"/>
    <w:rPr>
      <w:rFonts w:ascii="宋体" w:hAnsi="宋体"/>
      <w:kern w:val="2"/>
      <w:sz w:val="24"/>
      <w:szCs w:val="24"/>
      <w:u w:val="single"/>
    </w:rPr>
  </w:style>
  <w:style w:type="paragraph" w:customStyle="1" w:styleId="250">
    <w:name w:val="段内层标"/>
    <w:basedOn w:val="138"/>
    <w:link w:val="251"/>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51">
    <w:name w:val="段内层标 Char"/>
    <w:link w:val="250"/>
    <w:qFormat/>
    <w:uiPriority w:val="0"/>
    <w:rPr>
      <w:rFonts w:ascii="宋体" w:hAnsi="宋体"/>
      <w:b/>
      <w:kern w:val="2"/>
      <w:sz w:val="28"/>
      <w:szCs w:val="28"/>
      <w:shd w:val="clear" w:color="auto" w:fill="FFFFFF"/>
    </w:rPr>
  </w:style>
  <w:style w:type="paragraph" w:customStyle="1" w:styleId="252">
    <w:name w:val="方案设计1级标题"/>
    <w:basedOn w:val="85"/>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253">
    <w:name w:val="方案设计2级标题"/>
    <w:basedOn w:val="85"/>
    <w:qFormat/>
    <w:uiPriority w:val="0"/>
    <w:pPr>
      <w:numPr>
        <w:ilvl w:val="1"/>
        <w:numId w:val="17"/>
      </w:numPr>
      <w:ind w:firstLine="0" w:firstLineChars="0"/>
      <w:outlineLvl w:val="1"/>
    </w:pPr>
    <w:rPr>
      <w:rFonts w:ascii="黑体" w:hAnsi="黑体" w:eastAsia="黑体"/>
      <w:sz w:val="32"/>
      <w:szCs w:val="32"/>
    </w:rPr>
  </w:style>
  <w:style w:type="paragraph" w:customStyle="1" w:styleId="254">
    <w:name w:val="标题3"/>
    <w:basedOn w:val="85"/>
    <w:link w:val="259"/>
    <w:qFormat/>
    <w:uiPriority w:val="0"/>
    <w:pPr>
      <w:numPr>
        <w:ilvl w:val="2"/>
        <w:numId w:val="17"/>
      </w:numPr>
      <w:ind w:firstLine="0" w:firstLineChars="0"/>
      <w:outlineLvl w:val="2"/>
    </w:pPr>
    <w:rPr>
      <w:rFonts w:ascii="黑体" w:hAnsi="黑体" w:eastAsia="黑体"/>
      <w:sz w:val="28"/>
      <w:szCs w:val="28"/>
    </w:rPr>
  </w:style>
  <w:style w:type="paragraph" w:customStyle="1" w:styleId="255">
    <w:name w:val="标题5"/>
    <w:basedOn w:val="85"/>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256">
    <w:name w:val="正文标题"/>
    <w:basedOn w:val="1"/>
    <w:link w:val="257"/>
    <w:qFormat/>
    <w:uiPriority w:val="0"/>
    <w:pPr>
      <w:numPr>
        <w:ilvl w:val="0"/>
        <w:numId w:val="17"/>
      </w:numPr>
      <w:ind w:firstLine="200" w:firstLineChars="200"/>
    </w:pPr>
    <w:rPr>
      <w:rFonts w:ascii="Calibri" w:hAnsi="Calibri" w:cs="Times New Roman"/>
      <w:b/>
      <w:kern w:val="2"/>
      <w:sz w:val="28"/>
      <w:szCs w:val="28"/>
    </w:rPr>
  </w:style>
  <w:style w:type="character" w:customStyle="1" w:styleId="257">
    <w:name w:val="正文标题 Char"/>
    <w:link w:val="256"/>
    <w:qFormat/>
    <w:uiPriority w:val="0"/>
    <w:rPr>
      <w:rFonts w:ascii="Calibri" w:hAnsi="Calibri"/>
      <w:b/>
      <w:kern w:val="2"/>
      <w:sz w:val="28"/>
      <w:szCs w:val="28"/>
      <w:shd w:val="clear" w:color="auto" w:fill="FFFFFF"/>
    </w:rPr>
  </w:style>
  <w:style w:type="character" w:customStyle="1" w:styleId="258">
    <w:name w:val="批注主题 Char"/>
    <w:link w:val="43"/>
    <w:qFormat/>
    <w:uiPriority w:val="0"/>
    <w:rPr>
      <w:b/>
      <w:bCs/>
      <w:kern w:val="2"/>
      <w:sz w:val="21"/>
      <w:szCs w:val="24"/>
    </w:rPr>
  </w:style>
  <w:style w:type="character" w:customStyle="1" w:styleId="259">
    <w:name w:val="标题3 Char"/>
    <w:link w:val="254"/>
    <w:qFormat/>
    <w:uiPriority w:val="0"/>
    <w:rPr>
      <w:rFonts w:ascii="黑体" w:hAnsi="黑体" w:eastAsia="黑体"/>
      <w:kern w:val="2"/>
      <w:sz w:val="28"/>
      <w:szCs w:val="28"/>
      <w:shd w:val="clear" w:color="auto" w:fill="FFFFFF"/>
    </w:rPr>
  </w:style>
  <w:style w:type="paragraph" w:customStyle="1" w:styleId="260">
    <w:name w:val="样式 Verdana 四号 首行缩进:  2 字符"/>
    <w:basedOn w:val="1"/>
    <w:qFormat/>
    <w:uiPriority w:val="0"/>
    <w:pPr>
      <w:ind w:firstLine="560" w:firstLineChars="200"/>
      <w:jc w:val="left"/>
    </w:pPr>
    <w:rPr>
      <w:rFonts w:ascii="Verdana" w:hAnsi="Verdana"/>
      <w:sz w:val="24"/>
      <w:szCs w:val="20"/>
    </w:rPr>
  </w:style>
  <w:style w:type="paragraph" w:customStyle="1" w:styleId="261">
    <w:name w:val="层标"/>
    <w:basedOn w:val="138"/>
    <w:link w:val="262"/>
    <w:qFormat/>
    <w:uiPriority w:val="0"/>
    <w:pPr>
      <w:numPr>
        <w:ilvl w:val="0"/>
        <w:numId w:val="18"/>
      </w:numPr>
      <w:spacing w:beforeLines="25" w:afterLines="25"/>
      <w:ind w:firstLine="0"/>
    </w:pPr>
    <w:rPr>
      <w:rFonts w:ascii="宋体" w:hAnsi="宋体"/>
      <w:b/>
      <w:kern w:val="2"/>
      <w:sz w:val="28"/>
      <w:szCs w:val="28"/>
    </w:rPr>
  </w:style>
  <w:style w:type="character" w:customStyle="1" w:styleId="262">
    <w:name w:val="层标 Char"/>
    <w:link w:val="261"/>
    <w:qFormat/>
    <w:uiPriority w:val="0"/>
    <w:rPr>
      <w:rFonts w:ascii="宋体" w:hAnsi="宋体"/>
      <w:b/>
      <w:kern w:val="2"/>
      <w:sz w:val="28"/>
      <w:szCs w:val="28"/>
      <w:shd w:val="clear" w:color="auto" w:fill="FFFFFF"/>
    </w:rPr>
  </w:style>
  <w:style w:type="paragraph" w:customStyle="1" w:styleId="263">
    <w:name w:val="Quote_60211b13-f48c-4db9-8be3-2f90d360c43b"/>
    <w:basedOn w:val="1"/>
    <w:next w:val="1"/>
    <w:link w:val="264"/>
    <w:qFormat/>
    <w:uiPriority w:val="29"/>
    <w:pPr>
      <w:jc w:val="center"/>
    </w:pPr>
    <w:rPr>
      <w:rFonts w:ascii="Times New Roman" w:hAnsi="Times New Roman" w:cs="Times New Roman"/>
      <w:iCs/>
      <w:color w:val="000000"/>
      <w:kern w:val="2"/>
      <w:sz w:val="24"/>
    </w:rPr>
  </w:style>
  <w:style w:type="character" w:customStyle="1" w:styleId="264">
    <w:name w:val="引用 Char"/>
    <w:link w:val="263"/>
    <w:qFormat/>
    <w:uiPriority w:val="29"/>
    <w:rPr>
      <w:iCs/>
      <w:color w:val="000000"/>
      <w:kern w:val="2"/>
      <w:sz w:val="24"/>
      <w:szCs w:val="24"/>
    </w:rPr>
  </w:style>
  <w:style w:type="character" w:customStyle="1" w:styleId="265">
    <w:name w:val="明显参考1"/>
    <w:qFormat/>
    <w:uiPriority w:val="32"/>
    <w:rPr>
      <w:rFonts w:eastAsia="宋体"/>
      <w:bCs/>
      <w:smallCaps/>
      <w:color w:val="000000"/>
      <w:spacing w:val="5"/>
      <w:sz w:val="24"/>
      <w:u w:val="single"/>
    </w:rPr>
  </w:style>
  <w:style w:type="paragraph" w:customStyle="1" w:styleId="266">
    <w:name w:val="段落强调"/>
    <w:basedOn w:val="1"/>
    <w:link w:val="268"/>
    <w:qFormat/>
    <w:uiPriority w:val="0"/>
    <w:pPr>
      <w:numPr>
        <w:ilvl w:val="0"/>
        <w:numId w:val="19"/>
      </w:numPr>
      <w:ind w:left="0" w:firstLine="420"/>
    </w:pPr>
    <w:rPr>
      <w:rFonts w:ascii="Times New Roman" w:hAnsi="Times New Roman" w:cs="Times New Roman"/>
      <w:b/>
      <w:kern w:val="2"/>
      <w:sz w:val="24"/>
    </w:rPr>
  </w:style>
  <w:style w:type="character" w:customStyle="1" w:styleId="267">
    <w:name w:val="书籍标题1"/>
    <w:qFormat/>
    <w:uiPriority w:val="33"/>
    <w:rPr>
      <w:b/>
      <w:bCs/>
      <w:smallCaps/>
      <w:spacing w:val="5"/>
    </w:rPr>
  </w:style>
  <w:style w:type="character" w:customStyle="1" w:styleId="268">
    <w:name w:val="段落强调 Char"/>
    <w:link w:val="266"/>
    <w:qFormat/>
    <w:uiPriority w:val="0"/>
    <w:rPr>
      <w:b/>
      <w:kern w:val="2"/>
      <w:sz w:val="24"/>
      <w:szCs w:val="24"/>
      <w:shd w:val="clear" w:color="auto" w:fill="FFFFFF"/>
    </w:rPr>
  </w:style>
  <w:style w:type="paragraph" w:customStyle="1" w:styleId="269">
    <w:name w:val="段内主题"/>
    <w:basedOn w:val="1"/>
    <w:link w:val="271"/>
    <w:qFormat/>
    <w:uiPriority w:val="0"/>
    <w:pPr>
      <w:numPr>
        <w:ilvl w:val="1"/>
        <w:numId w:val="20"/>
      </w:numPr>
      <w:ind w:firstLine="0"/>
    </w:pPr>
    <w:rPr>
      <w:rFonts w:cs="Times New Roman"/>
      <w:b/>
      <w:kern w:val="2"/>
      <w:sz w:val="24"/>
    </w:rPr>
  </w:style>
  <w:style w:type="paragraph" w:customStyle="1" w:styleId="270">
    <w:name w:val="图片注释新"/>
    <w:basedOn w:val="247"/>
    <w:link w:val="272"/>
    <w:qFormat/>
    <w:uiPriority w:val="0"/>
    <w:pPr>
      <w:spacing w:after="81"/>
      <w:ind w:firstLine="0" w:firstLineChars="0"/>
    </w:pPr>
  </w:style>
  <w:style w:type="character" w:customStyle="1" w:styleId="271">
    <w:name w:val="段内主题 Char"/>
    <w:link w:val="269"/>
    <w:qFormat/>
    <w:uiPriority w:val="0"/>
    <w:rPr>
      <w:rFonts w:ascii="宋体" w:hAnsi="宋体"/>
      <w:b/>
      <w:kern w:val="2"/>
      <w:sz w:val="24"/>
      <w:szCs w:val="24"/>
      <w:shd w:val="clear" w:color="auto" w:fill="FFFFFF"/>
    </w:rPr>
  </w:style>
  <w:style w:type="character" w:customStyle="1" w:styleId="272">
    <w:name w:val="图片注释新 Char"/>
    <w:link w:val="270"/>
    <w:qFormat/>
    <w:uiPriority w:val="0"/>
    <w:rPr>
      <w:rFonts w:ascii="宋体" w:hAnsi="宋体"/>
      <w:kern w:val="2"/>
      <w:sz w:val="24"/>
      <w:szCs w:val="24"/>
      <w:u w:val="single"/>
    </w:rPr>
  </w:style>
  <w:style w:type="paragraph" w:customStyle="1" w:styleId="273">
    <w:name w:val="正文（缩进）"/>
    <w:basedOn w:val="1"/>
    <w:link w:val="274"/>
    <w:qFormat/>
    <w:uiPriority w:val="0"/>
    <w:pPr>
      <w:spacing w:beforeLines="50" w:afterLines="50"/>
      <w:ind w:firstLine="480" w:firstLineChars="200"/>
    </w:pPr>
    <w:rPr>
      <w:rFonts w:ascii="Times New Roman" w:hAnsi="Times New Roman" w:cs="Times New Roman"/>
      <w:sz w:val="24"/>
    </w:rPr>
  </w:style>
  <w:style w:type="character" w:customStyle="1" w:styleId="274">
    <w:name w:val="正文（缩进） Char"/>
    <w:link w:val="273"/>
    <w:qFormat/>
    <w:uiPriority w:val="0"/>
    <w:rPr>
      <w:sz w:val="24"/>
      <w:szCs w:val="24"/>
    </w:rPr>
  </w:style>
  <w:style w:type="character" w:customStyle="1" w:styleId="275">
    <w:name w:val="Char Char4"/>
    <w:qFormat/>
    <w:uiPriority w:val="0"/>
    <w:rPr>
      <w:rFonts w:eastAsia="宋体"/>
      <w:b/>
      <w:kern w:val="2"/>
      <w:sz w:val="24"/>
      <w:lang w:val="en-US" w:eastAsia="zh-CN" w:bidi="ar-SA"/>
    </w:rPr>
  </w:style>
  <w:style w:type="character" w:customStyle="1" w:styleId="276">
    <w:name w:val="正文文本缩进 3 Char"/>
    <w:link w:val="35"/>
    <w:qFormat/>
    <w:uiPriority w:val="0"/>
    <w:rPr>
      <w:rFonts w:ascii="宋体"/>
      <w:b/>
      <w:bCs/>
      <w:kern w:val="2"/>
      <w:sz w:val="24"/>
      <w:szCs w:val="24"/>
    </w:rPr>
  </w:style>
  <w:style w:type="paragraph" w:customStyle="1" w:styleId="277">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78">
    <w:name w:val="pa-2"/>
    <w:basedOn w:val="1"/>
    <w:qFormat/>
    <w:uiPriority w:val="0"/>
    <w:pPr>
      <w:spacing w:before="100" w:beforeAutospacing="1" w:after="100" w:afterAutospacing="1"/>
      <w:jc w:val="left"/>
    </w:pPr>
    <w:rPr>
      <w:sz w:val="24"/>
    </w:rPr>
  </w:style>
  <w:style w:type="character" w:customStyle="1" w:styleId="279">
    <w:name w:val="HTML 预设格式 Char"/>
    <w:link w:val="39"/>
    <w:qFormat/>
    <w:uiPriority w:val="0"/>
    <w:rPr>
      <w:rFonts w:ascii="Arial Unicode MS" w:hAnsi="Arial Unicode MS" w:eastAsia="Arial Unicode MS"/>
      <w:color w:val="000000"/>
    </w:rPr>
  </w:style>
  <w:style w:type="character" w:customStyle="1" w:styleId="280">
    <w:name w:val="正文文本 2 Char"/>
    <w:link w:val="38"/>
    <w:qFormat/>
    <w:uiPriority w:val="0"/>
    <w:rPr>
      <w:kern w:val="2"/>
      <w:sz w:val="24"/>
      <w:szCs w:val="24"/>
    </w:rPr>
  </w:style>
  <w:style w:type="character" w:customStyle="1" w:styleId="281">
    <w:name w:val="正文文本 3 Char"/>
    <w:link w:val="19"/>
    <w:qFormat/>
    <w:uiPriority w:val="0"/>
    <w:rPr>
      <w:kern w:val="2"/>
      <w:sz w:val="16"/>
      <w:szCs w:val="16"/>
    </w:rPr>
  </w:style>
  <w:style w:type="paragraph" w:customStyle="1" w:styleId="282">
    <w:name w:val="方案正文段落"/>
    <w:basedOn w:val="1"/>
    <w:link w:val="283"/>
    <w:qFormat/>
    <w:uiPriority w:val="0"/>
    <w:pPr>
      <w:ind w:firstLine="420" w:firstLineChars="200"/>
    </w:pPr>
    <w:rPr>
      <w:rFonts w:ascii="Times New Roman" w:hAnsi="Times New Roman" w:cs="Times New Roman"/>
      <w:kern w:val="2"/>
      <w:szCs w:val="20"/>
    </w:rPr>
  </w:style>
  <w:style w:type="character" w:customStyle="1" w:styleId="283">
    <w:name w:val="方案正文段落 Char"/>
    <w:link w:val="282"/>
    <w:qFormat/>
    <w:uiPriority w:val="0"/>
    <w:rPr>
      <w:kern w:val="2"/>
      <w:sz w:val="21"/>
    </w:rPr>
  </w:style>
  <w:style w:type="paragraph" w:customStyle="1" w:styleId="284">
    <w:name w:val="修订1"/>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85">
    <w:name w:val="模板正文"/>
    <w:basedOn w:val="1"/>
    <w:link w:val="286"/>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86">
    <w:name w:val="模板正文 Char"/>
    <w:link w:val="285"/>
    <w:qFormat/>
    <w:uiPriority w:val="0"/>
    <w:rPr>
      <w:rFonts w:eastAsia="仿宋_GB2312"/>
      <w:sz w:val="28"/>
      <w:szCs w:val="21"/>
    </w:rPr>
  </w:style>
  <w:style w:type="paragraph" w:customStyle="1" w:styleId="287">
    <w:name w:val="List Paragraph_4d785864-4be7-41f0-8ef2-3e0d6a7161e2"/>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28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9">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290">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291">
    <w:name w:val="fielderror"/>
    <w:basedOn w:val="47"/>
    <w:qFormat/>
    <w:uiPriority w:val="0"/>
    <w:rPr>
      <w:color w:val="800000"/>
    </w:rPr>
  </w:style>
  <w:style w:type="character" w:customStyle="1" w:styleId="292">
    <w:name w:val="active6"/>
    <w:basedOn w:val="47"/>
    <w:qFormat/>
    <w:uiPriority w:val="0"/>
    <w:rPr>
      <w:color w:val="FFFFFF"/>
    </w:rPr>
  </w:style>
  <w:style w:type="character" w:customStyle="1" w:styleId="293">
    <w:name w:val="hilite6"/>
    <w:basedOn w:val="47"/>
    <w:qFormat/>
    <w:uiPriority w:val="0"/>
    <w:rPr>
      <w:color w:val="000000"/>
    </w:rPr>
  </w:style>
  <w:style w:type="paragraph" w:customStyle="1" w:styleId="294">
    <w:name w:val="temp2"/>
    <w:basedOn w:val="1"/>
    <w:uiPriority w:val="0"/>
    <w:pPr>
      <w:jc w:val="left"/>
    </w:pPr>
    <w:rPr>
      <w:color w:val="A6A7A7"/>
    </w:rPr>
  </w:style>
  <w:style w:type="character" w:customStyle="1" w:styleId="295">
    <w:name w:val="printico"/>
    <w:basedOn w:val="47"/>
    <w:qFormat/>
    <w:uiPriority w:val="0"/>
    <w:rPr>
      <w:color w:val="ADAEAF"/>
    </w:rPr>
  </w:style>
  <w:style w:type="character" w:customStyle="1" w:styleId="296">
    <w:name w:val="bg1"/>
    <w:basedOn w:val="47"/>
    <w:qFormat/>
    <w:uiPriority w:val="0"/>
    <w:rPr>
      <w:color w:val="FFFFFF"/>
      <w:shd w:val="clear" w:color="auto" w:fill="4975D4"/>
    </w:rPr>
  </w:style>
  <w:style w:type="character" w:customStyle="1" w:styleId="297">
    <w:name w:val="red-s"/>
    <w:basedOn w:val="47"/>
    <w:qFormat/>
    <w:uiPriority w:val="0"/>
    <w:rPr>
      <w:color w:val="EA2E2E"/>
    </w:rPr>
  </w:style>
  <w:style w:type="character" w:customStyle="1" w:styleId="298">
    <w:name w:val="green-s"/>
    <w:basedOn w:val="47"/>
    <w:qFormat/>
    <w:uiPriority w:val="0"/>
    <w:rPr>
      <w:color w:val="00BA12"/>
    </w:rPr>
  </w:style>
  <w:style w:type="character" w:customStyle="1" w:styleId="299">
    <w:name w:val="blue-s"/>
    <w:basedOn w:val="47"/>
    <w:qFormat/>
    <w:uiPriority w:val="0"/>
    <w:rPr>
      <w:color w:val="007BDE"/>
    </w:rPr>
  </w:style>
  <w:style w:type="character" w:customStyle="1" w:styleId="300">
    <w:name w:val="on6"/>
    <w:basedOn w:val="47"/>
    <w:qFormat/>
    <w:uiPriority w:val="0"/>
  </w:style>
  <w:style w:type="character" w:customStyle="1" w:styleId="301">
    <w:name w:val="article1"/>
    <w:uiPriority w:val="0"/>
    <w:rPr>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879A32-7D79-4B0A-87B8-8282D51D42EB}">
  <ds:schemaRefs/>
</ds:datastoreItem>
</file>

<file path=customXml/itemProps3.xml><?xml version="1.0" encoding="utf-8"?>
<ds:datastoreItem xmlns:ds="http://schemas.openxmlformats.org/officeDocument/2006/customXml" ds:itemID="{EE222F7D-8851-4E50-8FA2-ED5614AB40BD}">
  <ds:schemaRefs/>
</ds:datastoreItem>
</file>

<file path=customXml/itemProps4.xml><?xml version="1.0" encoding="utf-8"?>
<ds:datastoreItem xmlns:ds="http://schemas.openxmlformats.org/officeDocument/2006/customXml" ds:itemID="{C7430989-AF5F-42CA-A7AC-2FA2090500D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8107</Words>
  <Characters>46212</Characters>
  <Lines>385</Lines>
  <Paragraphs>108</Paragraphs>
  <TotalTime>1</TotalTime>
  <ScaleCrop>false</ScaleCrop>
  <LinksUpToDate>false</LinksUpToDate>
  <CharactersWithSpaces>54211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2019-02-13T10:06:00Z</dcterms:created>
  <dc:creator>Zhangwei</dc:creator>
  <cp:lastModifiedBy>游娃</cp:lastModifiedBy>
  <cp:lastPrinted>2017-02-22T09:17:00Z</cp:lastPrinted>
  <dcterms:modified xsi:type="dcterms:W3CDTF">2019-10-16T08:51:48Z</dcterms:modified>
  <cp:revision>400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