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tabs>
          <w:tab w:val="clear" w:pos="426"/>
        </w:tabs>
        <w:rPr>
          <w:highlight w:val="none"/>
        </w:rPr>
      </w:pPr>
    </w:p>
    <w:p>
      <w:pPr>
        <w:tabs>
          <w:tab w:val="clear" w:pos="426"/>
        </w:tabs>
        <w:rPr>
          <w:highlight w:val="none"/>
        </w:rPr>
      </w:pPr>
    </w:p>
    <w:p>
      <w:pPr>
        <w:tabs>
          <w:tab w:val="clear" w:pos="426"/>
        </w:tabs>
        <w:jc w:val="right"/>
        <w:rPr>
          <w:b/>
          <w:highlight w:val="none"/>
          <w:u w:val="single"/>
        </w:rPr>
      </w:pPr>
      <w:r>
        <w:rPr>
          <w:rFonts w:hint="eastAsia"/>
          <w:highlight w:val="none"/>
        </w:rPr>
        <w:t xml:space="preserve">                                                     项目编号：</w:t>
      </w:r>
      <w:r>
        <w:rPr>
          <w:rFonts w:hint="eastAsia"/>
          <w:b/>
          <w:highlight w:val="none"/>
          <w:u w:val="single"/>
          <w:lang w:eastAsia="zh-CN"/>
        </w:rPr>
        <w:t>SSZX2019-160</w:t>
      </w:r>
    </w:p>
    <w:p>
      <w:pPr>
        <w:tabs>
          <w:tab w:val="clear" w:pos="426"/>
        </w:tabs>
        <w:rPr>
          <w:highlight w:val="none"/>
        </w:rPr>
      </w:pPr>
    </w:p>
    <w:p>
      <w:pPr>
        <w:tabs>
          <w:tab w:val="clear" w:pos="426"/>
        </w:tabs>
        <w:rPr>
          <w:highlight w:val="none"/>
        </w:rPr>
      </w:pPr>
    </w:p>
    <w:p>
      <w:pPr>
        <w:tabs>
          <w:tab w:val="clear" w:pos="426"/>
        </w:tabs>
        <w:rPr>
          <w:highlight w:val="none"/>
        </w:rPr>
      </w:pPr>
    </w:p>
    <w:p>
      <w:pPr>
        <w:widowControl w:val="0"/>
        <w:shd w:val="clear" w:color="auto" w:fill="auto"/>
        <w:tabs>
          <w:tab w:val="clear" w:pos="426"/>
        </w:tabs>
        <w:adjustRightInd/>
        <w:snapToGrid/>
        <w:spacing w:line="300" w:lineRule="auto"/>
        <w:jc w:val="center"/>
        <w:rPr>
          <w:rFonts w:cs="Times New Roman"/>
          <w:spacing w:val="26"/>
          <w:kern w:val="2"/>
          <w:sz w:val="72"/>
          <w:szCs w:val="20"/>
          <w:highlight w:val="none"/>
        </w:rPr>
      </w:pPr>
      <w:r>
        <w:rPr>
          <w:rFonts w:hint="eastAsia" w:cs="Times New Roman"/>
          <w:spacing w:val="26"/>
          <w:kern w:val="2"/>
          <w:sz w:val="72"/>
          <w:szCs w:val="20"/>
          <w:highlight w:val="none"/>
        </w:rPr>
        <w:t>深圳市政府采购</w:t>
      </w:r>
    </w:p>
    <w:p>
      <w:pPr>
        <w:widowControl w:val="0"/>
        <w:shd w:val="clear" w:color="auto" w:fill="auto"/>
        <w:tabs>
          <w:tab w:val="clear" w:pos="426"/>
        </w:tabs>
        <w:adjustRightInd/>
        <w:snapToGrid/>
        <w:spacing w:line="300" w:lineRule="auto"/>
        <w:jc w:val="center"/>
        <w:rPr>
          <w:rFonts w:cs="Times New Roman"/>
          <w:spacing w:val="26"/>
          <w:kern w:val="2"/>
          <w:sz w:val="72"/>
          <w:szCs w:val="20"/>
          <w:highlight w:val="none"/>
        </w:rPr>
      </w:pPr>
      <w:r>
        <w:rPr>
          <w:rFonts w:hint="eastAsia" w:cs="Times New Roman"/>
          <w:spacing w:val="26"/>
          <w:kern w:val="2"/>
          <w:sz w:val="72"/>
          <w:szCs w:val="20"/>
          <w:highlight w:val="none"/>
        </w:rPr>
        <w:t>招标文件</w:t>
      </w: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jc w:val="center"/>
        <w:rPr>
          <w:rFonts w:ascii="黑体" w:hAnsi="Arial" w:eastAsia="黑体" w:cs="Arial"/>
          <w:color w:val="000000"/>
          <w:sz w:val="52"/>
          <w:szCs w:val="52"/>
          <w:highlight w:val="none"/>
        </w:rPr>
      </w:pPr>
      <w:r>
        <w:rPr>
          <w:rFonts w:hint="eastAsia" w:ascii="黑体" w:hAnsi="Arial" w:eastAsia="黑体" w:cs="Arial"/>
          <w:color w:val="000000"/>
          <w:sz w:val="52"/>
          <w:szCs w:val="52"/>
          <w:highlight w:val="none"/>
        </w:rPr>
        <w:t>【工程类】</w:t>
      </w: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widowControl w:val="0"/>
        <w:shd w:val="clear" w:color="auto" w:fill="auto"/>
        <w:tabs>
          <w:tab w:val="clear" w:pos="426"/>
        </w:tabs>
        <w:adjustRightInd/>
        <w:snapToGrid/>
        <w:spacing w:line="300" w:lineRule="auto"/>
        <w:ind w:left="1673" w:leftChars="141" w:hanging="1377" w:hangingChars="459"/>
        <w:rPr>
          <w:rFonts w:cs="Times New Roman"/>
          <w:kern w:val="2"/>
          <w:sz w:val="30"/>
          <w:szCs w:val="20"/>
          <w:highlight w:val="none"/>
        </w:rPr>
      </w:pPr>
      <w:r>
        <w:rPr>
          <w:rFonts w:hint="eastAsia" w:cs="Times New Roman"/>
          <w:kern w:val="2"/>
          <w:sz w:val="30"/>
          <w:szCs w:val="20"/>
          <w:highlight w:val="none"/>
        </w:rPr>
        <w:t>项目名称：</w:t>
      </w:r>
      <w:r>
        <w:rPr>
          <w:rFonts w:hint="eastAsia" w:cs="Times New Roman"/>
          <w:kern w:val="2"/>
          <w:sz w:val="30"/>
          <w:szCs w:val="20"/>
          <w:highlight w:val="none"/>
          <w:u w:val="single"/>
          <w:lang w:eastAsia="zh-CN"/>
        </w:rPr>
        <w:t>深圳市坪山区城市管理和综合执法局工程（园林绿化类）预选库</w:t>
      </w:r>
      <w:r>
        <w:rPr>
          <w:rFonts w:hint="eastAsia" w:cs="Times New Roman"/>
          <w:kern w:val="2"/>
          <w:sz w:val="30"/>
          <w:szCs w:val="20"/>
          <w:highlight w:val="none"/>
        </w:rPr>
        <w:t xml:space="preserve">          </w:t>
      </w:r>
    </w:p>
    <w:p>
      <w:pPr>
        <w:widowControl w:val="0"/>
        <w:shd w:val="clear" w:color="auto" w:fill="auto"/>
        <w:tabs>
          <w:tab w:val="clear" w:pos="426"/>
        </w:tabs>
        <w:adjustRightInd/>
        <w:snapToGrid/>
        <w:spacing w:line="300" w:lineRule="auto"/>
        <w:ind w:left="1500" w:hanging="1500" w:hangingChars="500"/>
        <w:rPr>
          <w:rFonts w:cs="Times New Roman"/>
          <w:kern w:val="2"/>
          <w:sz w:val="30"/>
          <w:szCs w:val="20"/>
          <w:highlight w:val="none"/>
        </w:rPr>
      </w:pPr>
    </w:p>
    <w:p>
      <w:pPr>
        <w:widowControl w:val="0"/>
        <w:shd w:val="clear" w:color="auto" w:fill="auto"/>
        <w:tabs>
          <w:tab w:val="clear" w:pos="426"/>
        </w:tabs>
        <w:adjustRightInd/>
        <w:snapToGrid/>
        <w:spacing w:line="300" w:lineRule="auto"/>
        <w:ind w:left="1498" w:leftChars="142" w:hanging="1200" w:hangingChars="400"/>
        <w:rPr>
          <w:rFonts w:cs="Times New Roman"/>
          <w:kern w:val="2"/>
          <w:sz w:val="30"/>
          <w:szCs w:val="20"/>
          <w:highlight w:val="none"/>
        </w:rPr>
      </w:pPr>
      <w:r>
        <w:rPr>
          <w:rFonts w:hint="eastAsia" w:cs="Times New Roman"/>
          <w:kern w:val="2"/>
          <w:sz w:val="30"/>
          <w:szCs w:val="20"/>
          <w:highlight w:val="none"/>
        </w:rPr>
        <w:t>采购人名称：</w:t>
      </w:r>
      <w:r>
        <w:rPr>
          <w:rFonts w:hint="eastAsia" w:cs="Times New Roman"/>
          <w:kern w:val="2"/>
          <w:sz w:val="30"/>
          <w:szCs w:val="20"/>
          <w:highlight w:val="none"/>
          <w:u w:val="single"/>
          <w:lang w:eastAsia="zh-CN"/>
        </w:rPr>
        <w:t>深圳市坪山区城市管理和综合执法局</w:t>
      </w:r>
      <w:r>
        <w:rPr>
          <w:rFonts w:hint="eastAsia" w:cs="Times New Roman"/>
          <w:kern w:val="2"/>
          <w:sz w:val="30"/>
          <w:szCs w:val="20"/>
          <w:highlight w:val="none"/>
          <w:u w:val="single"/>
        </w:rPr>
        <w:t xml:space="preserve">                                                      </w:t>
      </w:r>
      <w:r>
        <w:rPr>
          <w:rFonts w:hint="eastAsia" w:cs="Times New Roman"/>
          <w:kern w:val="2"/>
          <w:sz w:val="30"/>
          <w:szCs w:val="20"/>
          <w:highlight w:val="none"/>
        </w:rPr>
        <w:t xml:space="preserve">                                                 </w:t>
      </w:r>
    </w:p>
    <w:p>
      <w:pPr>
        <w:widowControl w:val="0"/>
        <w:shd w:val="clear" w:color="auto" w:fill="auto"/>
        <w:tabs>
          <w:tab w:val="clear" w:pos="426"/>
        </w:tabs>
        <w:adjustRightInd/>
        <w:snapToGrid/>
        <w:spacing w:line="300" w:lineRule="auto"/>
        <w:ind w:left="1500" w:hanging="1500" w:hangingChars="500"/>
        <w:rPr>
          <w:rFonts w:cs="Times New Roman"/>
          <w:kern w:val="2"/>
          <w:sz w:val="30"/>
          <w:szCs w:val="20"/>
          <w:highlight w:val="none"/>
        </w:rPr>
      </w:pPr>
    </w:p>
    <w:p>
      <w:pPr>
        <w:widowControl w:val="0"/>
        <w:shd w:val="clear" w:color="auto" w:fill="auto"/>
        <w:tabs>
          <w:tab w:val="clear" w:pos="426"/>
        </w:tabs>
        <w:adjustRightInd/>
        <w:snapToGrid/>
        <w:spacing w:line="300" w:lineRule="auto"/>
        <w:ind w:left="1498" w:leftChars="142" w:hanging="1200" w:hangingChars="400"/>
        <w:rPr>
          <w:highlight w:val="none"/>
        </w:rPr>
      </w:pPr>
      <w:r>
        <w:rPr>
          <w:rFonts w:hint="eastAsia" w:cs="Times New Roman"/>
          <w:kern w:val="2"/>
          <w:sz w:val="30"/>
          <w:szCs w:val="20"/>
          <w:highlight w:val="none"/>
        </w:rPr>
        <w:t>采购代理机构名称：</w:t>
      </w:r>
      <w:r>
        <w:rPr>
          <w:rFonts w:hint="eastAsia" w:cs="Times New Roman"/>
          <w:kern w:val="2"/>
          <w:sz w:val="30"/>
          <w:szCs w:val="20"/>
          <w:highlight w:val="none"/>
          <w:u w:val="single"/>
        </w:rPr>
        <w:t xml:space="preserve">  深圳市深水水务咨询有限公司                    </w:t>
      </w:r>
      <w:r>
        <w:rPr>
          <w:rFonts w:hint="eastAsia" w:cs="Times New Roman"/>
          <w:kern w:val="2"/>
          <w:sz w:val="30"/>
          <w:szCs w:val="20"/>
          <w:highlight w:val="none"/>
        </w:rPr>
        <w:t xml:space="preserve">      </w:t>
      </w:r>
      <w:r>
        <w:rPr>
          <w:rFonts w:hint="eastAsia"/>
          <w:highlight w:val="none"/>
        </w:rPr>
        <w:t xml:space="preserve">                               </w:t>
      </w:r>
    </w:p>
    <w:p>
      <w:pPr>
        <w:tabs>
          <w:tab w:val="clear" w:pos="426"/>
        </w:tabs>
        <w:jc w:val="center"/>
        <w:rPr>
          <w:highlight w:val="none"/>
        </w:rPr>
      </w:pPr>
      <w:r>
        <w:rPr>
          <w:highlight w:val="none"/>
        </w:rPr>
        <w:br w:type="page"/>
      </w:r>
    </w:p>
    <w:p>
      <w:pPr>
        <w:tabs>
          <w:tab w:val="clear" w:pos="426"/>
        </w:tabs>
        <w:jc w:val="center"/>
        <w:rPr>
          <w:b/>
          <w:sz w:val="32"/>
          <w:szCs w:val="32"/>
          <w:highlight w:val="none"/>
        </w:rPr>
      </w:pPr>
      <w:r>
        <w:rPr>
          <w:rFonts w:hint="eastAsia"/>
          <w:b/>
          <w:sz w:val="32"/>
          <w:szCs w:val="32"/>
          <w:highlight w:val="none"/>
        </w:rPr>
        <w:t>目      录</w:t>
      </w:r>
    </w:p>
    <w:p>
      <w:pPr>
        <w:tabs>
          <w:tab w:val="clear" w:pos="426"/>
        </w:tabs>
        <w:jc w:val="center"/>
        <w:rPr>
          <w:sz w:val="32"/>
          <w:szCs w:val="32"/>
          <w:highlight w:val="none"/>
        </w:rPr>
      </w:pPr>
    </w:p>
    <w:p>
      <w:pPr>
        <w:pStyle w:val="36"/>
        <w:tabs>
          <w:tab w:val="right" w:leader="dot" w:pos="8788"/>
          <w:tab w:val="clear" w:pos="8789"/>
        </w:tabs>
        <w:rPr>
          <w:highlight w:val="none"/>
        </w:rPr>
      </w:pPr>
      <w:r>
        <w:rPr>
          <w:smallCaps w:val="0"/>
          <w:highlight w:val="none"/>
        </w:rPr>
        <w:fldChar w:fldCharType="begin"/>
      </w:r>
      <w:r>
        <w:rPr>
          <w:smallCaps w:val="0"/>
          <w:highlight w:val="none"/>
        </w:rPr>
        <w:instrText xml:space="preserve"> TOC \o "1-2" \h \z \u </w:instrText>
      </w:r>
      <w:r>
        <w:rPr>
          <w:smallCaps w:val="0"/>
          <w:highlight w:val="none"/>
        </w:rPr>
        <w:fldChar w:fldCharType="separate"/>
      </w:r>
      <w:r>
        <w:rPr>
          <w:smallCaps w:val="0"/>
          <w:highlight w:val="none"/>
        </w:rPr>
        <w:fldChar w:fldCharType="begin"/>
      </w:r>
      <w:r>
        <w:rPr>
          <w:smallCaps w:val="0"/>
          <w:highlight w:val="none"/>
        </w:rPr>
        <w:instrText xml:space="preserve"> HYPERLINK \l _Toc8327 </w:instrText>
      </w:r>
      <w:r>
        <w:rPr>
          <w:smallCaps w:val="0"/>
          <w:highlight w:val="none"/>
        </w:rPr>
        <w:fldChar w:fldCharType="separate"/>
      </w:r>
      <w:r>
        <w:rPr>
          <w:rFonts w:hint="eastAsia"/>
          <w:highlight w:val="none"/>
        </w:rPr>
        <w:t>警示条款</w:t>
      </w:r>
      <w:r>
        <w:rPr>
          <w:highlight w:val="none"/>
        </w:rPr>
        <w:tab/>
      </w:r>
      <w:r>
        <w:rPr>
          <w:highlight w:val="none"/>
        </w:rPr>
        <w:fldChar w:fldCharType="begin"/>
      </w:r>
      <w:r>
        <w:rPr>
          <w:highlight w:val="none"/>
        </w:rPr>
        <w:instrText xml:space="preserve"> PAGEREF _Toc8327 </w:instrText>
      </w:r>
      <w:r>
        <w:rPr>
          <w:highlight w:val="none"/>
        </w:rPr>
        <w:fldChar w:fldCharType="separate"/>
      </w:r>
      <w:r>
        <w:rPr>
          <w:highlight w:val="none"/>
        </w:rPr>
        <w:t>1</w:t>
      </w:r>
      <w:r>
        <w:rPr>
          <w:highlight w:val="none"/>
        </w:rPr>
        <w:fldChar w:fldCharType="end"/>
      </w:r>
      <w:r>
        <w:rPr>
          <w:smallCaps w:val="0"/>
          <w:highlight w:val="none"/>
        </w:rPr>
        <w:fldChar w:fldCharType="end"/>
      </w:r>
    </w:p>
    <w:p>
      <w:pPr>
        <w:pStyle w:val="36"/>
        <w:tabs>
          <w:tab w:val="right" w:leader="dot" w:pos="8788"/>
          <w:tab w:val="clear" w:pos="8789"/>
        </w:tabs>
        <w:rPr>
          <w:highlight w:val="none"/>
        </w:rPr>
      </w:pPr>
      <w:r>
        <w:rPr>
          <w:smallCaps/>
          <w:highlight w:val="none"/>
        </w:rPr>
        <w:fldChar w:fldCharType="begin"/>
      </w:r>
      <w:r>
        <w:rPr>
          <w:smallCaps/>
          <w:highlight w:val="none"/>
        </w:rPr>
        <w:instrText xml:space="preserve"> HYPERLINK \l _Toc389 </w:instrText>
      </w:r>
      <w:r>
        <w:rPr>
          <w:smallCaps/>
          <w:highlight w:val="none"/>
        </w:rPr>
        <w:fldChar w:fldCharType="separate"/>
      </w:r>
      <w:r>
        <w:rPr>
          <w:rFonts w:hint="eastAsia"/>
          <w:highlight w:val="none"/>
        </w:rPr>
        <w:t>项目关键信息</w:t>
      </w:r>
      <w:r>
        <w:rPr>
          <w:highlight w:val="none"/>
        </w:rPr>
        <w:tab/>
      </w:r>
      <w:r>
        <w:rPr>
          <w:highlight w:val="none"/>
        </w:rPr>
        <w:fldChar w:fldCharType="begin"/>
      </w:r>
      <w:r>
        <w:rPr>
          <w:highlight w:val="none"/>
        </w:rPr>
        <w:instrText xml:space="preserve"> PAGEREF _Toc389 </w:instrText>
      </w:r>
      <w:r>
        <w:rPr>
          <w:highlight w:val="none"/>
        </w:rPr>
        <w:fldChar w:fldCharType="separate"/>
      </w:r>
      <w:r>
        <w:rPr>
          <w:highlight w:val="none"/>
        </w:rPr>
        <w:t>2</w:t>
      </w:r>
      <w:r>
        <w:rPr>
          <w:highlight w:val="none"/>
        </w:rPr>
        <w:fldChar w:fldCharType="end"/>
      </w:r>
      <w:r>
        <w:rPr>
          <w:smallCaps/>
          <w:highlight w:val="none"/>
        </w:rPr>
        <w:fldChar w:fldCharType="end"/>
      </w:r>
    </w:p>
    <w:p>
      <w:pPr>
        <w:pStyle w:val="36"/>
        <w:tabs>
          <w:tab w:val="right" w:leader="dot" w:pos="8788"/>
          <w:tab w:val="clear" w:pos="8789"/>
        </w:tabs>
        <w:rPr>
          <w:highlight w:val="none"/>
        </w:rPr>
      </w:pPr>
      <w:r>
        <w:rPr>
          <w:smallCaps/>
          <w:highlight w:val="none"/>
        </w:rPr>
        <w:fldChar w:fldCharType="begin"/>
      </w:r>
      <w:r>
        <w:rPr>
          <w:smallCaps/>
          <w:highlight w:val="none"/>
        </w:rPr>
        <w:instrText xml:space="preserve"> HYPERLINK \l _Toc32064 </w:instrText>
      </w:r>
      <w:r>
        <w:rPr>
          <w:smallCaps/>
          <w:highlight w:val="none"/>
        </w:rPr>
        <w:fldChar w:fldCharType="separate"/>
      </w:r>
      <w:r>
        <w:rPr>
          <w:rFonts w:hint="eastAsia"/>
          <w:highlight w:val="none"/>
        </w:rPr>
        <w:t>资格性审查表、符合性审查表</w:t>
      </w:r>
      <w:r>
        <w:rPr>
          <w:highlight w:val="none"/>
        </w:rPr>
        <w:tab/>
      </w:r>
      <w:r>
        <w:rPr>
          <w:highlight w:val="none"/>
        </w:rPr>
        <w:fldChar w:fldCharType="begin"/>
      </w:r>
      <w:r>
        <w:rPr>
          <w:highlight w:val="none"/>
        </w:rPr>
        <w:instrText xml:space="preserve"> PAGEREF _Toc32064 </w:instrText>
      </w:r>
      <w:r>
        <w:rPr>
          <w:highlight w:val="none"/>
        </w:rPr>
        <w:fldChar w:fldCharType="separate"/>
      </w:r>
      <w:r>
        <w:rPr>
          <w:highlight w:val="none"/>
        </w:rPr>
        <w:t>3</w:t>
      </w:r>
      <w:r>
        <w:rPr>
          <w:highlight w:val="none"/>
        </w:rPr>
        <w:fldChar w:fldCharType="end"/>
      </w:r>
      <w:r>
        <w:rPr>
          <w:smallCaps/>
          <w:highlight w:val="none"/>
        </w:rPr>
        <w:fldChar w:fldCharType="end"/>
      </w:r>
    </w:p>
    <w:p>
      <w:pPr>
        <w:pStyle w:val="36"/>
        <w:tabs>
          <w:tab w:val="right" w:leader="dot" w:pos="8788"/>
          <w:tab w:val="clear" w:pos="8789"/>
        </w:tabs>
        <w:rPr>
          <w:highlight w:val="none"/>
        </w:rPr>
      </w:pPr>
      <w:r>
        <w:rPr>
          <w:smallCaps/>
          <w:highlight w:val="none"/>
        </w:rPr>
        <w:fldChar w:fldCharType="begin"/>
      </w:r>
      <w:r>
        <w:rPr>
          <w:smallCaps/>
          <w:highlight w:val="none"/>
        </w:rPr>
        <w:instrText xml:space="preserve"> HYPERLINK \l _Toc10206 </w:instrText>
      </w:r>
      <w:r>
        <w:rPr>
          <w:smallCaps/>
          <w:highlight w:val="none"/>
        </w:rPr>
        <w:fldChar w:fldCharType="separate"/>
      </w:r>
      <w:r>
        <w:rPr>
          <w:highlight w:val="none"/>
        </w:rPr>
        <w:t>评标信息</w:t>
      </w:r>
      <w:r>
        <w:rPr>
          <w:highlight w:val="none"/>
        </w:rPr>
        <w:tab/>
      </w:r>
      <w:r>
        <w:rPr>
          <w:highlight w:val="none"/>
        </w:rPr>
        <w:fldChar w:fldCharType="begin"/>
      </w:r>
      <w:r>
        <w:rPr>
          <w:highlight w:val="none"/>
        </w:rPr>
        <w:instrText xml:space="preserve"> PAGEREF _Toc10206 </w:instrText>
      </w:r>
      <w:r>
        <w:rPr>
          <w:highlight w:val="none"/>
        </w:rPr>
        <w:fldChar w:fldCharType="separate"/>
      </w:r>
      <w:r>
        <w:rPr>
          <w:highlight w:val="none"/>
        </w:rPr>
        <w:t>4</w:t>
      </w:r>
      <w:r>
        <w:rPr>
          <w:highlight w:val="none"/>
        </w:rPr>
        <w:fldChar w:fldCharType="end"/>
      </w:r>
      <w:r>
        <w:rPr>
          <w:smallCaps/>
          <w:highlight w:val="none"/>
        </w:rPr>
        <w:fldChar w:fldCharType="end"/>
      </w:r>
    </w:p>
    <w:p>
      <w:pPr>
        <w:pStyle w:val="36"/>
        <w:tabs>
          <w:tab w:val="right" w:leader="dot" w:pos="8788"/>
          <w:tab w:val="clear" w:pos="8789"/>
        </w:tabs>
        <w:rPr>
          <w:highlight w:val="none"/>
        </w:rPr>
      </w:pPr>
      <w:r>
        <w:rPr>
          <w:smallCaps/>
          <w:highlight w:val="none"/>
        </w:rPr>
        <w:fldChar w:fldCharType="begin"/>
      </w:r>
      <w:r>
        <w:rPr>
          <w:smallCaps/>
          <w:highlight w:val="none"/>
        </w:rPr>
        <w:instrText xml:space="preserve"> HYPERLINK \l _Toc8390 </w:instrText>
      </w:r>
      <w:r>
        <w:rPr>
          <w:smallCaps/>
          <w:highlight w:val="none"/>
        </w:rPr>
        <w:fldChar w:fldCharType="separate"/>
      </w:r>
      <w:r>
        <w:rPr>
          <w:rFonts w:hint="eastAsia" w:ascii="宋体" w:hAnsi="宋体"/>
          <w:bCs w:val="0"/>
          <w:szCs w:val="24"/>
          <w:highlight w:val="none"/>
        </w:rPr>
        <w:t>评分细则表</w:t>
      </w:r>
      <w:r>
        <w:rPr>
          <w:highlight w:val="none"/>
        </w:rPr>
        <w:tab/>
      </w:r>
      <w:r>
        <w:rPr>
          <w:highlight w:val="none"/>
        </w:rPr>
        <w:fldChar w:fldCharType="begin"/>
      </w:r>
      <w:r>
        <w:rPr>
          <w:highlight w:val="none"/>
        </w:rPr>
        <w:instrText xml:space="preserve"> PAGEREF _Toc8390 </w:instrText>
      </w:r>
      <w:r>
        <w:rPr>
          <w:highlight w:val="none"/>
        </w:rPr>
        <w:fldChar w:fldCharType="separate"/>
      </w:r>
      <w:r>
        <w:rPr>
          <w:highlight w:val="none"/>
        </w:rPr>
        <w:t>4</w:t>
      </w:r>
      <w:r>
        <w:rPr>
          <w:highlight w:val="none"/>
        </w:rPr>
        <w:fldChar w:fldCharType="end"/>
      </w:r>
      <w:r>
        <w:rPr>
          <w:smallCaps/>
          <w:highlight w:val="none"/>
        </w:rPr>
        <w:fldChar w:fldCharType="end"/>
      </w:r>
    </w:p>
    <w:p>
      <w:pPr>
        <w:pStyle w:val="31"/>
        <w:tabs>
          <w:tab w:val="right" w:leader="dot" w:pos="8788"/>
          <w:tab w:val="clear" w:pos="426"/>
          <w:tab w:val="clear" w:pos="8789"/>
        </w:tabs>
        <w:rPr>
          <w:highlight w:val="none"/>
        </w:rPr>
      </w:pPr>
      <w:r>
        <w:rPr>
          <w:smallCaps/>
          <w:highlight w:val="none"/>
        </w:rPr>
        <w:fldChar w:fldCharType="begin"/>
      </w:r>
      <w:r>
        <w:rPr>
          <w:smallCaps/>
          <w:highlight w:val="none"/>
        </w:rPr>
        <w:instrText xml:space="preserve"> HYPERLINK \l _Toc5429 </w:instrText>
      </w:r>
      <w:r>
        <w:rPr>
          <w:smallCaps/>
          <w:highlight w:val="none"/>
        </w:rPr>
        <w:fldChar w:fldCharType="separate"/>
      </w:r>
      <w:r>
        <w:rPr>
          <w:rFonts w:hint="eastAsia"/>
          <w:highlight w:val="none"/>
        </w:rPr>
        <w:t>第一册  专用条款</w:t>
      </w:r>
      <w:r>
        <w:rPr>
          <w:highlight w:val="none"/>
        </w:rPr>
        <w:tab/>
      </w:r>
      <w:r>
        <w:rPr>
          <w:highlight w:val="none"/>
        </w:rPr>
        <w:fldChar w:fldCharType="begin"/>
      </w:r>
      <w:r>
        <w:rPr>
          <w:highlight w:val="none"/>
        </w:rPr>
        <w:instrText xml:space="preserve"> PAGEREF _Toc5429 </w:instrText>
      </w:r>
      <w:r>
        <w:rPr>
          <w:highlight w:val="none"/>
        </w:rPr>
        <w:fldChar w:fldCharType="separate"/>
      </w:r>
      <w:r>
        <w:rPr>
          <w:highlight w:val="none"/>
        </w:rPr>
        <w:t>10</w:t>
      </w:r>
      <w:r>
        <w:rPr>
          <w:highlight w:val="none"/>
        </w:rPr>
        <w:fldChar w:fldCharType="end"/>
      </w:r>
      <w:r>
        <w:rPr>
          <w:smallCaps/>
          <w:highlight w:val="none"/>
        </w:rPr>
        <w:fldChar w:fldCharType="end"/>
      </w:r>
    </w:p>
    <w:p>
      <w:pPr>
        <w:pStyle w:val="36"/>
        <w:tabs>
          <w:tab w:val="right" w:leader="dot" w:pos="8788"/>
          <w:tab w:val="clear" w:pos="8789"/>
        </w:tabs>
        <w:rPr>
          <w:highlight w:val="none"/>
        </w:rPr>
      </w:pPr>
      <w:r>
        <w:rPr>
          <w:smallCaps/>
          <w:highlight w:val="none"/>
        </w:rPr>
        <w:fldChar w:fldCharType="begin"/>
      </w:r>
      <w:r>
        <w:rPr>
          <w:smallCaps/>
          <w:highlight w:val="none"/>
        </w:rPr>
        <w:instrText xml:space="preserve"> HYPERLINK \l _Toc32296 </w:instrText>
      </w:r>
      <w:r>
        <w:rPr>
          <w:smallCaps/>
          <w:highlight w:val="none"/>
        </w:rPr>
        <w:fldChar w:fldCharType="separate"/>
      </w:r>
      <w:r>
        <w:rPr>
          <w:rFonts w:hint="eastAsia"/>
          <w:highlight w:val="none"/>
        </w:rPr>
        <w:t>第一章 采购公告</w:t>
      </w:r>
      <w:r>
        <w:rPr>
          <w:highlight w:val="none"/>
        </w:rPr>
        <w:tab/>
      </w:r>
      <w:r>
        <w:rPr>
          <w:highlight w:val="none"/>
        </w:rPr>
        <w:fldChar w:fldCharType="begin"/>
      </w:r>
      <w:r>
        <w:rPr>
          <w:highlight w:val="none"/>
        </w:rPr>
        <w:instrText xml:space="preserve"> PAGEREF _Toc32296 </w:instrText>
      </w:r>
      <w:r>
        <w:rPr>
          <w:highlight w:val="none"/>
        </w:rPr>
        <w:fldChar w:fldCharType="separate"/>
      </w:r>
      <w:r>
        <w:rPr>
          <w:highlight w:val="none"/>
        </w:rPr>
        <w:t>10</w:t>
      </w:r>
      <w:r>
        <w:rPr>
          <w:highlight w:val="none"/>
        </w:rPr>
        <w:fldChar w:fldCharType="end"/>
      </w:r>
      <w:r>
        <w:rPr>
          <w:smallCaps/>
          <w:highlight w:val="none"/>
        </w:rPr>
        <w:fldChar w:fldCharType="end"/>
      </w:r>
    </w:p>
    <w:p>
      <w:pPr>
        <w:pStyle w:val="36"/>
        <w:tabs>
          <w:tab w:val="right" w:leader="dot" w:pos="8788"/>
          <w:tab w:val="clear" w:pos="8789"/>
        </w:tabs>
        <w:rPr>
          <w:highlight w:val="none"/>
        </w:rPr>
      </w:pPr>
      <w:r>
        <w:rPr>
          <w:smallCaps/>
          <w:highlight w:val="none"/>
        </w:rPr>
        <w:fldChar w:fldCharType="begin"/>
      </w:r>
      <w:r>
        <w:rPr>
          <w:smallCaps/>
          <w:highlight w:val="none"/>
        </w:rPr>
        <w:instrText xml:space="preserve"> HYPERLINK \l _Toc1406 </w:instrText>
      </w:r>
      <w:r>
        <w:rPr>
          <w:smallCaps/>
          <w:highlight w:val="none"/>
        </w:rPr>
        <w:fldChar w:fldCharType="separate"/>
      </w:r>
      <w:r>
        <w:rPr>
          <w:rFonts w:hint="eastAsia"/>
          <w:highlight w:val="none"/>
        </w:rPr>
        <w:t>第二章 投标须知前附表</w:t>
      </w:r>
      <w:r>
        <w:rPr>
          <w:highlight w:val="none"/>
        </w:rPr>
        <w:tab/>
      </w:r>
      <w:r>
        <w:rPr>
          <w:highlight w:val="none"/>
        </w:rPr>
        <w:fldChar w:fldCharType="begin"/>
      </w:r>
      <w:r>
        <w:rPr>
          <w:highlight w:val="none"/>
        </w:rPr>
        <w:instrText xml:space="preserve"> PAGEREF _Toc1406 </w:instrText>
      </w:r>
      <w:r>
        <w:rPr>
          <w:highlight w:val="none"/>
        </w:rPr>
        <w:fldChar w:fldCharType="separate"/>
      </w:r>
      <w:r>
        <w:rPr>
          <w:highlight w:val="none"/>
        </w:rPr>
        <w:t>13</w:t>
      </w:r>
      <w:r>
        <w:rPr>
          <w:highlight w:val="none"/>
        </w:rPr>
        <w:fldChar w:fldCharType="end"/>
      </w:r>
      <w:r>
        <w:rPr>
          <w:smallCaps/>
          <w:highlight w:val="none"/>
        </w:rPr>
        <w:fldChar w:fldCharType="end"/>
      </w:r>
    </w:p>
    <w:p>
      <w:pPr>
        <w:pStyle w:val="36"/>
        <w:tabs>
          <w:tab w:val="right" w:leader="dot" w:pos="8788"/>
          <w:tab w:val="clear" w:pos="8789"/>
        </w:tabs>
        <w:rPr>
          <w:highlight w:val="none"/>
        </w:rPr>
      </w:pPr>
      <w:r>
        <w:rPr>
          <w:smallCaps/>
          <w:highlight w:val="none"/>
        </w:rPr>
        <w:fldChar w:fldCharType="begin"/>
      </w:r>
      <w:r>
        <w:rPr>
          <w:smallCaps/>
          <w:highlight w:val="none"/>
        </w:rPr>
        <w:instrText xml:space="preserve"> HYPERLINK \l _Toc10783 </w:instrText>
      </w:r>
      <w:r>
        <w:rPr>
          <w:smallCaps/>
          <w:highlight w:val="none"/>
        </w:rPr>
        <w:fldChar w:fldCharType="separate"/>
      </w:r>
      <w:r>
        <w:rPr>
          <w:rFonts w:hint="eastAsia"/>
          <w:highlight w:val="none"/>
        </w:rPr>
        <w:t xml:space="preserve">第三章 </w:t>
      </w:r>
      <w:r>
        <w:rPr>
          <w:highlight w:val="none"/>
        </w:rPr>
        <w:t>项目</w:t>
      </w:r>
      <w:r>
        <w:rPr>
          <w:rFonts w:hint="eastAsia"/>
          <w:highlight w:val="none"/>
        </w:rPr>
        <w:t>需求</w:t>
      </w:r>
      <w:r>
        <w:rPr>
          <w:highlight w:val="none"/>
        </w:rPr>
        <w:tab/>
      </w:r>
      <w:r>
        <w:rPr>
          <w:highlight w:val="none"/>
        </w:rPr>
        <w:fldChar w:fldCharType="begin"/>
      </w:r>
      <w:r>
        <w:rPr>
          <w:highlight w:val="none"/>
        </w:rPr>
        <w:instrText xml:space="preserve"> PAGEREF _Toc10783 </w:instrText>
      </w:r>
      <w:r>
        <w:rPr>
          <w:highlight w:val="none"/>
        </w:rPr>
        <w:fldChar w:fldCharType="separate"/>
      </w:r>
      <w:r>
        <w:rPr>
          <w:highlight w:val="none"/>
        </w:rPr>
        <w:t>14</w:t>
      </w:r>
      <w:r>
        <w:rPr>
          <w:highlight w:val="none"/>
        </w:rPr>
        <w:fldChar w:fldCharType="end"/>
      </w:r>
      <w:r>
        <w:rPr>
          <w:smallCaps/>
          <w:highlight w:val="none"/>
        </w:rPr>
        <w:fldChar w:fldCharType="end"/>
      </w:r>
    </w:p>
    <w:p>
      <w:pPr>
        <w:pStyle w:val="36"/>
        <w:tabs>
          <w:tab w:val="right" w:leader="dot" w:pos="8788"/>
          <w:tab w:val="clear" w:pos="8789"/>
        </w:tabs>
        <w:rPr>
          <w:highlight w:val="none"/>
        </w:rPr>
      </w:pPr>
      <w:r>
        <w:rPr>
          <w:smallCaps/>
          <w:highlight w:val="none"/>
        </w:rPr>
        <w:fldChar w:fldCharType="begin"/>
      </w:r>
      <w:r>
        <w:rPr>
          <w:smallCaps/>
          <w:highlight w:val="none"/>
        </w:rPr>
        <w:instrText xml:space="preserve"> HYPERLINK \l _Toc18622 </w:instrText>
      </w:r>
      <w:r>
        <w:rPr>
          <w:smallCaps/>
          <w:highlight w:val="none"/>
        </w:rPr>
        <w:fldChar w:fldCharType="separate"/>
      </w:r>
      <w:r>
        <w:rPr>
          <w:rFonts w:hint="eastAsia"/>
          <w:highlight w:val="none"/>
        </w:rPr>
        <w:t>第</w:t>
      </w:r>
      <w:r>
        <w:rPr>
          <w:rFonts w:hint="eastAsia"/>
          <w:highlight w:val="none"/>
          <w:lang w:eastAsia="zh-CN"/>
        </w:rPr>
        <w:t>四</w:t>
      </w:r>
      <w:r>
        <w:rPr>
          <w:rFonts w:hint="eastAsia"/>
          <w:highlight w:val="none"/>
        </w:rPr>
        <w:t>章 投标文件格式、附件</w:t>
      </w:r>
      <w:r>
        <w:rPr>
          <w:highlight w:val="none"/>
        </w:rPr>
        <w:tab/>
      </w:r>
      <w:r>
        <w:rPr>
          <w:highlight w:val="none"/>
        </w:rPr>
        <w:fldChar w:fldCharType="begin"/>
      </w:r>
      <w:r>
        <w:rPr>
          <w:highlight w:val="none"/>
        </w:rPr>
        <w:instrText xml:space="preserve"> PAGEREF _Toc18622 </w:instrText>
      </w:r>
      <w:r>
        <w:rPr>
          <w:highlight w:val="none"/>
        </w:rPr>
        <w:fldChar w:fldCharType="separate"/>
      </w:r>
      <w:r>
        <w:rPr>
          <w:highlight w:val="none"/>
        </w:rPr>
        <w:t>17</w:t>
      </w:r>
      <w:r>
        <w:rPr>
          <w:highlight w:val="none"/>
        </w:rPr>
        <w:fldChar w:fldCharType="end"/>
      </w:r>
      <w:r>
        <w:rPr>
          <w:smallCaps/>
          <w:highlight w:val="none"/>
        </w:rPr>
        <w:fldChar w:fldCharType="end"/>
      </w:r>
    </w:p>
    <w:p>
      <w:pPr>
        <w:pStyle w:val="31"/>
        <w:tabs>
          <w:tab w:val="right" w:leader="dot" w:pos="8788"/>
          <w:tab w:val="clear" w:pos="426"/>
          <w:tab w:val="clear" w:pos="8789"/>
        </w:tabs>
        <w:rPr>
          <w:highlight w:val="none"/>
        </w:rPr>
      </w:pPr>
      <w:r>
        <w:rPr>
          <w:smallCaps/>
          <w:highlight w:val="none"/>
        </w:rPr>
        <w:fldChar w:fldCharType="begin"/>
      </w:r>
      <w:r>
        <w:rPr>
          <w:smallCaps/>
          <w:highlight w:val="none"/>
        </w:rPr>
        <w:instrText xml:space="preserve"> HYPERLINK \l _Toc21002 </w:instrText>
      </w:r>
      <w:r>
        <w:rPr>
          <w:smallCaps/>
          <w:highlight w:val="none"/>
        </w:rPr>
        <w:fldChar w:fldCharType="separate"/>
      </w:r>
      <w:r>
        <w:rPr>
          <w:rFonts w:hint="eastAsia"/>
          <w:highlight w:val="none"/>
        </w:rPr>
        <w:t>第二册  通用条款</w:t>
      </w:r>
      <w:r>
        <w:rPr>
          <w:highlight w:val="none"/>
        </w:rPr>
        <w:tab/>
      </w:r>
      <w:r>
        <w:rPr>
          <w:highlight w:val="none"/>
        </w:rPr>
        <w:fldChar w:fldCharType="begin"/>
      </w:r>
      <w:r>
        <w:rPr>
          <w:highlight w:val="none"/>
        </w:rPr>
        <w:instrText xml:space="preserve"> PAGEREF _Toc21002 </w:instrText>
      </w:r>
      <w:r>
        <w:rPr>
          <w:highlight w:val="none"/>
        </w:rPr>
        <w:fldChar w:fldCharType="separate"/>
      </w:r>
      <w:r>
        <w:rPr>
          <w:highlight w:val="none"/>
        </w:rPr>
        <w:t>33</w:t>
      </w:r>
      <w:r>
        <w:rPr>
          <w:highlight w:val="none"/>
        </w:rPr>
        <w:fldChar w:fldCharType="end"/>
      </w:r>
      <w:r>
        <w:rPr>
          <w:smallCaps/>
          <w:highlight w:val="none"/>
        </w:rPr>
        <w:fldChar w:fldCharType="end"/>
      </w:r>
    </w:p>
    <w:p>
      <w:pPr>
        <w:pStyle w:val="36"/>
        <w:tabs>
          <w:tab w:val="right" w:leader="dot" w:pos="8788"/>
          <w:tab w:val="clear" w:pos="8789"/>
        </w:tabs>
        <w:rPr>
          <w:highlight w:val="none"/>
        </w:rPr>
      </w:pPr>
      <w:r>
        <w:rPr>
          <w:smallCaps/>
          <w:highlight w:val="none"/>
        </w:rPr>
        <w:fldChar w:fldCharType="begin"/>
      </w:r>
      <w:r>
        <w:rPr>
          <w:smallCaps/>
          <w:highlight w:val="none"/>
        </w:rPr>
        <w:instrText xml:space="preserve"> HYPERLINK \l _Toc9887 </w:instrText>
      </w:r>
      <w:r>
        <w:rPr>
          <w:smallCaps/>
          <w:highlight w:val="none"/>
        </w:rPr>
        <w:fldChar w:fldCharType="separate"/>
      </w:r>
      <w:r>
        <w:rPr>
          <w:rFonts w:hint="eastAsia"/>
          <w:highlight w:val="none"/>
        </w:rPr>
        <w:t>第一章 总则</w:t>
      </w:r>
      <w:r>
        <w:rPr>
          <w:highlight w:val="none"/>
        </w:rPr>
        <w:tab/>
      </w:r>
      <w:r>
        <w:rPr>
          <w:highlight w:val="none"/>
        </w:rPr>
        <w:fldChar w:fldCharType="begin"/>
      </w:r>
      <w:r>
        <w:rPr>
          <w:highlight w:val="none"/>
        </w:rPr>
        <w:instrText xml:space="preserve"> PAGEREF _Toc9887 </w:instrText>
      </w:r>
      <w:r>
        <w:rPr>
          <w:highlight w:val="none"/>
        </w:rPr>
        <w:fldChar w:fldCharType="separate"/>
      </w:r>
      <w:r>
        <w:rPr>
          <w:highlight w:val="none"/>
        </w:rPr>
        <w:t>33</w:t>
      </w:r>
      <w:r>
        <w:rPr>
          <w:highlight w:val="none"/>
        </w:rPr>
        <w:fldChar w:fldCharType="end"/>
      </w:r>
      <w:r>
        <w:rPr>
          <w:smallCaps/>
          <w:highlight w:val="none"/>
        </w:rPr>
        <w:fldChar w:fldCharType="end"/>
      </w:r>
    </w:p>
    <w:p>
      <w:pPr>
        <w:pStyle w:val="36"/>
        <w:tabs>
          <w:tab w:val="right" w:leader="dot" w:pos="8788"/>
          <w:tab w:val="clear" w:pos="8789"/>
        </w:tabs>
        <w:rPr>
          <w:highlight w:val="none"/>
        </w:rPr>
      </w:pPr>
      <w:r>
        <w:rPr>
          <w:smallCaps/>
          <w:highlight w:val="none"/>
        </w:rPr>
        <w:fldChar w:fldCharType="begin"/>
      </w:r>
      <w:r>
        <w:rPr>
          <w:smallCaps/>
          <w:highlight w:val="none"/>
        </w:rPr>
        <w:instrText xml:space="preserve"> HYPERLINK \l _Toc14241 </w:instrText>
      </w:r>
      <w:r>
        <w:rPr>
          <w:smallCaps/>
          <w:highlight w:val="none"/>
        </w:rPr>
        <w:fldChar w:fldCharType="separate"/>
      </w:r>
      <w:r>
        <w:rPr>
          <w:rFonts w:hint="eastAsia"/>
          <w:highlight w:val="none"/>
        </w:rPr>
        <w:t>第二章 招标文件</w:t>
      </w:r>
      <w:r>
        <w:rPr>
          <w:highlight w:val="none"/>
        </w:rPr>
        <w:tab/>
      </w:r>
      <w:r>
        <w:rPr>
          <w:highlight w:val="none"/>
        </w:rPr>
        <w:fldChar w:fldCharType="begin"/>
      </w:r>
      <w:r>
        <w:rPr>
          <w:highlight w:val="none"/>
        </w:rPr>
        <w:instrText xml:space="preserve"> PAGEREF _Toc14241 </w:instrText>
      </w:r>
      <w:r>
        <w:rPr>
          <w:highlight w:val="none"/>
        </w:rPr>
        <w:fldChar w:fldCharType="separate"/>
      </w:r>
      <w:r>
        <w:rPr>
          <w:highlight w:val="none"/>
        </w:rPr>
        <w:t>35</w:t>
      </w:r>
      <w:r>
        <w:rPr>
          <w:highlight w:val="none"/>
        </w:rPr>
        <w:fldChar w:fldCharType="end"/>
      </w:r>
      <w:r>
        <w:rPr>
          <w:smallCaps/>
          <w:highlight w:val="none"/>
        </w:rPr>
        <w:fldChar w:fldCharType="end"/>
      </w:r>
    </w:p>
    <w:p>
      <w:pPr>
        <w:pStyle w:val="36"/>
        <w:tabs>
          <w:tab w:val="right" w:leader="dot" w:pos="8788"/>
          <w:tab w:val="clear" w:pos="8789"/>
        </w:tabs>
        <w:rPr>
          <w:highlight w:val="none"/>
        </w:rPr>
      </w:pPr>
      <w:r>
        <w:rPr>
          <w:smallCaps/>
          <w:highlight w:val="none"/>
        </w:rPr>
        <w:fldChar w:fldCharType="begin"/>
      </w:r>
      <w:r>
        <w:rPr>
          <w:smallCaps/>
          <w:highlight w:val="none"/>
        </w:rPr>
        <w:instrText xml:space="preserve"> HYPERLINK \l _Toc30665 </w:instrText>
      </w:r>
      <w:r>
        <w:rPr>
          <w:smallCaps/>
          <w:highlight w:val="none"/>
        </w:rPr>
        <w:fldChar w:fldCharType="separate"/>
      </w:r>
      <w:r>
        <w:rPr>
          <w:rFonts w:hint="eastAsia"/>
          <w:highlight w:val="none"/>
        </w:rPr>
        <w:t>第三章 投标文件的编制与递交</w:t>
      </w:r>
      <w:r>
        <w:rPr>
          <w:highlight w:val="none"/>
        </w:rPr>
        <w:tab/>
      </w:r>
      <w:r>
        <w:rPr>
          <w:highlight w:val="none"/>
        </w:rPr>
        <w:fldChar w:fldCharType="begin"/>
      </w:r>
      <w:r>
        <w:rPr>
          <w:highlight w:val="none"/>
        </w:rPr>
        <w:instrText xml:space="preserve"> PAGEREF _Toc30665 </w:instrText>
      </w:r>
      <w:r>
        <w:rPr>
          <w:highlight w:val="none"/>
        </w:rPr>
        <w:fldChar w:fldCharType="separate"/>
      </w:r>
      <w:r>
        <w:rPr>
          <w:highlight w:val="none"/>
        </w:rPr>
        <w:t>37</w:t>
      </w:r>
      <w:r>
        <w:rPr>
          <w:highlight w:val="none"/>
        </w:rPr>
        <w:fldChar w:fldCharType="end"/>
      </w:r>
      <w:r>
        <w:rPr>
          <w:smallCaps/>
          <w:highlight w:val="none"/>
        </w:rPr>
        <w:fldChar w:fldCharType="end"/>
      </w:r>
    </w:p>
    <w:p>
      <w:pPr>
        <w:pStyle w:val="36"/>
        <w:tabs>
          <w:tab w:val="right" w:leader="dot" w:pos="8788"/>
          <w:tab w:val="clear" w:pos="8789"/>
        </w:tabs>
        <w:rPr>
          <w:highlight w:val="none"/>
        </w:rPr>
      </w:pPr>
      <w:r>
        <w:rPr>
          <w:smallCaps/>
          <w:highlight w:val="none"/>
        </w:rPr>
        <w:fldChar w:fldCharType="begin"/>
      </w:r>
      <w:r>
        <w:rPr>
          <w:smallCaps/>
          <w:highlight w:val="none"/>
        </w:rPr>
        <w:instrText xml:space="preserve"> HYPERLINK \l _Toc16252 </w:instrText>
      </w:r>
      <w:r>
        <w:rPr>
          <w:smallCaps/>
          <w:highlight w:val="none"/>
        </w:rPr>
        <w:fldChar w:fldCharType="separate"/>
      </w:r>
      <w:r>
        <w:rPr>
          <w:rFonts w:hint="eastAsia"/>
          <w:highlight w:val="none"/>
        </w:rPr>
        <w:t>第四章 开标</w:t>
      </w:r>
      <w:r>
        <w:rPr>
          <w:highlight w:val="none"/>
        </w:rPr>
        <w:tab/>
      </w:r>
      <w:r>
        <w:rPr>
          <w:highlight w:val="none"/>
        </w:rPr>
        <w:fldChar w:fldCharType="begin"/>
      </w:r>
      <w:r>
        <w:rPr>
          <w:highlight w:val="none"/>
        </w:rPr>
        <w:instrText xml:space="preserve"> PAGEREF _Toc16252 </w:instrText>
      </w:r>
      <w:r>
        <w:rPr>
          <w:highlight w:val="none"/>
        </w:rPr>
        <w:fldChar w:fldCharType="separate"/>
      </w:r>
      <w:r>
        <w:rPr>
          <w:highlight w:val="none"/>
        </w:rPr>
        <w:t>41</w:t>
      </w:r>
      <w:r>
        <w:rPr>
          <w:highlight w:val="none"/>
        </w:rPr>
        <w:fldChar w:fldCharType="end"/>
      </w:r>
      <w:r>
        <w:rPr>
          <w:smallCaps/>
          <w:highlight w:val="none"/>
        </w:rPr>
        <w:fldChar w:fldCharType="end"/>
      </w:r>
    </w:p>
    <w:p>
      <w:pPr>
        <w:pStyle w:val="36"/>
        <w:tabs>
          <w:tab w:val="right" w:leader="dot" w:pos="8788"/>
          <w:tab w:val="clear" w:pos="8789"/>
        </w:tabs>
        <w:rPr>
          <w:highlight w:val="none"/>
        </w:rPr>
      </w:pPr>
      <w:r>
        <w:rPr>
          <w:smallCaps/>
          <w:highlight w:val="none"/>
        </w:rPr>
        <w:fldChar w:fldCharType="begin"/>
      </w:r>
      <w:r>
        <w:rPr>
          <w:smallCaps/>
          <w:highlight w:val="none"/>
        </w:rPr>
        <w:instrText xml:space="preserve"> HYPERLINK \l _Toc27349 </w:instrText>
      </w:r>
      <w:r>
        <w:rPr>
          <w:smallCaps/>
          <w:highlight w:val="none"/>
        </w:rPr>
        <w:fldChar w:fldCharType="separate"/>
      </w:r>
      <w:r>
        <w:rPr>
          <w:rFonts w:hint="eastAsia"/>
          <w:highlight w:val="none"/>
        </w:rPr>
        <w:t>第五章 评标要求</w:t>
      </w:r>
      <w:r>
        <w:rPr>
          <w:highlight w:val="none"/>
        </w:rPr>
        <w:tab/>
      </w:r>
      <w:r>
        <w:rPr>
          <w:highlight w:val="none"/>
        </w:rPr>
        <w:fldChar w:fldCharType="begin"/>
      </w:r>
      <w:r>
        <w:rPr>
          <w:highlight w:val="none"/>
        </w:rPr>
        <w:instrText xml:space="preserve"> PAGEREF _Toc27349 </w:instrText>
      </w:r>
      <w:r>
        <w:rPr>
          <w:highlight w:val="none"/>
        </w:rPr>
        <w:fldChar w:fldCharType="separate"/>
      </w:r>
      <w:r>
        <w:rPr>
          <w:highlight w:val="none"/>
        </w:rPr>
        <w:t>41</w:t>
      </w:r>
      <w:r>
        <w:rPr>
          <w:highlight w:val="none"/>
        </w:rPr>
        <w:fldChar w:fldCharType="end"/>
      </w:r>
      <w:r>
        <w:rPr>
          <w:smallCaps/>
          <w:highlight w:val="none"/>
        </w:rPr>
        <w:fldChar w:fldCharType="end"/>
      </w:r>
    </w:p>
    <w:p>
      <w:pPr>
        <w:pStyle w:val="36"/>
        <w:tabs>
          <w:tab w:val="right" w:leader="dot" w:pos="8788"/>
          <w:tab w:val="clear" w:pos="8789"/>
        </w:tabs>
        <w:rPr>
          <w:highlight w:val="none"/>
        </w:rPr>
      </w:pPr>
      <w:r>
        <w:rPr>
          <w:smallCaps/>
          <w:highlight w:val="none"/>
        </w:rPr>
        <w:fldChar w:fldCharType="begin"/>
      </w:r>
      <w:r>
        <w:rPr>
          <w:smallCaps/>
          <w:highlight w:val="none"/>
        </w:rPr>
        <w:instrText xml:space="preserve"> HYPERLINK \l _Toc20643 </w:instrText>
      </w:r>
      <w:r>
        <w:rPr>
          <w:smallCaps/>
          <w:highlight w:val="none"/>
        </w:rPr>
        <w:fldChar w:fldCharType="separate"/>
      </w:r>
      <w:r>
        <w:rPr>
          <w:rFonts w:hint="eastAsia"/>
          <w:highlight w:val="none"/>
        </w:rPr>
        <w:t>第六章 评标程序及评标方法</w:t>
      </w:r>
      <w:r>
        <w:rPr>
          <w:highlight w:val="none"/>
        </w:rPr>
        <w:tab/>
      </w:r>
      <w:r>
        <w:rPr>
          <w:highlight w:val="none"/>
        </w:rPr>
        <w:fldChar w:fldCharType="begin"/>
      </w:r>
      <w:r>
        <w:rPr>
          <w:highlight w:val="none"/>
        </w:rPr>
        <w:instrText xml:space="preserve"> PAGEREF _Toc20643 </w:instrText>
      </w:r>
      <w:r>
        <w:rPr>
          <w:highlight w:val="none"/>
        </w:rPr>
        <w:fldChar w:fldCharType="separate"/>
      </w:r>
      <w:r>
        <w:rPr>
          <w:highlight w:val="none"/>
        </w:rPr>
        <w:t>42</w:t>
      </w:r>
      <w:r>
        <w:rPr>
          <w:highlight w:val="none"/>
        </w:rPr>
        <w:fldChar w:fldCharType="end"/>
      </w:r>
      <w:r>
        <w:rPr>
          <w:smallCaps/>
          <w:highlight w:val="none"/>
        </w:rPr>
        <w:fldChar w:fldCharType="end"/>
      </w:r>
    </w:p>
    <w:p>
      <w:pPr>
        <w:pStyle w:val="36"/>
        <w:tabs>
          <w:tab w:val="right" w:leader="dot" w:pos="8788"/>
          <w:tab w:val="clear" w:pos="8789"/>
        </w:tabs>
        <w:rPr>
          <w:highlight w:val="none"/>
        </w:rPr>
      </w:pPr>
      <w:r>
        <w:rPr>
          <w:smallCaps/>
          <w:highlight w:val="none"/>
        </w:rPr>
        <w:fldChar w:fldCharType="begin"/>
      </w:r>
      <w:r>
        <w:rPr>
          <w:smallCaps/>
          <w:highlight w:val="none"/>
        </w:rPr>
        <w:instrText xml:space="preserve"> HYPERLINK \l _Toc23066 </w:instrText>
      </w:r>
      <w:r>
        <w:rPr>
          <w:smallCaps/>
          <w:highlight w:val="none"/>
        </w:rPr>
        <w:fldChar w:fldCharType="separate"/>
      </w:r>
      <w:r>
        <w:rPr>
          <w:rFonts w:hint="eastAsia"/>
          <w:highlight w:val="none"/>
        </w:rPr>
        <w:t>第七章 定标及公示</w:t>
      </w:r>
      <w:r>
        <w:rPr>
          <w:highlight w:val="none"/>
        </w:rPr>
        <w:tab/>
      </w:r>
      <w:r>
        <w:rPr>
          <w:highlight w:val="none"/>
        </w:rPr>
        <w:fldChar w:fldCharType="begin"/>
      </w:r>
      <w:r>
        <w:rPr>
          <w:highlight w:val="none"/>
        </w:rPr>
        <w:instrText xml:space="preserve"> PAGEREF _Toc23066 </w:instrText>
      </w:r>
      <w:r>
        <w:rPr>
          <w:highlight w:val="none"/>
        </w:rPr>
        <w:fldChar w:fldCharType="separate"/>
      </w:r>
      <w:r>
        <w:rPr>
          <w:highlight w:val="none"/>
        </w:rPr>
        <w:t>46</w:t>
      </w:r>
      <w:r>
        <w:rPr>
          <w:highlight w:val="none"/>
        </w:rPr>
        <w:fldChar w:fldCharType="end"/>
      </w:r>
      <w:r>
        <w:rPr>
          <w:smallCaps/>
          <w:highlight w:val="none"/>
        </w:rPr>
        <w:fldChar w:fldCharType="end"/>
      </w:r>
    </w:p>
    <w:p>
      <w:pPr>
        <w:pStyle w:val="36"/>
        <w:tabs>
          <w:tab w:val="right" w:leader="dot" w:pos="8788"/>
          <w:tab w:val="clear" w:pos="8789"/>
        </w:tabs>
        <w:rPr>
          <w:highlight w:val="none"/>
        </w:rPr>
      </w:pPr>
      <w:r>
        <w:rPr>
          <w:smallCaps/>
          <w:highlight w:val="none"/>
        </w:rPr>
        <w:fldChar w:fldCharType="begin"/>
      </w:r>
      <w:r>
        <w:rPr>
          <w:smallCaps/>
          <w:highlight w:val="none"/>
        </w:rPr>
        <w:instrText xml:space="preserve"> HYPERLINK \l _Toc30143 </w:instrText>
      </w:r>
      <w:r>
        <w:rPr>
          <w:smallCaps/>
          <w:highlight w:val="none"/>
        </w:rPr>
        <w:fldChar w:fldCharType="separate"/>
      </w:r>
      <w:r>
        <w:rPr>
          <w:rFonts w:hint="eastAsia"/>
          <w:highlight w:val="none"/>
        </w:rPr>
        <w:t>第八章 公开招标失败的后续处理</w:t>
      </w:r>
      <w:r>
        <w:rPr>
          <w:highlight w:val="none"/>
        </w:rPr>
        <w:tab/>
      </w:r>
      <w:r>
        <w:rPr>
          <w:highlight w:val="none"/>
        </w:rPr>
        <w:fldChar w:fldCharType="begin"/>
      </w:r>
      <w:r>
        <w:rPr>
          <w:highlight w:val="none"/>
        </w:rPr>
        <w:instrText xml:space="preserve"> PAGEREF _Toc30143 </w:instrText>
      </w:r>
      <w:r>
        <w:rPr>
          <w:highlight w:val="none"/>
        </w:rPr>
        <w:fldChar w:fldCharType="separate"/>
      </w:r>
      <w:r>
        <w:rPr>
          <w:highlight w:val="none"/>
        </w:rPr>
        <w:t>47</w:t>
      </w:r>
      <w:r>
        <w:rPr>
          <w:highlight w:val="none"/>
        </w:rPr>
        <w:fldChar w:fldCharType="end"/>
      </w:r>
      <w:r>
        <w:rPr>
          <w:smallCaps/>
          <w:highlight w:val="none"/>
        </w:rPr>
        <w:fldChar w:fldCharType="end"/>
      </w:r>
    </w:p>
    <w:p>
      <w:pPr>
        <w:pStyle w:val="36"/>
        <w:tabs>
          <w:tab w:val="right" w:leader="dot" w:pos="8788"/>
          <w:tab w:val="clear" w:pos="8789"/>
        </w:tabs>
        <w:rPr>
          <w:highlight w:val="none"/>
        </w:rPr>
      </w:pPr>
      <w:r>
        <w:rPr>
          <w:smallCaps/>
          <w:highlight w:val="none"/>
        </w:rPr>
        <w:fldChar w:fldCharType="begin"/>
      </w:r>
      <w:r>
        <w:rPr>
          <w:smallCaps/>
          <w:highlight w:val="none"/>
        </w:rPr>
        <w:instrText xml:space="preserve"> HYPERLINK \l _Toc166 </w:instrText>
      </w:r>
      <w:r>
        <w:rPr>
          <w:smallCaps/>
          <w:highlight w:val="none"/>
        </w:rPr>
        <w:fldChar w:fldCharType="separate"/>
      </w:r>
      <w:r>
        <w:rPr>
          <w:rFonts w:hint="eastAsia"/>
          <w:highlight w:val="none"/>
        </w:rPr>
        <w:t>第九章 合同的授予与备案</w:t>
      </w:r>
      <w:r>
        <w:rPr>
          <w:highlight w:val="none"/>
        </w:rPr>
        <w:tab/>
      </w:r>
      <w:r>
        <w:rPr>
          <w:highlight w:val="none"/>
        </w:rPr>
        <w:fldChar w:fldCharType="begin"/>
      </w:r>
      <w:r>
        <w:rPr>
          <w:highlight w:val="none"/>
        </w:rPr>
        <w:instrText xml:space="preserve"> PAGEREF _Toc166 </w:instrText>
      </w:r>
      <w:r>
        <w:rPr>
          <w:highlight w:val="none"/>
        </w:rPr>
        <w:fldChar w:fldCharType="separate"/>
      </w:r>
      <w:r>
        <w:rPr>
          <w:highlight w:val="none"/>
        </w:rPr>
        <w:t>50</w:t>
      </w:r>
      <w:r>
        <w:rPr>
          <w:highlight w:val="none"/>
        </w:rPr>
        <w:fldChar w:fldCharType="end"/>
      </w:r>
      <w:r>
        <w:rPr>
          <w:smallCaps/>
          <w:highlight w:val="none"/>
        </w:rPr>
        <w:fldChar w:fldCharType="end"/>
      </w:r>
    </w:p>
    <w:p>
      <w:pPr>
        <w:pStyle w:val="36"/>
        <w:tabs>
          <w:tab w:val="right" w:leader="dot" w:pos="8788"/>
          <w:tab w:val="clear" w:pos="8789"/>
        </w:tabs>
        <w:rPr>
          <w:highlight w:val="none"/>
        </w:rPr>
        <w:sectPr>
          <w:footerReference r:id="rId3" w:type="even"/>
          <w:pgSz w:w="11906" w:h="16838"/>
          <w:pgMar w:top="1134" w:right="1700" w:bottom="1134" w:left="1418" w:header="851" w:footer="992" w:gutter="0"/>
          <w:pgNumType w:start="0"/>
          <w:cols w:space="425" w:num="1"/>
          <w:titlePg/>
          <w:docGrid w:linePitch="462" w:charSpace="0"/>
        </w:sectPr>
      </w:pPr>
      <w:r>
        <w:rPr>
          <w:smallCaps/>
          <w:highlight w:val="none"/>
        </w:rPr>
        <w:fldChar w:fldCharType="begin"/>
      </w:r>
      <w:r>
        <w:rPr>
          <w:smallCaps/>
          <w:highlight w:val="none"/>
        </w:rPr>
        <w:instrText xml:space="preserve"> HYPERLINK \l _Toc29856 </w:instrText>
      </w:r>
      <w:r>
        <w:rPr>
          <w:smallCaps/>
          <w:highlight w:val="none"/>
        </w:rPr>
        <w:fldChar w:fldCharType="separate"/>
      </w:r>
      <w:r>
        <w:rPr>
          <w:rFonts w:hint="eastAsia"/>
          <w:highlight w:val="none"/>
        </w:rPr>
        <w:t>第十章 质疑受理</w:t>
      </w:r>
      <w:r>
        <w:rPr>
          <w:highlight w:val="none"/>
        </w:rPr>
        <w:tab/>
      </w:r>
      <w:r>
        <w:rPr>
          <w:highlight w:val="none"/>
        </w:rPr>
        <w:fldChar w:fldCharType="begin"/>
      </w:r>
      <w:r>
        <w:rPr>
          <w:highlight w:val="none"/>
        </w:rPr>
        <w:instrText xml:space="preserve"> PAGEREF _Toc29856 </w:instrText>
      </w:r>
      <w:r>
        <w:rPr>
          <w:highlight w:val="none"/>
        </w:rPr>
        <w:fldChar w:fldCharType="separate"/>
      </w:r>
      <w:r>
        <w:rPr>
          <w:highlight w:val="none"/>
        </w:rPr>
        <w:t>50</w:t>
      </w:r>
      <w:r>
        <w:rPr>
          <w:highlight w:val="none"/>
        </w:rPr>
        <w:fldChar w:fldCharType="end"/>
      </w:r>
      <w:r>
        <w:rPr>
          <w:smallCaps/>
          <w:highlight w:val="none"/>
        </w:rPr>
        <w:fldChar w:fldCharType="end"/>
      </w:r>
      <w:r>
        <w:rPr>
          <w:smallCaps/>
          <w:highlight w:val="none"/>
        </w:rPr>
        <w:fldChar w:fldCharType="end"/>
      </w:r>
    </w:p>
    <w:p>
      <w:pPr>
        <w:pStyle w:val="33"/>
        <w:tabs>
          <w:tab w:val="clear" w:pos="426"/>
        </w:tabs>
        <w:rPr>
          <w:highlight w:val="none"/>
        </w:rPr>
      </w:pPr>
      <w:bookmarkStart w:id="0" w:name="_Toc8327"/>
      <w:bookmarkStart w:id="1" w:name="_Toc432592808"/>
      <w:r>
        <w:rPr>
          <w:rFonts w:hint="eastAsia"/>
          <w:highlight w:val="none"/>
        </w:rPr>
        <w:t>警示条款</w:t>
      </w:r>
      <w:bookmarkEnd w:id="0"/>
    </w:p>
    <w:p>
      <w:pPr>
        <w:ind w:firstLine="560" w:firstLineChars="200"/>
        <w:rPr>
          <w:sz w:val="28"/>
          <w:szCs w:val="28"/>
          <w:highlight w:val="none"/>
        </w:rPr>
      </w:pPr>
      <w:r>
        <w:rPr>
          <w:rFonts w:hint="eastAsia"/>
          <w:sz w:val="28"/>
          <w:szCs w:val="28"/>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rPr>
          <w:sz w:val="28"/>
          <w:szCs w:val="28"/>
          <w:highlight w:val="none"/>
        </w:rPr>
      </w:pPr>
      <w:r>
        <w:rPr>
          <w:rFonts w:hint="eastAsia"/>
          <w:sz w:val="28"/>
          <w:szCs w:val="28"/>
          <w:highlight w:val="none"/>
        </w:rPr>
        <w:t xml:space="preserve">  （一）在采购活动中应当回避而未回避的；</w:t>
      </w:r>
    </w:p>
    <w:p>
      <w:pPr>
        <w:rPr>
          <w:sz w:val="28"/>
          <w:szCs w:val="28"/>
          <w:highlight w:val="none"/>
        </w:rPr>
      </w:pPr>
      <w:r>
        <w:rPr>
          <w:rFonts w:hint="eastAsia"/>
          <w:sz w:val="28"/>
          <w:szCs w:val="28"/>
          <w:highlight w:val="none"/>
        </w:rPr>
        <w:t xml:space="preserve">  （二）未按本条例规定签订、履行采购合同，造成严重后果的；</w:t>
      </w:r>
    </w:p>
    <w:p>
      <w:pPr>
        <w:rPr>
          <w:sz w:val="28"/>
          <w:szCs w:val="28"/>
          <w:highlight w:val="none"/>
        </w:rPr>
      </w:pPr>
      <w:r>
        <w:rPr>
          <w:rFonts w:hint="eastAsia"/>
          <w:sz w:val="28"/>
          <w:szCs w:val="28"/>
          <w:highlight w:val="none"/>
        </w:rPr>
        <w:t xml:space="preserve">  （三）隐瞒真实情况，提供虚假资料的；</w:t>
      </w:r>
    </w:p>
    <w:p>
      <w:pPr>
        <w:rPr>
          <w:sz w:val="28"/>
          <w:szCs w:val="28"/>
          <w:highlight w:val="none"/>
        </w:rPr>
      </w:pPr>
      <w:r>
        <w:rPr>
          <w:rFonts w:hint="eastAsia"/>
          <w:sz w:val="28"/>
          <w:szCs w:val="28"/>
          <w:highlight w:val="none"/>
        </w:rPr>
        <w:t xml:space="preserve">  （四）以非法手段排斥其他供应商参与竞争的；</w:t>
      </w:r>
    </w:p>
    <w:p>
      <w:pPr>
        <w:rPr>
          <w:sz w:val="28"/>
          <w:szCs w:val="28"/>
          <w:highlight w:val="none"/>
        </w:rPr>
      </w:pPr>
      <w:r>
        <w:rPr>
          <w:rFonts w:hint="eastAsia"/>
          <w:sz w:val="28"/>
          <w:szCs w:val="28"/>
          <w:highlight w:val="none"/>
        </w:rPr>
        <w:t xml:space="preserve">  （五）与其他采购参加人串通投标的；</w:t>
      </w:r>
    </w:p>
    <w:p>
      <w:pPr>
        <w:rPr>
          <w:sz w:val="28"/>
          <w:szCs w:val="28"/>
          <w:highlight w:val="none"/>
        </w:rPr>
      </w:pPr>
      <w:r>
        <w:rPr>
          <w:rFonts w:hint="eastAsia"/>
          <w:sz w:val="28"/>
          <w:szCs w:val="28"/>
          <w:highlight w:val="none"/>
        </w:rPr>
        <w:t xml:space="preserve">  （六）恶意投诉的；</w:t>
      </w:r>
    </w:p>
    <w:p>
      <w:pPr>
        <w:rPr>
          <w:sz w:val="28"/>
          <w:szCs w:val="28"/>
          <w:highlight w:val="none"/>
        </w:rPr>
      </w:pPr>
      <w:r>
        <w:rPr>
          <w:rFonts w:hint="eastAsia"/>
          <w:sz w:val="28"/>
          <w:szCs w:val="28"/>
          <w:highlight w:val="none"/>
        </w:rPr>
        <w:t xml:space="preserve">  （七）向采购项目相关人行贿或者提供其他不当利益的；</w:t>
      </w:r>
    </w:p>
    <w:p>
      <w:pPr>
        <w:rPr>
          <w:sz w:val="28"/>
          <w:szCs w:val="28"/>
          <w:highlight w:val="none"/>
        </w:rPr>
      </w:pPr>
      <w:r>
        <w:rPr>
          <w:rFonts w:hint="eastAsia"/>
          <w:sz w:val="28"/>
          <w:szCs w:val="28"/>
          <w:highlight w:val="none"/>
        </w:rPr>
        <w:t xml:space="preserve">  （八）阻碍、抗拒主管部门监督检查的；</w:t>
      </w:r>
    </w:p>
    <w:p>
      <w:pPr>
        <w:rPr>
          <w:sz w:val="28"/>
          <w:szCs w:val="28"/>
          <w:highlight w:val="none"/>
        </w:rPr>
      </w:pPr>
      <w:r>
        <w:rPr>
          <w:rFonts w:hint="eastAsia"/>
          <w:sz w:val="28"/>
          <w:szCs w:val="28"/>
          <w:highlight w:val="none"/>
        </w:rPr>
        <w:t xml:space="preserve">  （九）其他违反本条例规定的行为。</w:t>
      </w:r>
    </w:p>
    <w:p>
      <w:pPr>
        <w:shd w:val="clear" w:color="auto" w:fill="auto"/>
        <w:tabs>
          <w:tab w:val="clear" w:pos="426"/>
        </w:tabs>
        <w:adjustRightInd/>
        <w:snapToGrid/>
        <w:spacing w:line="240" w:lineRule="auto"/>
        <w:jc w:val="left"/>
        <w:rPr>
          <w:rFonts w:ascii="Cambria" w:hAnsi="Cambria" w:cs="Times New Roman"/>
          <w:b/>
          <w:bCs/>
          <w:kern w:val="28"/>
          <w:sz w:val="28"/>
          <w:szCs w:val="32"/>
          <w:highlight w:val="none"/>
        </w:rPr>
      </w:pPr>
      <w:r>
        <w:rPr>
          <w:rFonts w:ascii="Cambria" w:hAnsi="Cambria" w:cs="Times New Roman"/>
          <w:b/>
          <w:bCs/>
          <w:kern w:val="28"/>
          <w:sz w:val="28"/>
          <w:szCs w:val="32"/>
          <w:highlight w:val="none"/>
        </w:rPr>
        <w:br w:type="page"/>
      </w:r>
    </w:p>
    <w:p>
      <w:pPr>
        <w:shd w:val="clear" w:color="auto" w:fill="auto"/>
        <w:tabs>
          <w:tab w:val="clear" w:pos="426"/>
        </w:tabs>
        <w:adjustRightInd/>
        <w:snapToGrid/>
        <w:spacing w:line="240" w:lineRule="auto"/>
        <w:jc w:val="left"/>
        <w:rPr>
          <w:rFonts w:ascii="Cambria" w:hAnsi="Cambria" w:cs="Times New Roman"/>
          <w:b/>
          <w:bCs/>
          <w:kern w:val="28"/>
          <w:sz w:val="28"/>
          <w:szCs w:val="32"/>
          <w:highlight w:val="none"/>
        </w:rPr>
      </w:pPr>
    </w:p>
    <w:p>
      <w:pPr>
        <w:pStyle w:val="33"/>
        <w:tabs>
          <w:tab w:val="clear" w:pos="426"/>
        </w:tabs>
        <w:rPr>
          <w:highlight w:val="none"/>
        </w:rPr>
      </w:pPr>
      <w:bookmarkStart w:id="2" w:name="_Toc389"/>
      <w:r>
        <w:rPr>
          <w:rFonts w:hint="eastAsia"/>
          <w:highlight w:val="none"/>
        </w:rPr>
        <w:t>项目关键信息</w:t>
      </w:r>
      <w:bookmarkEnd w:id="1"/>
      <w:bookmarkEnd w:id="2"/>
    </w:p>
    <w:tbl>
      <w:tblPr>
        <w:tblStyle w:val="44"/>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6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highlight w:val="none"/>
              </w:rPr>
            </w:pPr>
            <w:r>
              <w:rPr>
                <w:rFonts w:hint="eastAsia"/>
                <w:szCs w:val="21"/>
                <w:highlight w:val="none"/>
              </w:rPr>
              <w:t>项目编号</w:t>
            </w:r>
          </w:p>
        </w:tc>
        <w:tc>
          <w:tcPr>
            <w:tcW w:w="6244" w:type="dxa"/>
            <w:vAlign w:val="center"/>
          </w:tcPr>
          <w:p>
            <w:pPr>
              <w:tabs>
                <w:tab w:val="clear" w:pos="426"/>
              </w:tabs>
              <w:adjustRightInd/>
              <w:snapToGrid/>
              <w:spacing w:line="240" w:lineRule="auto"/>
              <w:rPr>
                <w:rFonts w:hint="eastAsia" w:eastAsia="宋体"/>
                <w:szCs w:val="21"/>
                <w:highlight w:val="none"/>
                <w:lang w:eastAsia="zh-CN"/>
              </w:rPr>
            </w:pPr>
            <w:r>
              <w:rPr>
                <w:rFonts w:hint="eastAsia"/>
                <w:szCs w:val="21"/>
                <w:highlight w:val="none"/>
                <w:lang w:eastAsia="zh-CN"/>
              </w:rPr>
              <w:t>SSZX2019-160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highlight w:val="none"/>
              </w:rPr>
            </w:pPr>
            <w:r>
              <w:rPr>
                <w:rFonts w:hint="eastAsia"/>
                <w:szCs w:val="21"/>
                <w:highlight w:val="none"/>
              </w:rPr>
              <w:t>项目名称</w:t>
            </w:r>
          </w:p>
        </w:tc>
        <w:tc>
          <w:tcPr>
            <w:tcW w:w="6244" w:type="dxa"/>
            <w:vAlign w:val="center"/>
          </w:tcPr>
          <w:p>
            <w:pPr>
              <w:tabs>
                <w:tab w:val="clear" w:pos="426"/>
              </w:tabs>
              <w:adjustRightInd/>
              <w:snapToGrid/>
              <w:spacing w:line="240" w:lineRule="auto"/>
              <w:rPr>
                <w:rFonts w:hint="eastAsia" w:eastAsia="宋体"/>
                <w:szCs w:val="21"/>
                <w:highlight w:val="none"/>
                <w:lang w:eastAsia="zh-CN"/>
              </w:rPr>
            </w:pPr>
            <w:r>
              <w:rPr>
                <w:rFonts w:hint="eastAsia"/>
                <w:szCs w:val="21"/>
                <w:highlight w:val="none"/>
                <w:lang w:eastAsia="zh-CN"/>
              </w:rPr>
              <w:t>深圳市坪山区城市管理和综合执法局工程（园林绿化类）预选库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highlight w:val="none"/>
              </w:rPr>
            </w:pPr>
            <w:r>
              <w:rPr>
                <w:szCs w:val="21"/>
                <w:highlight w:val="none"/>
              </w:rPr>
              <w:t>项目类型</w:t>
            </w:r>
          </w:p>
        </w:tc>
        <w:tc>
          <w:tcPr>
            <w:tcW w:w="6244" w:type="dxa"/>
            <w:vAlign w:val="center"/>
          </w:tcPr>
          <w:p>
            <w:pPr>
              <w:tabs>
                <w:tab w:val="clear" w:pos="426"/>
              </w:tabs>
              <w:adjustRightInd/>
              <w:snapToGrid/>
              <w:spacing w:line="240" w:lineRule="auto"/>
              <w:rPr>
                <w:szCs w:val="21"/>
                <w:highlight w:val="none"/>
              </w:rPr>
            </w:pPr>
            <w:r>
              <w:rPr>
                <w:rFonts w:hint="eastAsia"/>
                <w:szCs w:val="21"/>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highlight w:val="none"/>
              </w:rPr>
            </w:pPr>
            <w:r>
              <w:rPr>
                <w:szCs w:val="21"/>
                <w:highlight w:val="none"/>
              </w:rPr>
              <w:t>采购方式</w:t>
            </w:r>
          </w:p>
        </w:tc>
        <w:tc>
          <w:tcPr>
            <w:tcW w:w="6244" w:type="dxa"/>
            <w:vAlign w:val="center"/>
          </w:tcPr>
          <w:p>
            <w:pPr>
              <w:tabs>
                <w:tab w:val="clear" w:pos="426"/>
              </w:tabs>
              <w:adjustRightInd/>
              <w:snapToGrid/>
              <w:spacing w:line="240" w:lineRule="auto"/>
              <w:rPr>
                <w:szCs w:val="21"/>
                <w:highlight w:val="none"/>
              </w:rPr>
            </w:pPr>
            <w:r>
              <w:rPr>
                <w:rFonts w:hint="eastAsia"/>
                <w:szCs w:val="21"/>
                <w:highlight w:val="none"/>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highlight w:val="none"/>
              </w:rPr>
            </w:pPr>
            <w:r>
              <w:rPr>
                <w:szCs w:val="21"/>
                <w:highlight w:val="none"/>
              </w:rPr>
              <w:t>货币类型</w:t>
            </w:r>
          </w:p>
        </w:tc>
        <w:tc>
          <w:tcPr>
            <w:tcW w:w="6244" w:type="dxa"/>
            <w:vAlign w:val="center"/>
          </w:tcPr>
          <w:p>
            <w:pPr>
              <w:tabs>
                <w:tab w:val="clear" w:pos="426"/>
              </w:tabs>
              <w:adjustRightInd/>
              <w:snapToGrid/>
              <w:spacing w:line="240" w:lineRule="auto"/>
              <w:rPr>
                <w:szCs w:val="21"/>
                <w:highlight w:val="none"/>
              </w:rPr>
            </w:pPr>
            <w:r>
              <w:rPr>
                <w:szCs w:val="21"/>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highlight w:val="none"/>
              </w:rPr>
            </w:pPr>
            <w:r>
              <w:rPr>
                <w:rFonts w:hint="eastAsia"/>
                <w:szCs w:val="21"/>
                <w:highlight w:val="none"/>
              </w:rPr>
              <w:t>预算金额</w:t>
            </w:r>
          </w:p>
        </w:tc>
        <w:tc>
          <w:tcPr>
            <w:tcW w:w="6244" w:type="dxa"/>
            <w:vAlign w:val="center"/>
          </w:tcPr>
          <w:p>
            <w:pPr>
              <w:tabs>
                <w:tab w:val="clear" w:pos="426"/>
              </w:tabs>
              <w:adjustRightInd/>
              <w:snapToGrid/>
              <w:spacing w:line="240" w:lineRule="auto"/>
              <w:rPr>
                <w:rFonts w:hint="eastAsia" w:eastAsia="宋体"/>
                <w:bCs/>
                <w:szCs w:val="21"/>
                <w:highlight w:val="none"/>
                <w:lang w:eastAsia="zh-CN"/>
              </w:rPr>
            </w:pPr>
            <w:r>
              <w:rPr>
                <w:rFonts w:hint="eastAsia" w:eastAsia="微软雅黑"/>
                <w:bCs/>
                <w:szCs w:val="21"/>
                <w:highlight w:val="none"/>
              </w:rPr>
              <w:t>￥</w:t>
            </w:r>
            <w:r>
              <w:rPr>
                <w:rFonts w:hint="eastAsia" w:eastAsia="微软雅黑"/>
                <w:bCs/>
                <w:szCs w:val="21"/>
                <w:highlight w:val="none"/>
                <w:lang w:val="en-US" w:eastAsia="zh-CN"/>
              </w:rPr>
              <w:t>/</w:t>
            </w:r>
            <w:r>
              <w:rPr>
                <w:rFonts w:hint="eastAsia"/>
                <w:bCs/>
                <w:szCs w:val="21"/>
                <w:highlight w:val="none"/>
              </w:rPr>
              <w:t xml:space="preserve">元（人民币 </w:t>
            </w:r>
            <w:r>
              <w:rPr>
                <w:rFonts w:hint="eastAsia"/>
                <w:bCs/>
                <w:szCs w:val="21"/>
                <w:highlight w:val="none"/>
                <w:lang w:val="en-US" w:eastAsia="zh-CN"/>
              </w:rPr>
              <w:t>/</w:t>
            </w:r>
            <w:r>
              <w:rPr>
                <w:rFonts w:hint="eastAsia"/>
                <w:bCs/>
                <w:szCs w:val="21"/>
                <w:highlight w:val="none"/>
              </w:rPr>
              <w:t>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2284" w:type="dxa"/>
            <w:vAlign w:val="center"/>
          </w:tcPr>
          <w:p>
            <w:pPr>
              <w:tabs>
                <w:tab w:val="clear" w:pos="426"/>
              </w:tabs>
              <w:adjustRightInd/>
              <w:snapToGrid/>
              <w:spacing w:line="240" w:lineRule="auto"/>
              <w:rPr>
                <w:bCs/>
                <w:szCs w:val="21"/>
                <w:highlight w:val="none"/>
              </w:rPr>
            </w:pPr>
            <w:r>
              <w:rPr>
                <w:rFonts w:hint="eastAsia"/>
                <w:bCs/>
                <w:szCs w:val="21"/>
                <w:highlight w:val="none"/>
              </w:rPr>
              <w:t>投标保证金</w:t>
            </w:r>
          </w:p>
        </w:tc>
        <w:tc>
          <w:tcPr>
            <w:tcW w:w="6244" w:type="dxa"/>
            <w:vAlign w:val="center"/>
          </w:tcPr>
          <w:p>
            <w:pPr>
              <w:tabs>
                <w:tab w:val="clear" w:pos="426"/>
              </w:tabs>
              <w:adjustRightInd/>
              <w:snapToGrid/>
              <w:spacing w:line="240" w:lineRule="auto"/>
              <w:rPr>
                <w:snapToGrid w:val="0"/>
                <w:szCs w:val="21"/>
                <w:highlight w:val="none"/>
                <w:u w:val="single"/>
                <w:lang w:val="zh-CN"/>
              </w:rPr>
            </w:pPr>
            <w:r>
              <w:rPr>
                <w:rFonts w:hint="eastAsia"/>
                <w:szCs w:val="21"/>
                <w:highlight w:val="none"/>
              </w:rPr>
              <w:t>投标保证金为人民币</w:t>
            </w:r>
            <w:r>
              <w:rPr>
                <w:rFonts w:hint="eastAsia"/>
                <w:szCs w:val="21"/>
                <w:highlight w:val="none"/>
                <w:u w:val="single"/>
              </w:rPr>
              <w:t xml:space="preserve"> </w:t>
            </w:r>
            <w:r>
              <w:rPr>
                <w:rFonts w:hint="eastAsia"/>
                <w:szCs w:val="21"/>
                <w:highlight w:val="none"/>
                <w:u w:val="single"/>
                <w:lang w:val="en-US" w:eastAsia="zh-CN"/>
              </w:rPr>
              <w:t>/</w:t>
            </w:r>
            <w:r>
              <w:rPr>
                <w:rFonts w:hint="eastAsia"/>
                <w:szCs w:val="21"/>
                <w:highlight w:val="none"/>
              </w:rPr>
              <w:t>元整；投标保证金应在投标有效期截止日后九十（90）天内保持有效。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highlight w:val="none"/>
              </w:rPr>
            </w:pPr>
            <w:r>
              <w:rPr>
                <w:rFonts w:hint="eastAsia"/>
                <w:highlight w:val="none"/>
              </w:rPr>
              <w:t>评定分离</w:t>
            </w:r>
          </w:p>
        </w:tc>
        <w:tc>
          <w:tcPr>
            <w:tcW w:w="6244" w:type="dxa"/>
            <w:vAlign w:val="center"/>
          </w:tcPr>
          <w:p>
            <w:pPr>
              <w:tabs>
                <w:tab w:val="clear" w:pos="426"/>
              </w:tabs>
              <w:adjustRightInd/>
              <w:snapToGrid/>
              <w:spacing w:line="240" w:lineRule="auto"/>
              <w:rPr>
                <w:highlight w:val="none"/>
              </w:rPr>
            </w:pPr>
            <w:r>
              <w:rPr>
                <w:rFonts w:hint="eastAsia"/>
                <w:highlight w:val="none"/>
              </w:rPr>
              <w:t xml:space="preserve">□是             </w:t>
            </w:r>
            <w:r>
              <w:rPr>
                <w:highlight w:val="none"/>
              </w:rPr>
              <w:t>■</w:t>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bCs/>
                <w:color w:val="000000"/>
                <w:szCs w:val="21"/>
                <w:highlight w:val="none"/>
              </w:rPr>
            </w:pPr>
            <w:r>
              <w:rPr>
                <w:rFonts w:hint="eastAsia"/>
                <w:bCs/>
                <w:color w:val="000000"/>
                <w:szCs w:val="21"/>
                <w:highlight w:val="none"/>
              </w:rPr>
              <w:t>评标方法</w:t>
            </w:r>
          </w:p>
        </w:tc>
        <w:tc>
          <w:tcPr>
            <w:tcW w:w="6244" w:type="dxa"/>
            <w:vAlign w:val="center"/>
          </w:tcPr>
          <w:p>
            <w:pPr>
              <w:tabs>
                <w:tab w:val="clear" w:pos="426"/>
              </w:tabs>
              <w:adjustRightInd/>
              <w:snapToGrid/>
              <w:spacing w:line="240" w:lineRule="auto"/>
              <w:rPr>
                <w:color w:val="000000"/>
                <w:szCs w:val="21"/>
                <w:highlight w:val="none"/>
              </w:rPr>
            </w:pPr>
            <w:r>
              <w:rPr>
                <w:highlight w:val="none"/>
              </w:rPr>
              <w:t>■</w:t>
            </w:r>
            <w:r>
              <w:rPr>
                <w:rFonts w:hint="eastAsia"/>
                <w:color w:val="000000"/>
                <w:szCs w:val="21"/>
                <w:highlight w:val="none"/>
              </w:rPr>
              <w:t xml:space="preserve">综合评分法     </w:t>
            </w:r>
            <w:r>
              <w:rPr>
                <w:rFonts w:hint="eastAsia"/>
                <w:highlight w:val="none"/>
              </w:rPr>
              <w:t>□</w:t>
            </w:r>
            <w:r>
              <w:rPr>
                <w:rFonts w:hint="eastAsia"/>
                <w:color w:val="000000"/>
                <w:szCs w:val="21"/>
                <w:highlight w:val="none"/>
              </w:rPr>
              <w:t xml:space="preserve">定性评审法     </w:t>
            </w:r>
            <w:r>
              <w:rPr>
                <w:rFonts w:hint="eastAsia"/>
                <w:highlight w:val="none"/>
              </w:rPr>
              <w:t>□</w:t>
            </w:r>
            <w:r>
              <w:rPr>
                <w:rFonts w:hint="eastAsia"/>
                <w:color w:val="000000"/>
                <w:szCs w:val="21"/>
                <w:highlight w:val="none"/>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bCs/>
                <w:color w:val="000000"/>
                <w:szCs w:val="21"/>
                <w:highlight w:val="none"/>
              </w:rPr>
            </w:pPr>
            <w:r>
              <w:rPr>
                <w:rFonts w:hint="eastAsia"/>
                <w:bCs/>
                <w:color w:val="000000"/>
                <w:szCs w:val="21"/>
                <w:highlight w:val="none"/>
              </w:rPr>
              <w:t>定标方法</w:t>
            </w:r>
          </w:p>
        </w:tc>
        <w:tc>
          <w:tcPr>
            <w:tcW w:w="6244" w:type="dxa"/>
            <w:vAlign w:val="center"/>
          </w:tcPr>
          <w:p>
            <w:pPr>
              <w:tabs>
                <w:tab w:val="clear" w:pos="426"/>
              </w:tabs>
              <w:adjustRightInd/>
              <w:snapToGrid/>
              <w:spacing w:line="240" w:lineRule="auto"/>
              <w:rPr>
                <w:color w:val="000000"/>
                <w:szCs w:val="21"/>
                <w:highlight w:val="none"/>
              </w:rPr>
            </w:pPr>
            <w:r>
              <w:rPr>
                <w:rFonts w:hint="eastAsia"/>
                <w:highlight w:val="none"/>
              </w:rPr>
              <w:t>□</w:t>
            </w:r>
            <w:r>
              <w:rPr>
                <w:rFonts w:hint="eastAsia"/>
                <w:color w:val="000000"/>
                <w:szCs w:val="21"/>
                <w:highlight w:val="none"/>
              </w:rPr>
              <w:t xml:space="preserve">自定法         </w:t>
            </w:r>
            <w:r>
              <w:rPr>
                <w:rFonts w:hint="eastAsia"/>
                <w:highlight w:val="none"/>
              </w:rPr>
              <w:t>□</w:t>
            </w:r>
            <w:r>
              <w:rPr>
                <w:rFonts w:hint="eastAsia"/>
                <w:color w:val="000000"/>
                <w:szCs w:val="21"/>
                <w:highlight w:val="none"/>
              </w:rPr>
              <w:t xml:space="preserve">抽签法         </w:t>
            </w:r>
            <w:r>
              <w:rPr>
                <w:rFonts w:hint="eastAsia"/>
                <w:highlight w:val="none"/>
              </w:rPr>
              <w:t>□</w:t>
            </w:r>
            <w:r>
              <w:rPr>
                <w:rFonts w:hint="eastAsia"/>
                <w:color w:val="000000"/>
                <w:szCs w:val="21"/>
                <w:highlight w:val="none"/>
              </w:rPr>
              <w:t>竞价法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highlight w:val="none"/>
              </w:rPr>
            </w:pPr>
            <w:r>
              <w:rPr>
                <w:rFonts w:hint="eastAsia"/>
                <w:highlight w:val="none"/>
              </w:rPr>
              <w:t>投标人的替代方案</w:t>
            </w:r>
          </w:p>
        </w:tc>
        <w:tc>
          <w:tcPr>
            <w:tcW w:w="6244" w:type="dxa"/>
            <w:vAlign w:val="center"/>
          </w:tcPr>
          <w:p>
            <w:pPr>
              <w:tabs>
                <w:tab w:val="clear" w:pos="426"/>
              </w:tabs>
              <w:adjustRightInd/>
              <w:snapToGrid/>
              <w:spacing w:line="240" w:lineRule="auto"/>
              <w:rPr>
                <w:highlight w:val="none"/>
                <w:u w:val="single"/>
              </w:rPr>
            </w:pPr>
            <w:r>
              <w:rPr>
                <w:rFonts w:hint="eastAsia"/>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highlight w:val="none"/>
              </w:rPr>
            </w:pPr>
            <w:r>
              <w:rPr>
                <w:rFonts w:hint="eastAsia"/>
                <w:highlight w:val="none"/>
              </w:rPr>
              <w:t>投标有效期</w:t>
            </w:r>
          </w:p>
        </w:tc>
        <w:tc>
          <w:tcPr>
            <w:tcW w:w="6244" w:type="dxa"/>
            <w:vAlign w:val="center"/>
          </w:tcPr>
          <w:p>
            <w:pPr>
              <w:tabs>
                <w:tab w:val="clear" w:pos="426"/>
              </w:tabs>
              <w:adjustRightInd/>
              <w:snapToGrid/>
              <w:spacing w:line="240" w:lineRule="auto"/>
              <w:rPr>
                <w:szCs w:val="21"/>
                <w:highlight w:val="none"/>
              </w:rPr>
            </w:pPr>
            <w:r>
              <w:rPr>
                <w:rFonts w:hint="eastAsia"/>
                <w:szCs w:val="21"/>
                <w:highlight w:val="none"/>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2284" w:type="dxa"/>
            <w:vAlign w:val="center"/>
          </w:tcPr>
          <w:p>
            <w:pPr>
              <w:tabs>
                <w:tab w:val="clear" w:pos="426"/>
              </w:tabs>
              <w:adjustRightInd/>
              <w:snapToGrid/>
              <w:spacing w:line="240" w:lineRule="auto"/>
              <w:rPr>
                <w:highlight w:val="none"/>
              </w:rPr>
            </w:pPr>
            <w:r>
              <w:rPr>
                <w:rFonts w:hint="eastAsia"/>
                <w:highlight w:val="none"/>
              </w:rPr>
              <w:t>履约担保金额</w:t>
            </w:r>
          </w:p>
        </w:tc>
        <w:tc>
          <w:tcPr>
            <w:tcW w:w="6244" w:type="dxa"/>
            <w:vAlign w:val="center"/>
          </w:tcPr>
          <w:p>
            <w:pPr>
              <w:tabs>
                <w:tab w:val="clear" w:pos="426"/>
              </w:tabs>
              <w:adjustRightInd/>
              <w:snapToGrid/>
              <w:spacing w:line="240" w:lineRule="auto"/>
              <w:rPr>
                <w:highlight w:val="none"/>
              </w:rPr>
            </w:pPr>
            <w:r>
              <w:rPr>
                <w:highlight w:val="none"/>
              </w:rPr>
              <w:t>■</w:t>
            </w:r>
            <w:r>
              <w:rPr>
                <w:rFonts w:hint="eastAsia"/>
                <w:highlight w:val="none"/>
              </w:rPr>
              <w:t>不提交</w:t>
            </w:r>
            <w:r>
              <w:rPr>
                <w:highlight w:val="none"/>
              </w:rPr>
              <w:t xml:space="preserve"> </w:t>
            </w:r>
            <w:r>
              <w:rPr>
                <w:rFonts w:hint="eastAsia"/>
                <w:highlight w:val="none"/>
              </w:rPr>
              <w:t xml:space="preserve">     </w:t>
            </w:r>
            <w:r>
              <w:rPr>
                <w:highlight w:val="none"/>
              </w:rPr>
              <w:t xml:space="preserve">   </w:t>
            </w:r>
            <w:r>
              <w:rPr>
                <w:rFonts w:hint="eastAsia"/>
                <w:highlight w:val="none"/>
              </w:rPr>
              <w:t>□</w:t>
            </w:r>
            <w:r>
              <w:rPr>
                <w:highlight w:val="none"/>
              </w:rPr>
              <w:t>提交</w:t>
            </w:r>
          </w:p>
          <w:p>
            <w:pPr>
              <w:tabs>
                <w:tab w:val="clear" w:pos="426"/>
              </w:tabs>
              <w:adjustRightInd/>
              <w:snapToGrid/>
              <w:spacing w:line="240" w:lineRule="auto"/>
              <w:rPr>
                <w:highlight w:val="none"/>
              </w:rPr>
            </w:pPr>
            <w:r>
              <w:rPr>
                <w:rFonts w:hint="eastAsia"/>
                <w:highlight w:val="none"/>
              </w:rPr>
              <w:t>担保金额：为中标价的</w:t>
            </w:r>
            <w:r>
              <w:rPr>
                <w:highlight w:val="none"/>
                <w:u w:val="single"/>
              </w:rPr>
              <w:t xml:space="preserve"> </w:t>
            </w:r>
            <w:r>
              <w:rPr>
                <w:rFonts w:hint="eastAsia"/>
                <w:highlight w:val="none"/>
                <w:u w:val="single"/>
                <w:lang w:val="en-US" w:eastAsia="zh-CN"/>
              </w:rPr>
              <w:t>/%</w:t>
            </w:r>
            <w:r>
              <w:rPr>
                <w:highlight w:val="none"/>
              </w:rPr>
              <w:t xml:space="preserve"> 或</w:t>
            </w:r>
            <w:r>
              <w:rPr>
                <w:highlight w:val="none"/>
                <w:u w:val="single"/>
              </w:rPr>
              <w:t xml:space="preserve"> / </w:t>
            </w:r>
            <w:r>
              <w:rPr>
                <w:highlight w:val="none"/>
              </w:rPr>
              <w:t>万元</w:t>
            </w:r>
          </w:p>
          <w:p>
            <w:pPr>
              <w:tabs>
                <w:tab w:val="clear" w:pos="426"/>
              </w:tabs>
              <w:adjustRightInd/>
              <w:snapToGrid/>
              <w:spacing w:line="240" w:lineRule="auto"/>
              <w:rPr>
                <w:highlight w:val="none"/>
              </w:rPr>
            </w:pPr>
            <w:r>
              <w:rPr>
                <w:rFonts w:hint="eastAsia"/>
                <w:highlight w:val="none"/>
              </w:rPr>
              <w:t>担保提交时间：收到中标通知书后，并在签订合同前提交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highlight w:val="none"/>
              </w:rPr>
            </w:pPr>
            <w:r>
              <w:rPr>
                <w:rFonts w:hint="eastAsia"/>
                <w:highlight w:val="none"/>
              </w:rPr>
              <w:t>投标文件份数</w:t>
            </w:r>
          </w:p>
        </w:tc>
        <w:tc>
          <w:tcPr>
            <w:tcW w:w="6244" w:type="dxa"/>
            <w:vAlign w:val="center"/>
          </w:tcPr>
          <w:p>
            <w:pPr>
              <w:tabs>
                <w:tab w:val="clear" w:pos="426"/>
              </w:tabs>
              <w:adjustRightInd/>
              <w:snapToGrid/>
              <w:spacing w:line="240" w:lineRule="auto"/>
              <w:rPr>
                <w:highlight w:val="none"/>
              </w:rPr>
            </w:pPr>
            <w:r>
              <w:rPr>
                <w:rFonts w:hint="eastAsia"/>
                <w:highlight w:val="none"/>
              </w:rPr>
              <w:t>纸质投标文件一正、四副，开标信封一份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highlight w:val="none"/>
              </w:rPr>
            </w:pPr>
            <w:r>
              <w:rPr>
                <w:rFonts w:hint="eastAsia"/>
                <w:highlight w:val="none"/>
              </w:rPr>
              <w:t>投标文件电子档</w:t>
            </w:r>
          </w:p>
        </w:tc>
        <w:tc>
          <w:tcPr>
            <w:tcW w:w="6244" w:type="dxa"/>
            <w:vAlign w:val="center"/>
          </w:tcPr>
          <w:p>
            <w:pPr>
              <w:tabs>
                <w:tab w:val="clear" w:pos="426"/>
              </w:tabs>
              <w:adjustRightInd/>
              <w:snapToGrid/>
              <w:spacing w:line="240" w:lineRule="auto"/>
              <w:rPr>
                <w:highlight w:val="none"/>
              </w:rPr>
            </w:pPr>
            <w:r>
              <w:rPr>
                <w:rFonts w:hint="eastAsia"/>
                <w:highlight w:val="none"/>
              </w:rPr>
              <w:t>电子光盘一张（投标文件正本盖章后的彩色扫描件，</w:t>
            </w:r>
            <w:r>
              <w:rPr>
                <w:highlight w:val="none"/>
              </w:rPr>
              <w:t>PDF格式）</w:t>
            </w:r>
          </w:p>
        </w:tc>
      </w:tr>
    </w:tbl>
    <w:p>
      <w:pPr>
        <w:widowControl w:val="0"/>
        <w:shd w:val="clear" w:color="auto" w:fill="auto"/>
        <w:tabs>
          <w:tab w:val="clear" w:pos="426"/>
        </w:tabs>
        <w:adjustRightInd/>
        <w:snapToGrid/>
        <w:spacing w:line="240" w:lineRule="auto"/>
        <w:ind w:left="3040" w:hanging="3040" w:hangingChars="950"/>
        <w:rPr>
          <w:rFonts w:cs="Times New Roman"/>
          <w:kern w:val="2"/>
          <w:sz w:val="32"/>
          <w:szCs w:val="20"/>
          <w:highlight w:val="none"/>
        </w:rPr>
      </w:pPr>
    </w:p>
    <w:p>
      <w:pPr>
        <w:pStyle w:val="33"/>
        <w:tabs>
          <w:tab w:val="clear" w:pos="426"/>
        </w:tabs>
        <w:rPr>
          <w:highlight w:val="none"/>
        </w:rPr>
      </w:pPr>
      <w:r>
        <w:rPr>
          <w:highlight w:val="none"/>
        </w:rPr>
        <w:br w:type="page"/>
      </w:r>
      <w:bookmarkStart w:id="3" w:name="_Toc32064"/>
      <w:r>
        <w:rPr>
          <w:rFonts w:hint="eastAsia"/>
          <w:highlight w:val="none"/>
          <w:lang w:val="en-US" w:eastAsia="zh-CN"/>
        </w:rPr>
        <w:t xml:space="preserve"> </w:t>
      </w:r>
      <w:r>
        <w:rPr>
          <w:rFonts w:hint="eastAsia"/>
          <w:highlight w:val="none"/>
        </w:rPr>
        <w:t>资格性审查表、符合性审查表</w:t>
      </w:r>
      <w:bookmarkEnd w:id="3"/>
    </w:p>
    <w:p>
      <w:pPr>
        <w:jc w:val="center"/>
        <w:rPr>
          <w:b/>
          <w:color w:val="FF0000"/>
          <w:highlight w:val="none"/>
        </w:rPr>
      </w:pPr>
      <w:r>
        <w:rPr>
          <w:rFonts w:hint="eastAsia"/>
          <w:b/>
          <w:color w:val="FF0000"/>
          <w:highlight w:val="none"/>
        </w:rPr>
        <w:t>（凡有下列情形之一的，投标文件无效，投标作无效标处理</w:t>
      </w:r>
      <w:r>
        <w:rPr>
          <w:rFonts w:hint="eastAsia" w:ascii="黑体" w:eastAsia="黑体"/>
          <w:color w:val="FF0000"/>
          <w:szCs w:val="21"/>
          <w:highlight w:val="none"/>
        </w:rPr>
        <w:t>）</w:t>
      </w:r>
    </w:p>
    <w:tbl>
      <w:tblPr>
        <w:tblStyle w:val="4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7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645" w:type="dxa"/>
            <w:vAlign w:val="center"/>
          </w:tcPr>
          <w:p>
            <w:pPr>
              <w:tabs>
                <w:tab w:val="clear" w:pos="426"/>
              </w:tabs>
              <w:adjustRightInd/>
              <w:snapToGrid/>
              <w:spacing w:line="240" w:lineRule="auto"/>
              <w:jc w:val="center"/>
              <w:rPr>
                <w:b/>
                <w:highlight w:val="none"/>
              </w:rPr>
            </w:pPr>
            <w:r>
              <w:rPr>
                <w:rFonts w:hint="eastAsia"/>
                <w:b/>
                <w:highlight w:val="none"/>
              </w:rPr>
              <w:t>序号</w:t>
            </w:r>
          </w:p>
        </w:tc>
        <w:tc>
          <w:tcPr>
            <w:tcW w:w="7883" w:type="dxa"/>
            <w:vAlign w:val="center"/>
          </w:tcPr>
          <w:p>
            <w:pPr>
              <w:tabs>
                <w:tab w:val="clear" w:pos="426"/>
              </w:tabs>
              <w:adjustRightInd/>
              <w:snapToGrid/>
              <w:spacing w:line="240" w:lineRule="auto"/>
              <w:jc w:val="center"/>
              <w:rPr>
                <w:b/>
                <w:highlight w:val="none"/>
              </w:rPr>
            </w:pPr>
            <w:r>
              <w:rPr>
                <w:rFonts w:hint="eastAsia"/>
                <w:b/>
                <w:highlight w:val="none"/>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8528" w:type="dxa"/>
            <w:gridSpan w:val="2"/>
            <w:vAlign w:val="center"/>
          </w:tcPr>
          <w:p>
            <w:pPr>
              <w:tabs>
                <w:tab w:val="clear" w:pos="426"/>
              </w:tabs>
              <w:adjustRightInd/>
              <w:snapToGrid/>
              <w:spacing w:line="240" w:lineRule="auto"/>
              <w:jc w:val="center"/>
              <w:rPr>
                <w:b/>
                <w:highlight w:val="none"/>
              </w:rPr>
            </w:pPr>
            <w:r>
              <w:rPr>
                <w:rFonts w:hint="eastAsia"/>
                <w:highlight w:val="none"/>
              </w:rPr>
              <w:t>资格性审查表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645" w:type="dxa"/>
            <w:vAlign w:val="center"/>
          </w:tcPr>
          <w:p>
            <w:pPr>
              <w:numPr>
                <w:ilvl w:val="0"/>
                <w:numId w:val="21"/>
              </w:numPr>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投标人不具备招标资质要求，或未提交相应资质证明材料；(详见采购公告“投标人资质要求”，其中未列示的资质要求不得导致废标。)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8528" w:type="dxa"/>
            <w:gridSpan w:val="2"/>
            <w:vAlign w:val="center"/>
          </w:tcPr>
          <w:p>
            <w:pPr>
              <w:tabs>
                <w:tab w:val="clear" w:pos="426"/>
              </w:tabs>
              <w:adjustRightInd/>
              <w:snapToGrid/>
              <w:spacing w:line="240" w:lineRule="auto"/>
              <w:jc w:val="center"/>
              <w:rPr>
                <w:highlight w:val="none"/>
              </w:rPr>
            </w:pPr>
            <w:r>
              <w:rPr>
                <w:rFonts w:hint="eastAsia"/>
                <w:highlight w:val="none"/>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将一个包或一个标段的内容拆开投标；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投标文件及开标一览表未按招标文件规定密封、签字、盖章；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szCs w:val="21"/>
                <w:highlight w:val="none"/>
              </w:rPr>
              <w:t>对同一项目投标时，提供两套以上的投标方案（招标文件另有规定的除外）；</w:t>
            </w:r>
            <w:r>
              <w:rPr>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4"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未按招标文件所提供的样式填写</w:t>
            </w:r>
            <w:r>
              <w:rPr>
                <w:highlight w:val="none"/>
              </w:rPr>
              <w:t>《</w:t>
            </w:r>
            <w:r>
              <w:rPr>
                <w:rFonts w:hint="eastAsia"/>
                <w:highlight w:val="none"/>
              </w:rPr>
              <w:t>投标函》；未按招标文件所提供的《政府采购投标及履约承诺函》进行承诺；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未按照招标文件规定要求签署、盖章或投标文件没有法定代表人签字，或签字人没有法定代表人有效授权书的；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所投产品、工程、服务在商务、技术等方面没有实质性满足招标文件要求的（是否实质性满足招标文件要求，由评标委员会做出评判；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9"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投标文件存在招标文件中规定的其它无效投标条款的；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法律、法规规定的属于投标无效的其他情形。</w:t>
            </w:r>
          </w:p>
        </w:tc>
      </w:tr>
    </w:tbl>
    <w:p>
      <w:pPr>
        <w:pStyle w:val="33"/>
        <w:widowControl w:val="0"/>
        <w:shd w:val="clear" w:color="auto" w:fill="auto"/>
        <w:tabs>
          <w:tab w:val="clear" w:pos="426"/>
        </w:tabs>
        <w:adjustRightInd/>
        <w:snapToGrid/>
        <w:jc w:val="both"/>
        <w:outlineLvl w:val="9"/>
        <w:rPr>
          <w:sz w:val="21"/>
          <w:szCs w:val="21"/>
          <w:highlight w:val="none"/>
        </w:rPr>
      </w:pPr>
    </w:p>
    <w:p>
      <w:pPr>
        <w:pStyle w:val="33"/>
        <w:tabs>
          <w:tab w:val="clear" w:pos="426"/>
        </w:tabs>
        <w:rPr>
          <w:highlight w:val="none"/>
        </w:rPr>
      </w:pPr>
      <w:r>
        <w:rPr>
          <w:sz w:val="24"/>
          <w:highlight w:val="none"/>
        </w:rPr>
        <w:br w:type="page"/>
      </w:r>
      <w:bookmarkStart w:id="4" w:name="_Toc10206"/>
      <w:bookmarkStart w:id="5" w:name="_Toc435514846"/>
      <w:r>
        <w:rPr>
          <w:highlight w:val="none"/>
        </w:rPr>
        <w:t>评标信息</w:t>
      </w:r>
      <w:bookmarkEnd w:id="4"/>
    </w:p>
    <w:p>
      <w:pPr>
        <w:widowControl w:val="0"/>
        <w:shd w:val="clear" w:color="auto" w:fill="auto"/>
        <w:tabs>
          <w:tab w:val="clear" w:pos="426"/>
        </w:tabs>
        <w:adjustRightInd/>
        <w:snapToGrid/>
        <w:ind w:left="420" w:leftChars="0" w:firstLine="420" w:firstLineChars="200"/>
        <w:rPr>
          <w:rFonts w:hint="eastAsia"/>
          <w:szCs w:val="21"/>
          <w:highlight w:val="none"/>
          <w:lang w:val="en-US" w:eastAsia="zh-CN"/>
        </w:rPr>
      </w:pPr>
      <w:bookmarkStart w:id="6" w:name="_Hlk2106396"/>
      <w:r>
        <w:rPr>
          <w:rFonts w:hint="eastAsia"/>
          <w:szCs w:val="21"/>
          <w:highlight w:val="none"/>
          <w:lang w:val="en-US" w:eastAsia="zh-CN"/>
        </w:rPr>
        <w:t>1.本项目的评审办法采用：综合评分法。</w:t>
      </w:r>
    </w:p>
    <w:p>
      <w:pPr>
        <w:widowControl w:val="0"/>
        <w:shd w:val="clear" w:color="auto" w:fill="auto"/>
        <w:tabs>
          <w:tab w:val="clear" w:pos="426"/>
        </w:tabs>
        <w:adjustRightInd/>
        <w:snapToGrid/>
        <w:ind w:left="420" w:leftChars="0" w:firstLine="420" w:firstLineChars="200"/>
        <w:rPr>
          <w:rFonts w:hint="eastAsia"/>
          <w:szCs w:val="21"/>
          <w:highlight w:val="none"/>
          <w:lang w:val="en-US" w:eastAsia="zh-CN"/>
        </w:rPr>
      </w:pPr>
      <w:r>
        <w:rPr>
          <w:rFonts w:hint="eastAsia"/>
          <w:szCs w:val="21"/>
          <w:highlight w:val="none"/>
          <w:lang w:val="en-US" w:eastAsia="zh-CN"/>
        </w:rPr>
        <w:t>2.中标人数量为：N+n家(N=6,n=2，N指正选单位，n指候补单位)</w:t>
      </w:r>
    </w:p>
    <w:p>
      <w:pPr>
        <w:widowControl w:val="0"/>
        <w:shd w:val="clear" w:color="auto" w:fill="auto"/>
        <w:tabs>
          <w:tab w:val="clear" w:pos="426"/>
        </w:tabs>
        <w:adjustRightInd/>
        <w:snapToGrid/>
        <w:ind w:left="420" w:leftChars="0" w:firstLine="420" w:firstLineChars="200"/>
        <w:rPr>
          <w:rFonts w:hint="eastAsia"/>
          <w:szCs w:val="21"/>
          <w:highlight w:val="none"/>
          <w:lang w:val="en-US" w:eastAsia="zh-CN"/>
        </w:rPr>
      </w:pPr>
      <w:r>
        <w:rPr>
          <w:rFonts w:hint="eastAsia"/>
          <w:szCs w:val="21"/>
          <w:highlight w:val="none"/>
          <w:lang w:val="en-US" w:eastAsia="zh-CN"/>
        </w:rPr>
        <w:t>3.综合评分法，是指投标文件满足招标文件全部实质性要求，且按照评审因素的量化指标评审得分最高的投标人为中标候选人的评标方法。</w:t>
      </w:r>
    </w:p>
    <w:p>
      <w:pPr>
        <w:widowControl w:val="0"/>
        <w:shd w:val="clear" w:color="auto" w:fill="auto"/>
        <w:tabs>
          <w:tab w:val="clear" w:pos="426"/>
        </w:tabs>
        <w:adjustRightInd/>
        <w:snapToGrid/>
        <w:ind w:left="420" w:leftChars="0" w:firstLine="420" w:firstLineChars="200"/>
        <w:rPr>
          <w:rFonts w:hint="eastAsia"/>
          <w:szCs w:val="21"/>
          <w:highlight w:val="none"/>
          <w:lang w:val="en-US" w:eastAsia="zh-CN"/>
        </w:rPr>
      </w:pPr>
      <w:r>
        <w:rPr>
          <w:rFonts w:hint="eastAsia"/>
          <w:szCs w:val="21"/>
          <w:highlight w:val="none"/>
          <w:lang w:val="en-US" w:eastAsia="zh-CN"/>
        </w:rPr>
        <w:t>4.评标时，评标委员会各成员应当独立对每个通过资格性审查和符合性审查的投标人的投标文件进行评价，并汇总每个投标人每项评分因素的评分、评标委员会各成员对每个投标人评分的和，取算术平均值确定每个投标人的评审总得分：</w:t>
      </w:r>
    </w:p>
    <w:p>
      <w:pPr>
        <w:widowControl w:val="0"/>
        <w:shd w:val="clear" w:color="auto" w:fill="auto"/>
        <w:tabs>
          <w:tab w:val="clear" w:pos="426"/>
        </w:tabs>
        <w:adjustRightInd/>
        <w:snapToGrid/>
        <w:ind w:left="420" w:leftChars="0" w:firstLine="420" w:firstLineChars="200"/>
        <w:rPr>
          <w:rFonts w:hint="eastAsia"/>
          <w:szCs w:val="21"/>
          <w:highlight w:val="none"/>
          <w:lang w:val="en-US" w:eastAsia="zh-CN"/>
        </w:rPr>
      </w:pPr>
      <w:r>
        <w:rPr>
          <w:rFonts w:hint="eastAsia"/>
          <w:szCs w:val="21"/>
          <w:highlight w:val="none"/>
          <w:lang w:val="en-US" w:eastAsia="zh-CN"/>
        </w:rPr>
        <w:t>（1）当通过资格性审查和符合性审查的投标人数＞8家时，评审总得分最高的N+n个投标人将被推荐为候选中标人（按照分数由高到低进行排序，排序靠前的N个投标单位为正选单位，排序靠后的n个投标单位为候补单位），并作出评审结论。</w:t>
      </w:r>
    </w:p>
    <w:p>
      <w:pPr>
        <w:widowControl w:val="0"/>
        <w:shd w:val="clear" w:color="auto" w:fill="auto"/>
        <w:tabs>
          <w:tab w:val="clear" w:pos="426"/>
        </w:tabs>
        <w:adjustRightInd/>
        <w:snapToGrid/>
        <w:ind w:left="420" w:leftChars="0" w:firstLine="420" w:firstLineChars="200"/>
        <w:rPr>
          <w:rFonts w:hint="eastAsia"/>
          <w:szCs w:val="21"/>
          <w:highlight w:val="none"/>
          <w:lang w:val="en-US" w:eastAsia="zh-CN"/>
        </w:rPr>
      </w:pPr>
      <w:r>
        <w:rPr>
          <w:rFonts w:hint="eastAsia"/>
          <w:szCs w:val="21"/>
          <w:highlight w:val="none"/>
          <w:lang w:val="en-US" w:eastAsia="zh-CN"/>
        </w:rPr>
        <w:t>（2）当6＜通过资格性审查和符合性审查的投标人数量≤8家时，按照分数由高到低进行排序，排序靠前的N个投标单位为正选单位，其他为候补单位；</w:t>
      </w:r>
    </w:p>
    <w:p>
      <w:pPr>
        <w:widowControl w:val="0"/>
        <w:shd w:val="clear" w:color="auto" w:fill="auto"/>
        <w:tabs>
          <w:tab w:val="clear" w:pos="426"/>
        </w:tabs>
        <w:adjustRightInd/>
        <w:snapToGrid/>
        <w:ind w:left="420" w:leftChars="0" w:firstLine="420" w:firstLineChars="200"/>
        <w:rPr>
          <w:rFonts w:hint="eastAsia"/>
          <w:szCs w:val="21"/>
          <w:highlight w:val="none"/>
          <w:lang w:val="en-US" w:eastAsia="zh-CN"/>
        </w:rPr>
      </w:pPr>
      <w:r>
        <w:rPr>
          <w:rFonts w:hint="eastAsia"/>
          <w:szCs w:val="21"/>
          <w:highlight w:val="none"/>
          <w:lang w:val="en-US" w:eastAsia="zh-CN"/>
        </w:rPr>
        <w:t>（3）当通过资格性审查和符合性审查的投标人数量≤6家时，全部为正选单位；</w:t>
      </w:r>
    </w:p>
    <w:p>
      <w:pPr>
        <w:widowControl w:val="0"/>
        <w:shd w:val="clear" w:color="auto" w:fill="auto"/>
        <w:tabs>
          <w:tab w:val="clear" w:pos="426"/>
        </w:tabs>
        <w:adjustRightInd/>
        <w:snapToGrid/>
        <w:ind w:left="420" w:leftChars="0" w:firstLine="420" w:firstLineChars="200"/>
        <w:rPr>
          <w:rFonts w:hint="eastAsia"/>
          <w:szCs w:val="21"/>
          <w:highlight w:val="none"/>
          <w:lang w:val="en-US" w:eastAsia="zh-CN"/>
        </w:rPr>
      </w:pPr>
      <w:r>
        <w:rPr>
          <w:rFonts w:hint="eastAsia"/>
          <w:szCs w:val="21"/>
          <w:highlight w:val="none"/>
          <w:lang w:val="en-US" w:eastAsia="zh-CN"/>
        </w:rPr>
        <w:t>经采购人同意后，确定为中标人。</w:t>
      </w:r>
    </w:p>
    <w:p>
      <w:pPr>
        <w:widowControl w:val="0"/>
        <w:shd w:val="clear" w:color="auto" w:fill="auto"/>
        <w:tabs>
          <w:tab w:val="clear" w:pos="426"/>
        </w:tabs>
        <w:adjustRightInd/>
        <w:snapToGrid/>
        <w:ind w:left="420" w:leftChars="0" w:firstLine="420" w:firstLineChars="200"/>
        <w:rPr>
          <w:rFonts w:hint="eastAsia"/>
          <w:szCs w:val="21"/>
          <w:highlight w:val="none"/>
          <w:lang w:val="en-US" w:eastAsia="zh-CN"/>
        </w:rPr>
      </w:pPr>
      <w:r>
        <w:rPr>
          <w:rFonts w:hint="eastAsia"/>
          <w:szCs w:val="21"/>
          <w:highlight w:val="none"/>
          <w:lang w:val="en-US" w:eastAsia="zh-CN"/>
        </w:rPr>
        <w:t>5.当得分出现并列情形且影响结果时：</w:t>
      </w:r>
    </w:p>
    <w:p>
      <w:pPr>
        <w:widowControl w:val="0"/>
        <w:shd w:val="clear" w:color="auto" w:fill="auto"/>
        <w:tabs>
          <w:tab w:val="clear" w:pos="426"/>
        </w:tabs>
        <w:adjustRightInd/>
        <w:snapToGrid/>
        <w:ind w:left="420" w:leftChars="0" w:firstLine="420" w:firstLineChars="200"/>
        <w:rPr>
          <w:rFonts w:hint="eastAsia"/>
          <w:szCs w:val="21"/>
          <w:highlight w:val="none"/>
          <w:lang w:val="en-US" w:eastAsia="zh-CN"/>
        </w:rPr>
      </w:pPr>
      <w:r>
        <w:rPr>
          <w:rFonts w:hint="eastAsia"/>
          <w:szCs w:val="21"/>
          <w:highlight w:val="none"/>
          <w:lang w:val="en-US" w:eastAsia="zh-CN"/>
        </w:rPr>
        <w:t>（1）得分相同，且影响到中标结果时，采用抽签方式确定中标人。</w:t>
      </w:r>
    </w:p>
    <w:p>
      <w:pPr>
        <w:widowControl w:val="0"/>
        <w:shd w:val="clear" w:color="auto" w:fill="auto"/>
        <w:tabs>
          <w:tab w:val="clear" w:pos="426"/>
        </w:tabs>
        <w:adjustRightInd/>
        <w:snapToGrid/>
        <w:ind w:left="420" w:leftChars="0" w:firstLine="420" w:firstLineChars="200"/>
        <w:rPr>
          <w:rFonts w:hint="eastAsia"/>
          <w:szCs w:val="21"/>
          <w:highlight w:val="none"/>
          <w:lang w:val="en-US" w:eastAsia="zh-CN"/>
        </w:rPr>
      </w:pPr>
      <w:r>
        <w:rPr>
          <w:rFonts w:hint="eastAsia"/>
          <w:szCs w:val="21"/>
          <w:highlight w:val="none"/>
          <w:lang w:val="en-US" w:eastAsia="zh-CN"/>
        </w:rPr>
        <w:t>（2）在确定N+n家投标单位后，若有得分相同且影响正选单位或候补单位排序的投标人，以抽签方式确定正选单位或候补单位。</w:t>
      </w:r>
    </w:p>
    <w:bookmarkEnd w:id="5"/>
    <w:bookmarkEnd w:id="6"/>
    <w:p>
      <w:pPr>
        <w:widowControl w:val="0"/>
        <w:shd w:val="clear" w:color="auto" w:fill="auto"/>
        <w:tabs>
          <w:tab w:val="clear" w:pos="426"/>
        </w:tabs>
        <w:adjustRightInd/>
        <w:snapToGrid/>
        <w:ind w:left="420" w:leftChars="0" w:firstLine="420" w:firstLineChars="200"/>
        <w:rPr>
          <w:rFonts w:hint="eastAsia"/>
          <w:szCs w:val="21"/>
          <w:highlight w:val="none"/>
          <w:lang w:val="en-US" w:eastAsia="zh-CN"/>
        </w:rPr>
      </w:pPr>
      <w:bookmarkStart w:id="7" w:name="_Toc8390"/>
      <w:r>
        <w:rPr>
          <w:rFonts w:hint="eastAsia"/>
          <w:szCs w:val="21"/>
          <w:highlight w:val="none"/>
          <w:lang w:val="en-US" w:eastAsia="zh-CN"/>
        </w:rPr>
        <w:t>（3）抽签流程：</w:t>
      </w:r>
    </w:p>
    <w:p>
      <w:pPr>
        <w:pStyle w:val="2"/>
        <w:ind w:left="0" w:leftChars="0" w:firstLine="840" w:firstLineChars="400"/>
        <w:rPr>
          <w:rFonts w:hint="default" w:ascii="宋体" w:hAnsi="宋体" w:eastAsia="宋体" w:cs="宋体"/>
          <w:b w:val="0"/>
          <w:bCs w:val="0"/>
          <w:sz w:val="21"/>
          <w:szCs w:val="21"/>
          <w:highlight w:val="none"/>
          <w:lang w:val="en-US" w:eastAsia="zh-CN" w:bidi="ar-SA"/>
        </w:rPr>
      </w:pPr>
      <w:r>
        <w:rPr>
          <w:rFonts w:hint="eastAsia" w:cs="宋体"/>
          <w:b w:val="0"/>
          <w:bCs w:val="0"/>
          <w:sz w:val="21"/>
          <w:szCs w:val="21"/>
          <w:highlight w:val="none"/>
          <w:lang w:val="en-US" w:eastAsia="zh-CN" w:bidi="ar-SA"/>
        </w:rPr>
        <w:t>1）试机：开始抽签流程前，由代理机构工作人员试机</w:t>
      </w:r>
      <w:r>
        <w:rPr>
          <w:rFonts w:hint="eastAsia" w:ascii="宋体" w:hAnsi="宋体" w:eastAsia="宋体" w:cs="宋体"/>
          <w:b w:val="0"/>
          <w:bCs w:val="0"/>
          <w:sz w:val="21"/>
          <w:szCs w:val="21"/>
          <w:highlight w:val="none"/>
          <w:lang w:val="en-US" w:eastAsia="zh-CN" w:bidi="ar-SA"/>
        </w:rPr>
        <w:t>3次</w:t>
      </w:r>
      <w:r>
        <w:rPr>
          <w:rFonts w:hint="eastAsia" w:cs="宋体"/>
          <w:b w:val="0"/>
          <w:bCs w:val="0"/>
          <w:sz w:val="21"/>
          <w:szCs w:val="21"/>
          <w:highlight w:val="none"/>
          <w:lang w:val="en-US" w:eastAsia="zh-CN" w:bidi="ar-SA"/>
        </w:rPr>
        <w:t>，确认抽签机使用正常。</w:t>
      </w:r>
    </w:p>
    <w:p>
      <w:pPr>
        <w:widowControl w:val="0"/>
        <w:shd w:val="clear" w:color="auto" w:fill="auto"/>
        <w:tabs>
          <w:tab w:val="clear" w:pos="426"/>
        </w:tabs>
        <w:adjustRightInd/>
        <w:snapToGrid/>
        <w:ind w:left="420" w:leftChars="0" w:firstLine="420" w:firstLineChars="200"/>
        <w:rPr>
          <w:rFonts w:hint="eastAsia"/>
          <w:szCs w:val="21"/>
          <w:highlight w:val="none"/>
          <w:lang w:val="en-US" w:eastAsia="zh-CN"/>
        </w:rPr>
      </w:pPr>
      <w:r>
        <w:rPr>
          <w:rFonts w:hint="eastAsia"/>
          <w:szCs w:val="21"/>
          <w:highlight w:val="none"/>
          <w:lang w:val="en-US" w:eastAsia="zh-CN"/>
        </w:rPr>
        <w:t>2）确认抽签规则：抽签小组通过抽签的方式确定小号或大号中标的原则，抽到1-10号为小号中标，抽到11-20号为大号中标；</w:t>
      </w:r>
    </w:p>
    <w:p>
      <w:pPr>
        <w:widowControl w:val="0"/>
        <w:shd w:val="clear" w:color="auto" w:fill="auto"/>
        <w:tabs>
          <w:tab w:val="clear" w:pos="426"/>
        </w:tabs>
        <w:adjustRightInd/>
        <w:snapToGrid/>
        <w:ind w:left="420" w:leftChars="0" w:firstLine="420" w:firstLineChars="200"/>
        <w:rPr>
          <w:rFonts w:hint="eastAsia"/>
          <w:szCs w:val="21"/>
          <w:highlight w:val="none"/>
          <w:lang w:val="en-US" w:eastAsia="zh-CN"/>
        </w:rPr>
      </w:pPr>
      <w:r>
        <w:rPr>
          <w:rFonts w:hint="eastAsia"/>
          <w:szCs w:val="21"/>
          <w:highlight w:val="none"/>
          <w:lang w:val="en-US" w:eastAsia="zh-CN"/>
        </w:rPr>
        <w:t>3）抽签顺序：按截标签到的时间从先到后进行抽签；</w:t>
      </w:r>
    </w:p>
    <w:p>
      <w:pPr>
        <w:widowControl w:val="0"/>
        <w:shd w:val="clear" w:color="auto" w:fill="auto"/>
        <w:tabs>
          <w:tab w:val="clear" w:pos="426"/>
        </w:tabs>
        <w:adjustRightInd/>
        <w:snapToGrid/>
        <w:ind w:left="420" w:leftChars="0" w:firstLine="420" w:firstLineChars="200"/>
        <w:rPr>
          <w:rFonts w:hint="eastAsia"/>
          <w:szCs w:val="21"/>
          <w:highlight w:val="none"/>
          <w:lang w:val="en-US" w:eastAsia="zh-CN"/>
        </w:rPr>
      </w:pPr>
      <w:r>
        <w:rPr>
          <w:rFonts w:hint="eastAsia"/>
          <w:szCs w:val="21"/>
          <w:highlight w:val="none"/>
          <w:lang w:val="en-US" w:eastAsia="zh-CN"/>
        </w:rPr>
        <w:t>4）投标人代表在抽签机中抽取号码球（如果没有抽到号码球，则重抽一次，直至抽到号码球为止），投标人代表抽签后须对抽签号码进行签字确认，并将该号码球放回抽签机。</w:t>
      </w:r>
    </w:p>
    <w:p>
      <w:pPr>
        <w:widowControl w:val="0"/>
        <w:shd w:val="clear" w:color="auto" w:fill="auto"/>
        <w:tabs>
          <w:tab w:val="clear" w:pos="426"/>
        </w:tabs>
        <w:adjustRightInd/>
        <w:snapToGrid/>
        <w:ind w:left="420" w:leftChars="0" w:firstLine="420" w:firstLineChars="200"/>
        <w:rPr>
          <w:rFonts w:hint="eastAsia"/>
          <w:szCs w:val="21"/>
          <w:highlight w:val="none"/>
          <w:lang w:val="en-US" w:eastAsia="zh-CN"/>
        </w:rPr>
      </w:pPr>
      <w:r>
        <w:rPr>
          <w:rFonts w:hint="eastAsia"/>
          <w:szCs w:val="21"/>
          <w:highlight w:val="none"/>
          <w:lang w:val="en-US" w:eastAsia="zh-CN"/>
        </w:rPr>
        <w:t>若投标人派出参加抽签的代表经我方三次呼叫不到场，则该投标人被视为放弃抽签资格。依序对下一名投标人进行本步骤；</w:t>
      </w:r>
    </w:p>
    <w:p>
      <w:pPr>
        <w:widowControl w:val="0"/>
        <w:shd w:val="clear" w:color="auto" w:fill="auto"/>
        <w:tabs>
          <w:tab w:val="clear" w:pos="426"/>
        </w:tabs>
        <w:adjustRightInd/>
        <w:snapToGrid/>
        <w:ind w:left="420" w:leftChars="0" w:firstLine="420" w:firstLineChars="200"/>
        <w:rPr>
          <w:rFonts w:hint="eastAsia"/>
          <w:szCs w:val="21"/>
          <w:highlight w:val="none"/>
          <w:lang w:val="en-US" w:eastAsia="zh-CN"/>
        </w:rPr>
      </w:pPr>
      <w:r>
        <w:rPr>
          <w:rFonts w:hint="eastAsia"/>
          <w:szCs w:val="21"/>
          <w:highlight w:val="none"/>
          <w:lang w:val="en-US" w:eastAsia="zh-CN"/>
        </w:rPr>
        <w:t>5）首轮抽签结束后，中标候选人有重号且影响结果的，重号且影响结果的投标人进行下一轮抽签，抽签顺序和中标原则不变。</w:t>
      </w:r>
    </w:p>
    <w:p>
      <w:pPr>
        <w:widowControl w:val="0"/>
        <w:shd w:val="clear" w:color="auto" w:fill="auto"/>
        <w:tabs>
          <w:tab w:val="clear" w:pos="426"/>
        </w:tabs>
        <w:adjustRightInd/>
        <w:snapToGrid/>
        <w:ind w:left="420" w:leftChars="0" w:firstLine="420" w:firstLineChars="200"/>
        <w:rPr>
          <w:rFonts w:hint="eastAsia"/>
          <w:szCs w:val="21"/>
          <w:highlight w:val="none"/>
          <w:lang w:val="en-US" w:eastAsia="zh-CN"/>
        </w:rPr>
      </w:pPr>
      <w:r>
        <w:rPr>
          <w:rFonts w:hint="eastAsia"/>
          <w:szCs w:val="21"/>
          <w:highlight w:val="none"/>
          <w:lang w:val="en-US" w:eastAsia="zh-CN"/>
        </w:rPr>
        <w:t>6）抽签小组当场宣布结果，并填写《抽签表》，抽签表经抽签小组成员与投标人代表签字确认。</w:t>
      </w:r>
    </w:p>
    <w:p>
      <w:pPr>
        <w:pStyle w:val="33"/>
        <w:widowControl w:val="0"/>
        <w:shd w:val="clear" w:color="auto" w:fill="auto"/>
        <w:tabs>
          <w:tab w:val="clear" w:pos="426"/>
        </w:tabs>
        <w:adjustRightInd/>
        <w:snapToGrid/>
        <w:outlineLvl w:val="9"/>
        <w:rPr>
          <w:rFonts w:ascii="宋体" w:hAnsi="宋体"/>
          <w:bCs w:val="0"/>
          <w:sz w:val="24"/>
          <w:szCs w:val="24"/>
          <w:highlight w:val="none"/>
        </w:rPr>
      </w:pPr>
      <w:r>
        <w:rPr>
          <w:rFonts w:hint="eastAsia" w:ascii="宋体" w:hAnsi="宋体"/>
          <w:bCs w:val="0"/>
          <w:sz w:val="24"/>
          <w:szCs w:val="24"/>
          <w:highlight w:val="none"/>
        </w:rPr>
        <w:t>评分细则表</w:t>
      </w:r>
      <w:bookmarkEnd w:id="7"/>
    </w:p>
    <w:p>
      <w:pPr>
        <w:widowControl w:val="0"/>
        <w:shd w:val="clear" w:color="auto" w:fill="auto"/>
        <w:tabs>
          <w:tab w:val="clear" w:pos="426"/>
        </w:tabs>
        <w:adjustRightInd/>
        <w:snapToGrid/>
        <w:spacing w:line="240" w:lineRule="auto"/>
        <w:jc w:val="left"/>
        <w:rPr>
          <w:rFonts w:hint="eastAsia" w:ascii="Times New Roman" w:hAnsi="Times New Roman" w:cs="Times New Roman"/>
          <w:kern w:val="2"/>
          <w:highlight w:val="none"/>
        </w:rPr>
      </w:pPr>
      <w:bookmarkStart w:id="8" w:name="bt开标一览表"/>
      <w:bookmarkEnd w:id="8"/>
      <w:bookmarkStart w:id="9" w:name="bt投标函"/>
      <w:bookmarkEnd w:id="9"/>
      <w:bookmarkStart w:id="10" w:name="bt合同格式"/>
      <w:bookmarkEnd w:id="10"/>
      <w:bookmarkStart w:id="11" w:name="bt投标人情况介绍"/>
      <w:bookmarkEnd w:id="11"/>
      <w:bookmarkStart w:id="12" w:name="bt投标人须知"/>
      <w:bookmarkEnd w:id="12"/>
      <w:bookmarkStart w:id="13" w:name="bt投标文件签署授权委托书"/>
      <w:bookmarkEnd w:id="13"/>
      <w:bookmarkStart w:id="14" w:name="bt本工程承诺书"/>
      <w:bookmarkEnd w:id="14"/>
      <w:bookmarkStart w:id="15" w:name="bt合同条款及格式"/>
      <w:bookmarkEnd w:id="15"/>
      <w:bookmarkStart w:id="16" w:name="bt其他资料2"/>
      <w:bookmarkEnd w:id="16"/>
      <w:bookmarkStart w:id="17" w:name="bt项目管理班子配备情况"/>
      <w:bookmarkEnd w:id="17"/>
      <w:bookmarkStart w:id="18" w:name="bt其他资料由投标人自定"/>
      <w:bookmarkEnd w:id="18"/>
      <w:bookmarkStart w:id="19" w:name="bt说明"/>
      <w:bookmarkEnd w:id="19"/>
      <w:bookmarkStart w:id="20" w:name="合同格式"/>
      <w:bookmarkEnd w:id="20"/>
      <w:bookmarkStart w:id="21" w:name="bt商务标投标文件格式"/>
      <w:bookmarkEnd w:id="21"/>
      <w:bookmarkStart w:id="22" w:name="bt投标报价汇总表"/>
      <w:bookmarkEnd w:id="22"/>
      <w:bookmarkStart w:id="23" w:name="bt技术标投标文件格式"/>
      <w:bookmarkEnd w:id="23"/>
      <w:bookmarkStart w:id="24" w:name="bt合同条款"/>
      <w:bookmarkEnd w:id="24"/>
      <w:bookmarkStart w:id="25" w:name="_Toc432592812"/>
    </w:p>
    <w:tbl>
      <w:tblPr>
        <w:tblStyle w:val="44"/>
        <w:tblW w:w="931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37"/>
        <w:gridCol w:w="1092"/>
        <w:gridCol w:w="792"/>
        <w:gridCol w:w="64"/>
        <w:gridCol w:w="5591"/>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3" w:hRule="atLeast"/>
          <w:jc w:val="center"/>
        </w:trPr>
        <w:tc>
          <w:tcPr>
            <w:tcW w:w="8176" w:type="dxa"/>
            <w:gridSpan w:val="5"/>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highlight w:val="none"/>
                <w:lang w:val="zh-CN"/>
              </w:rPr>
            </w:pPr>
            <w:r>
              <w:rPr>
                <w:rFonts w:hint="eastAsia" w:asciiTheme="minorEastAsia" w:hAnsiTheme="minorEastAsia" w:eastAsiaTheme="minorEastAsia" w:cstheme="minorEastAsia"/>
                <w:b/>
                <w:sz w:val="21"/>
                <w:szCs w:val="21"/>
                <w:highlight w:val="none"/>
                <w:lang w:val="zh-CN"/>
              </w:rPr>
              <w:t>评分项及评分规则</w:t>
            </w:r>
          </w:p>
        </w:tc>
        <w:tc>
          <w:tcPr>
            <w:tcW w:w="1134"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highlight w:val="none"/>
                <w:lang w:val="zh-CN"/>
              </w:rPr>
            </w:pPr>
            <w:r>
              <w:rPr>
                <w:rFonts w:hint="eastAsia" w:asciiTheme="minorEastAsia" w:hAnsiTheme="minorEastAsia" w:eastAsiaTheme="minorEastAsia" w:cstheme="minorEastAsia"/>
                <w:b/>
                <w:sz w:val="21"/>
                <w:szCs w:val="21"/>
                <w:highlight w:val="none"/>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8176" w:type="dxa"/>
            <w:gridSpan w:val="5"/>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lang w:val="zh-CN"/>
              </w:rPr>
              <w:t>一、商务部分</w:t>
            </w:r>
          </w:p>
        </w:tc>
        <w:tc>
          <w:tcPr>
            <w:tcW w:w="1134"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jc w:val="center"/>
        </w:trPr>
        <w:tc>
          <w:tcPr>
            <w:tcW w:w="637"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序号</w:t>
            </w:r>
          </w:p>
        </w:tc>
        <w:tc>
          <w:tcPr>
            <w:tcW w:w="1092"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内容</w:t>
            </w:r>
          </w:p>
        </w:tc>
        <w:tc>
          <w:tcPr>
            <w:tcW w:w="792"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权重</w:t>
            </w:r>
          </w:p>
        </w:tc>
        <w:tc>
          <w:tcPr>
            <w:tcW w:w="5655" w:type="dxa"/>
            <w:gridSpan w:val="2"/>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评分规则</w:t>
            </w:r>
          </w:p>
        </w:tc>
        <w:tc>
          <w:tcPr>
            <w:tcW w:w="1134"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637" w:type="dxa"/>
            <w:vAlign w:val="center"/>
          </w:tcPr>
          <w:p>
            <w:pPr>
              <w:keepNext w:val="0"/>
              <w:keepLines w:val="0"/>
              <w:pageBreakBefore w:val="0"/>
              <w:widowControl/>
              <w:topLinePunct w:val="0"/>
              <w:autoSpaceDE w:val="0"/>
              <w:autoSpaceDN w:val="0"/>
              <w:bidi w:val="0"/>
              <w:adjustRightInd w:val="0"/>
              <w:spacing w:line="360" w:lineRule="auto"/>
              <w:jc w:val="left"/>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1</w:t>
            </w:r>
          </w:p>
        </w:tc>
        <w:tc>
          <w:tcPr>
            <w:tcW w:w="1092"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管理体系认证情况</w:t>
            </w:r>
          </w:p>
        </w:tc>
        <w:tc>
          <w:tcPr>
            <w:tcW w:w="792" w:type="dxa"/>
            <w:shd w:val="clear" w:color="auto" w:fill="auto"/>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sz w:val="21"/>
                <w:szCs w:val="21"/>
                <w:highlight w:val="none"/>
              </w:rPr>
              <w:t>5</w:t>
            </w:r>
          </w:p>
        </w:tc>
        <w:tc>
          <w:tcPr>
            <w:tcW w:w="5655" w:type="dxa"/>
            <w:gridSpan w:val="2"/>
            <w:vAlign w:val="center"/>
          </w:tcPr>
          <w:p>
            <w:pPr>
              <w:keepNext w:val="0"/>
              <w:keepLines w:val="0"/>
              <w:pageBreakBefore w:val="0"/>
              <w:widowControl/>
              <w:topLinePunct w:val="0"/>
              <w:autoSpaceDE w:val="0"/>
              <w:autoSpaceDN w:val="0"/>
              <w:bidi w:val="0"/>
              <w:adjustRightInd w:val="0"/>
              <w:spacing w:line="360" w:lineRule="auto"/>
              <w:jc w:val="left"/>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1、评审标准：</w:t>
            </w:r>
          </w:p>
          <w:p>
            <w:pPr>
              <w:keepNext w:val="0"/>
              <w:keepLines w:val="0"/>
              <w:pageBreakBefore w:val="0"/>
              <w:widowControl/>
              <w:topLinePunct w:val="0"/>
              <w:bidi w:val="0"/>
              <w:spacing w:line="360" w:lineRule="auto"/>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1）投标人具有在有效期ISO系列环境管理体系认证、OHSA系列职业健康安全管理体系认证的</w:t>
            </w:r>
            <w:r>
              <w:rPr>
                <w:rFonts w:hint="eastAsia" w:asciiTheme="minorEastAsia" w:hAnsiTheme="minorEastAsia" w:cstheme="minorEastAsia"/>
                <w:sz w:val="21"/>
                <w:szCs w:val="21"/>
                <w:highlight w:val="none"/>
                <w:lang w:eastAsia="zh-CN"/>
              </w:rPr>
              <w:t>每项得</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分。</w:t>
            </w:r>
          </w:p>
          <w:p>
            <w:pPr>
              <w:keepNext w:val="0"/>
              <w:keepLines w:val="0"/>
              <w:pageBreakBefore w:val="0"/>
              <w:widowControl/>
              <w:wordWrap w:val="0"/>
              <w:topLinePunct w:val="0"/>
              <w:bidi w:val="0"/>
              <w:spacing w:line="360" w:lineRule="auto"/>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2）具备在有效期内的ISO系列质量管理体系认证得3分；</w:t>
            </w:r>
          </w:p>
          <w:p>
            <w:pPr>
              <w:keepNext w:val="0"/>
              <w:keepLines w:val="0"/>
              <w:pageBreakBefore w:val="0"/>
              <w:widowControl/>
              <w:wordWrap w:val="0"/>
              <w:topLinePunct w:val="0"/>
              <w:bidi w:val="0"/>
              <w:spacing w:line="360" w:lineRule="auto"/>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3）其他情况不得分。</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本项最高得5分，以上评分子项不重复计分，若投标人在上述子项有多项能得分的，取得分较高项计分。</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b/>
                <w:kern w:val="0"/>
                <w:sz w:val="21"/>
                <w:szCs w:val="21"/>
                <w:highlight w:val="none"/>
                <w:lang w:val="zh-CN"/>
              </w:rPr>
            </w:pPr>
            <w:r>
              <w:rPr>
                <w:rFonts w:hint="eastAsia" w:asciiTheme="minorEastAsia" w:hAnsiTheme="minorEastAsia" w:eastAsiaTheme="minorEastAsia" w:cstheme="minorEastAsia"/>
                <w:b/>
                <w:sz w:val="21"/>
                <w:szCs w:val="21"/>
                <w:highlight w:val="none"/>
              </w:rPr>
              <w:t>2、证明文件</w:t>
            </w:r>
            <w:r>
              <w:rPr>
                <w:rFonts w:hint="eastAsia" w:asciiTheme="minorEastAsia" w:hAnsiTheme="minorEastAsia" w:eastAsiaTheme="minorEastAsia" w:cstheme="minorEastAsia"/>
                <w:b/>
                <w:kern w:val="0"/>
                <w:sz w:val="21"/>
                <w:szCs w:val="21"/>
                <w:highlight w:val="none"/>
                <w:lang w:val="zh-CN"/>
              </w:rPr>
              <w:t xml:space="preserve">： </w:t>
            </w:r>
          </w:p>
          <w:p>
            <w:pPr>
              <w:keepNext w:val="0"/>
              <w:keepLines w:val="0"/>
              <w:pageBreakBefore w:val="0"/>
              <w:widowControl/>
              <w:wordWrap w:val="0"/>
              <w:topLinePunct w:val="0"/>
              <w:bidi w:val="0"/>
              <w:spacing w:line="360" w:lineRule="auto"/>
              <w:jc w:val="left"/>
              <w:textAlignment w:val="auto"/>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sz w:val="21"/>
                <w:szCs w:val="21"/>
                <w:highlight w:val="none"/>
              </w:rPr>
              <w:t>提供有效期内的相关认证证书扫描件及国家认证监委网站（http：//www.cnca.gov.cn）的认证信息截图并标注认证业务范围，原件备查；未提供有效证明文件，或证明文件模糊不清难以辨认的不得分。）</w:t>
            </w:r>
          </w:p>
        </w:tc>
        <w:tc>
          <w:tcPr>
            <w:tcW w:w="1134" w:type="dxa"/>
            <w:vAlign w:val="center"/>
          </w:tcPr>
          <w:p>
            <w:pPr>
              <w:keepNext w:val="0"/>
              <w:keepLines w:val="0"/>
              <w:pageBreakBefore w:val="0"/>
              <w:widowControl/>
              <w:topLinePunct w:val="0"/>
              <w:bidi w:val="0"/>
              <w:spacing w:line="360" w:lineRule="auto"/>
              <w:jc w:val="center"/>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66" w:hRule="atLeast"/>
          <w:jc w:val="center"/>
        </w:trPr>
        <w:tc>
          <w:tcPr>
            <w:tcW w:w="637" w:type="dxa"/>
            <w:vAlign w:val="center"/>
          </w:tcPr>
          <w:p>
            <w:pPr>
              <w:keepNext w:val="0"/>
              <w:keepLines w:val="0"/>
              <w:pageBreakBefore w:val="0"/>
              <w:widowControl/>
              <w:topLinePunct w:val="0"/>
              <w:autoSpaceDE w:val="0"/>
              <w:autoSpaceDN w:val="0"/>
              <w:bidi w:val="0"/>
              <w:adjustRightInd w:val="0"/>
              <w:spacing w:line="360" w:lineRule="auto"/>
              <w:jc w:val="left"/>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kern w:val="0"/>
                <w:sz w:val="21"/>
                <w:szCs w:val="21"/>
                <w:highlight w:val="none"/>
                <w:lang w:val="zh-CN"/>
              </w:rPr>
              <w:t>2</w:t>
            </w:r>
          </w:p>
        </w:tc>
        <w:tc>
          <w:tcPr>
            <w:tcW w:w="1092" w:type="dxa"/>
            <w:vAlign w:val="center"/>
          </w:tcPr>
          <w:p>
            <w:pPr>
              <w:keepNext w:val="0"/>
              <w:keepLines w:val="0"/>
              <w:pageBreakBefore w:val="0"/>
              <w:widowControl/>
              <w:topLinePunct w:val="0"/>
              <w:autoSpaceDE w:val="0"/>
              <w:autoSpaceDN w:val="0"/>
              <w:bidi w:val="0"/>
              <w:adjustRightInd w:val="0"/>
              <w:spacing w:line="360" w:lineRule="auto"/>
              <w:textAlignment w:val="auto"/>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类似项目业绩</w:t>
            </w:r>
          </w:p>
        </w:tc>
        <w:tc>
          <w:tcPr>
            <w:tcW w:w="792" w:type="dxa"/>
            <w:shd w:val="clear" w:color="auto" w:fill="auto"/>
            <w:vAlign w:val="center"/>
          </w:tcPr>
          <w:p>
            <w:pPr>
              <w:keepNext w:val="0"/>
              <w:keepLines w:val="0"/>
              <w:pageBreakBefore w:val="0"/>
              <w:widowControl/>
              <w:topLinePunct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lang w:val="zh-CN"/>
              </w:rPr>
              <w:t>20</w:t>
            </w:r>
          </w:p>
        </w:tc>
        <w:tc>
          <w:tcPr>
            <w:tcW w:w="5655" w:type="dxa"/>
            <w:gridSpan w:val="2"/>
            <w:vAlign w:val="center"/>
          </w:tcPr>
          <w:p>
            <w:pPr>
              <w:keepNext w:val="0"/>
              <w:keepLines w:val="0"/>
              <w:pageBreakBefore w:val="0"/>
              <w:widowControl/>
              <w:topLinePunct w:val="0"/>
              <w:autoSpaceDE w:val="0"/>
              <w:autoSpaceDN w:val="0"/>
              <w:bidi w:val="0"/>
              <w:adjustRightInd w:val="0"/>
              <w:spacing w:line="360" w:lineRule="auto"/>
              <w:jc w:val="left"/>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1、评审标准：</w:t>
            </w:r>
          </w:p>
          <w:p>
            <w:pPr>
              <w:keepNext w:val="0"/>
              <w:keepLines w:val="0"/>
              <w:pageBreakBefore w:val="0"/>
              <w:widowControl/>
              <w:topLinePunct w:val="0"/>
              <w:bidi w:val="0"/>
              <w:spacing w:line="360" w:lineRule="auto"/>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自2016年1月1日至本项目公告发布之日（以合同签订时间为准），具有政府投资的</w:t>
            </w:r>
            <w:r>
              <w:rPr>
                <w:rFonts w:hint="eastAsia" w:asciiTheme="minorEastAsia" w:hAnsiTheme="minorEastAsia" w:eastAsiaTheme="minorEastAsia" w:cstheme="minorEastAsia"/>
                <w:sz w:val="21"/>
                <w:szCs w:val="21"/>
                <w:highlight w:val="none"/>
                <w:lang w:eastAsia="zh-CN"/>
              </w:rPr>
              <w:t>园林绿化施工项目业绩的每提供</w:t>
            </w:r>
            <w:r>
              <w:rPr>
                <w:rFonts w:hint="eastAsia" w:asciiTheme="minorEastAsia" w:hAnsiTheme="minorEastAsia" w:eastAsiaTheme="minorEastAsia" w:cstheme="minorEastAsia"/>
                <w:sz w:val="21"/>
                <w:szCs w:val="21"/>
                <w:highlight w:val="none"/>
                <w:lang w:val="en-US" w:eastAsia="zh-CN"/>
              </w:rPr>
              <w:t>1个得2分，此项最高得</w:t>
            </w: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val="en-US" w:eastAsia="zh-CN"/>
              </w:rPr>
              <w:t>0分。</w:t>
            </w:r>
          </w:p>
          <w:p>
            <w:pPr>
              <w:pStyle w:val="2"/>
              <w:rPr>
                <w:rFonts w:hint="eastAsia" w:asciiTheme="minorEastAsia" w:hAnsiTheme="minorEastAsia" w:eastAsiaTheme="minorEastAsia" w:cstheme="minorEastAsia"/>
                <w:b w:val="0"/>
                <w:bCs w:val="0"/>
                <w:sz w:val="21"/>
                <w:szCs w:val="21"/>
                <w:highlight w:val="none"/>
                <w:lang w:val="en-US" w:eastAsia="zh-CN" w:bidi="ar-SA"/>
              </w:rPr>
            </w:pPr>
            <w:r>
              <w:rPr>
                <w:rFonts w:hint="eastAsia" w:asciiTheme="minorEastAsia" w:hAnsiTheme="minorEastAsia" w:eastAsiaTheme="minorEastAsia" w:cstheme="minorEastAsia"/>
                <w:b w:val="0"/>
                <w:bCs w:val="0"/>
                <w:sz w:val="21"/>
                <w:szCs w:val="21"/>
                <w:highlight w:val="none"/>
                <w:lang w:val="en-US" w:eastAsia="zh-CN" w:bidi="ar-SA"/>
              </w:rPr>
              <w:t>注政府投资是指：行政机关、事业单位、国有企业作为项目委托方的项目。</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b/>
                <w:kern w:val="0"/>
                <w:sz w:val="21"/>
                <w:szCs w:val="21"/>
                <w:highlight w:val="none"/>
                <w:lang w:val="zh-CN"/>
              </w:rPr>
            </w:pPr>
            <w:r>
              <w:rPr>
                <w:rFonts w:hint="eastAsia" w:asciiTheme="minorEastAsia" w:hAnsiTheme="minorEastAsia" w:cstheme="minorEastAsia"/>
                <w:b/>
                <w:sz w:val="21"/>
                <w:szCs w:val="21"/>
                <w:highlight w:val="none"/>
                <w:lang w:val="en-US" w:eastAsia="zh-CN"/>
              </w:rPr>
              <w:t>2、</w:t>
            </w:r>
            <w:r>
              <w:rPr>
                <w:rFonts w:hint="eastAsia" w:asciiTheme="minorEastAsia" w:hAnsiTheme="minorEastAsia" w:eastAsiaTheme="minorEastAsia" w:cstheme="minorEastAsia"/>
                <w:b/>
                <w:sz w:val="21"/>
                <w:szCs w:val="21"/>
                <w:highlight w:val="none"/>
              </w:rPr>
              <w:t>证明文件</w:t>
            </w:r>
            <w:r>
              <w:rPr>
                <w:rFonts w:hint="eastAsia" w:asciiTheme="minorEastAsia" w:hAnsiTheme="minorEastAsia" w:eastAsiaTheme="minorEastAsia" w:cstheme="minorEastAsia"/>
                <w:b/>
                <w:kern w:val="0"/>
                <w:sz w:val="21"/>
                <w:szCs w:val="21"/>
                <w:highlight w:val="none"/>
                <w:lang w:val="zh-CN"/>
              </w:rPr>
              <w:t>：</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sz w:val="21"/>
                <w:szCs w:val="21"/>
                <w:highlight w:val="none"/>
              </w:rPr>
              <w:t>投标人须</w:t>
            </w:r>
            <w:r>
              <w:rPr>
                <w:rFonts w:hint="eastAsia" w:asciiTheme="minorEastAsia" w:hAnsiTheme="minorEastAsia" w:eastAsiaTheme="minorEastAsia" w:cstheme="minorEastAsia"/>
                <w:sz w:val="21"/>
                <w:szCs w:val="21"/>
                <w:highlight w:val="none"/>
                <w:lang w:eastAsia="zh-CN"/>
              </w:rPr>
              <w:t>提供中标通知书</w:t>
            </w:r>
            <w:r>
              <w:rPr>
                <w:rFonts w:hint="eastAsia" w:asciiTheme="minorEastAsia" w:hAnsiTheme="minorEastAsia" w:cstheme="minorEastAsia"/>
                <w:sz w:val="21"/>
                <w:szCs w:val="21"/>
                <w:highlight w:val="none"/>
                <w:lang w:eastAsia="zh-CN"/>
              </w:rPr>
              <w:t>及</w:t>
            </w:r>
            <w:r>
              <w:rPr>
                <w:rFonts w:hint="eastAsia" w:asciiTheme="minorEastAsia" w:hAnsiTheme="minorEastAsia" w:eastAsiaTheme="minorEastAsia" w:cstheme="minorEastAsia"/>
                <w:sz w:val="21"/>
                <w:szCs w:val="21"/>
                <w:highlight w:val="none"/>
              </w:rPr>
              <w:t>提供合同关键页（包含项目内容、合同金额、签字盖章页），如上述材料无法证明由政府投资，还须提供证明项目由政府投资的证明材料，原件备查；未提供有效证明文件，或证明文件模糊不清难以辨认的不得分。</w:t>
            </w:r>
          </w:p>
        </w:tc>
        <w:tc>
          <w:tcPr>
            <w:tcW w:w="1134" w:type="dxa"/>
            <w:vAlign w:val="center"/>
          </w:tcPr>
          <w:p>
            <w:pPr>
              <w:keepNext w:val="0"/>
              <w:keepLines w:val="0"/>
              <w:pageBreakBefore w:val="0"/>
              <w:widowControl/>
              <w:topLinePunct w:val="0"/>
              <w:bidi w:val="0"/>
              <w:spacing w:line="360" w:lineRule="auto"/>
              <w:jc w:val="center"/>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637" w:type="dxa"/>
            <w:vAlign w:val="center"/>
          </w:tcPr>
          <w:p>
            <w:pPr>
              <w:keepNext w:val="0"/>
              <w:keepLines w:val="0"/>
              <w:pageBreakBefore w:val="0"/>
              <w:widowControl/>
              <w:topLinePunct w:val="0"/>
              <w:autoSpaceDE w:val="0"/>
              <w:autoSpaceDN w:val="0"/>
              <w:bidi w:val="0"/>
              <w:adjustRightInd w:val="0"/>
              <w:spacing w:line="360" w:lineRule="auto"/>
              <w:jc w:val="left"/>
              <w:textAlignment w:val="auto"/>
              <w:rPr>
                <w:rFonts w:hint="eastAsia"/>
                <w:highlight w:val="none"/>
                <w:lang w:val="zh-CN"/>
              </w:rPr>
            </w:pPr>
            <w:r>
              <w:rPr>
                <w:rFonts w:hint="eastAsia"/>
                <w:highlight w:val="none"/>
                <w:lang w:val="zh-CN"/>
              </w:rPr>
              <w:t>3</w:t>
            </w:r>
          </w:p>
          <w:p>
            <w:pPr>
              <w:pStyle w:val="2"/>
              <w:keepNext w:val="0"/>
              <w:keepLines w:val="0"/>
              <w:pageBreakBefore w:val="0"/>
              <w:widowControl/>
              <w:topLinePunct w:val="0"/>
              <w:bidi w:val="0"/>
              <w:spacing w:line="360" w:lineRule="auto"/>
              <w:textAlignment w:val="auto"/>
              <w:rPr>
                <w:rFonts w:hint="eastAsia"/>
                <w:highlight w:val="none"/>
                <w:lang w:val="zh-CN"/>
              </w:rPr>
            </w:pPr>
          </w:p>
        </w:tc>
        <w:tc>
          <w:tcPr>
            <w:tcW w:w="1092"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类似项目业绩获奖情况</w:t>
            </w:r>
          </w:p>
        </w:tc>
        <w:tc>
          <w:tcPr>
            <w:tcW w:w="792" w:type="dxa"/>
            <w:shd w:val="clear" w:color="auto" w:fill="auto"/>
            <w:vAlign w:val="center"/>
          </w:tcPr>
          <w:p>
            <w:pPr>
              <w:keepNext w:val="0"/>
              <w:keepLines w:val="0"/>
              <w:pageBreakBefore w:val="0"/>
              <w:widowControl/>
              <w:topLinePunct w:val="0"/>
              <w:bidi w:val="0"/>
              <w:spacing w:line="360" w:lineRule="auto"/>
              <w:jc w:val="center"/>
              <w:textAlignment w:val="auto"/>
              <w:rPr>
                <w:rFonts w:hint="default"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15</w:t>
            </w:r>
          </w:p>
        </w:tc>
        <w:tc>
          <w:tcPr>
            <w:tcW w:w="5655" w:type="dxa"/>
            <w:gridSpan w:val="2"/>
            <w:vAlign w:val="center"/>
          </w:tcPr>
          <w:p>
            <w:pPr>
              <w:keepNext w:val="0"/>
              <w:keepLines w:val="0"/>
              <w:pageBreakBefore w:val="0"/>
              <w:widowControl/>
              <w:numPr>
                <w:ilvl w:val="0"/>
                <w:numId w:val="23"/>
              </w:numPr>
              <w:tabs>
                <w:tab w:val="clear" w:pos="426"/>
              </w:tabs>
              <w:topLinePunct w:val="0"/>
              <w:bidi w:val="0"/>
              <w:spacing w:line="360" w:lineRule="auto"/>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评审标准：</w:t>
            </w:r>
          </w:p>
          <w:p>
            <w:pPr>
              <w:keepNext w:val="0"/>
              <w:keepLines w:val="0"/>
              <w:pageBreakBefore w:val="0"/>
              <w:widowControl/>
              <w:wordWrap w:val="0"/>
              <w:topLinePunct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投标人在上述“同类项目业绩”评审项中参加评审且能得分的业绩的获奖情况： </w:t>
            </w:r>
          </w:p>
          <w:p>
            <w:pPr>
              <w:keepNext w:val="0"/>
              <w:keepLines w:val="0"/>
              <w:pageBreakBefore w:val="0"/>
              <w:widowControl/>
              <w:wordWrap w:val="0"/>
              <w:topLinePunct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（1）获得市级奖项，每项得1分</w:t>
            </w:r>
            <w:r>
              <w:rPr>
                <w:rFonts w:hint="eastAsia" w:asciiTheme="minorEastAsia" w:hAnsiTheme="minorEastAsia" w:cstheme="minorEastAsia"/>
                <w:sz w:val="21"/>
                <w:szCs w:val="21"/>
                <w:highlight w:val="none"/>
                <w:lang w:eastAsia="zh-CN"/>
              </w:rPr>
              <w:t>，此项最高得</w:t>
            </w:r>
            <w:r>
              <w:rPr>
                <w:rFonts w:hint="eastAsia" w:asciiTheme="minorEastAsia" w:hAnsiTheme="minorEastAsia" w:cstheme="minorEastAsia"/>
                <w:sz w:val="21"/>
                <w:szCs w:val="21"/>
                <w:highlight w:val="none"/>
                <w:lang w:val="en-US" w:eastAsia="zh-CN"/>
              </w:rPr>
              <w:t>5分</w:t>
            </w:r>
            <w:r>
              <w:rPr>
                <w:rFonts w:hint="eastAsia" w:asciiTheme="minorEastAsia" w:hAnsiTheme="minorEastAsia" w:eastAsiaTheme="minorEastAsia" w:cstheme="minorEastAsia"/>
                <w:sz w:val="21"/>
                <w:szCs w:val="21"/>
                <w:highlight w:val="none"/>
              </w:rPr>
              <w:t xml:space="preserve">； </w:t>
            </w:r>
          </w:p>
          <w:p>
            <w:pPr>
              <w:keepNext w:val="0"/>
              <w:keepLines w:val="0"/>
              <w:pageBreakBefore w:val="0"/>
              <w:widowControl/>
              <w:wordWrap w:val="0"/>
              <w:topLinePunct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（2）获得省部级奖项，每项得</w:t>
            </w:r>
            <w:r>
              <w:rPr>
                <w:rFonts w:hint="eastAsia" w:asciiTheme="minorEastAsia" w:hAnsi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rPr>
              <w:t>分</w:t>
            </w:r>
            <w:r>
              <w:rPr>
                <w:rFonts w:hint="eastAsia" w:asciiTheme="minorEastAsia" w:hAnsiTheme="minorEastAsia" w:cstheme="minorEastAsia"/>
                <w:sz w:val="21"/>
                <w:szCs w:val="21"/>
                <w:highlight w:val="none"/>
                <w:lang w:eastAsia="zh-CN"/>
              </w:rPr>
              <w:t>，此项最高得</w:t>
            </w:r>
            <w:r>
              <w:rPr>
                <w:rFonts w:hint="eastAsia" w:asciiTheme="minorEastAsia" w:hAnsiTheme="minorEastAsia" w:cstheme="minorEastAsia"/>
                <w:sz w:val="21"/>
                <w:szCs w:val="21"/>
                <w:highlight w:val="none"/>
                <w:lang w:val="en-US" w:eastAsia="zh-CN"/>
              </w:rPr>
              <w:t>6分</w:t>
            </w:r>
            <w:r>
              <w:rPr>
                <w:rFonts w:hint="eastAsia" w:asciiTheme="minorEastAsia" w:hAnsiTheme="minorEastAsia" w:eastAsiaTheme="minorEastAsia" w:cstheme="minorEastAsia"/>
                <w:sz w:val="21"/>
                <w:szCs w:val="21"/>
                <w:highlight w:val="none"/>
              </w:rPr>
              <w:t xml:space="preserve">； </w:t>
            </w:r>
          </w:p>
          <w:p>
            <w:pPr>
              <w:keepNext w:val="0"/>
              <w:keepLines w:val="0"/>
              <w:pageBreakBefore w:val="0"/>
              <w:widowControl/>
              <w:wordWrap w:val="0"/>
              <w:topLinePunct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（3）获得国家级奖项，每项得</w:t>
            </w: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 xml:space="preserve">分； </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sz w:val="21"/>
                <w:szCs w:val="21"/>
                <w:highlight w:val="none"/>
              </w:rPr>
              <w:t>以上各项累计加分，最高得</w:t>
            </w:r>
            <w:r>
              <w:rPr>
                <w:rFonts w:hint="eastAsia" w:asciiTheme="minorEastAsia" w:hAnsiTheme="minorEastAsia" w:eastAsia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rPr>
              <w:t>分，未提供证明文件的，不得分。</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国家级奖项要求奖项颁发单位为国务院、国家部委或相关的全国性行业协会（学会）；省级奖项要求奖项颁发单位为省（自治区、直辖市）人民政府（或行业主管行政机关）或相应区域的行业协会（学会）。同一项目只计最高奖项得分。</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b/>
                <w:kern w:val="0"/>
                <w:sz w:val="21"/>
                <w:szCs w:val="21"/>
                <w:highlight w:val="none"/>
                <w:lang w:val="zh-CN"/>
              </w:rPr>
            </w:pPr>
            <w:r>
              <w:rPr>
                <w:rFonts w:hint="eastAsia" w:asciiTheme="minorEastAsia" w:hAnsiTheme="minorEastAsia" w:eastAsiaTheme="minorEastAsia" w:cstheme="minorEastAsia"/>
                <w:b/>
                <w:sz w:val="21"/>
                <w:szCs w:val="21"/>
                <w:highlight w:val="none"/>
              </w:rPr>
              <w:t>2、证明文件</w:t>
            </w:r>
            <w:r>
              <w:rPr>
                <w:rFonts w:hint="eastAsia" w:asciiTheme="minorEastAsia" w:hAnsiTheme="minorEastAsia" w:eastAsiaTheme="minorEastAsia" w:cstheme="minorEastAsia"/>
                <w:b/>
                <w:kern w:val="0"/>
                <w:sz w:val="21"/>
                <w:szCs w:val="21"/>
                <w:highlight w:val="none"/>
                <w:lang w:val="zh-CN"/>
              </w:rPr>
              <w:t xml:space="preserve">： </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sz w:val="21"/>
                <w:szCs w:val="21"/>
                <w:highlight w:val="none"/>
              </w:rPr>
              <w:t>投标人须提供合同关键页（包含合同内容、签字盖章页）、获奖证书扫描件，原件备查；同一项目获得多个奖励的，以获得的最高奖励计分；证明文件体现不清晰的不得分。</w:t>
            </w:r>
          </w:p>
        </w:tc>
        <w:tc>
          <w:tcPr>
            <w:tcW w:w="1134" w:type="dxa"/>
            <w:vAlign w:val="center"/>
          </w:tcPr>
          <w:p>
            <w:pPr>
              <w:keepNext w:val="0"/>
              <w:keepLines w:val="0"/>
              <w:pageBreakBefore w:val="0"/>
              <w:widowControl/>
              <w:topLinePunct w:val="0"/>
              <w:bidi w:val="0"/>
              <w:spacing w:line="360" w:lineRule="auto"/>
              <w:jc w:val="center"/>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962" w:hRule="atLeast"/>
          <w:jc w:val="center"/>
        </w:trPr>
        <w:tc>
          <w:tcPr>
            <w:tcW w:w="637"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1092" w:type="dxa"/>
            <w:vAlign w:val="center"/>
          </w:tcPr>
          <w:p>
            <w:pPr>
              <w:keepNext w:val="0"/>
              <w:keepLines w:val="0"/>
              <w:pageBreakBefore w:val="0"/>
              <w:widowControl/>
              <w:topLinePunct w:val="0"/>
              <w:bidi w:val="0"/>
              <w:spacing w:line="36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履约评价情况</w:t>
            </w:r>
          </w:p>
        </w:tc>
        <w:tc>
          <w:tcPr>
            <w:tcW w:w="792" w:type="dxa"/>
            <w:vAlign w:val="center"/>
          </w:tcPr>
          <w:p>
            <w:pPr>
              <w:keepNext w:val="0"/>
              <w:keepLines w:val="0"/>
              <w:pageBreakBefore w:val="0"/>
              <w:widowControl/>
              <w:topLinePunct w:val="0"/>
              <w:bidi w:val="0"/>
              <w:spacing w:line="360" w:lineRule="auto"/>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cstheme="minorEastAsia"/>
                <w:kern w:val="0"/>
                <w:sz w:val="21"/>
                <w:szCs w:val="21"/>
                <w:highlight w:val="none"/>
                <w:lang w:val="en-US" w:eastAsia="zh-CN"/>
              </w:rPr>
              <w:t>5</w:t>
            </w:r>
          </w:p>
        </w:tc>
        <w:tc>
          <w:tcPr>
            <w:tcW w:w="5655" w:type="dxa"/>
            <w:gridSpan w:val="2"/>
            <w:vAlign w:val="center"/>
          </w:tcPr>
          <w:p>
            <w:pPr>
              <w:keepNext w:val="0"/>
              <w:keepLines w:val="0"/>
              <w:pageBreakBefore w:val="0"/>
              <w:widowControl/>
              <w:numPr>
                <w:ilvl w:val="0"/>
                <w:numId w:val="24"/>
              </w:numPr>
              <w:tabs>
                <w:tab w:val="clear" w:pos="426"/>
              </w:tabs>
              <w:topLinePunct w:val="0"/>
              <w:bidi w:val="0"/>
              <w:spacing w:line="360" w:lineRule="auto"/>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评审标准：</w:t>
            </w:r>
          </w:p>
          <w:p>
            <w:pPr>
              <w:keepNext w:val="0"/>
              <w:keepLines w:val="0"/>
              <w:pageBreakBefore w:val="0"/>
              <w:widowControl/>
              <w:topLinePunct w:val="0"/>
              <w:bidi w:val="0"/>
              <w:spacing w:line="360" w:lineRule="auto"/>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（1）自2016年1月1日至本项目公告发布之日（以合同签订时间为准），投标人在上述“同类项目业绩”评审项中参加评审且能得分的业绩，能提供建设单位出具的</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园林绿化类工程</w:t>
            </w:r>
            <w:r>
              <w:rPr>
                <w:rFonts w:hint="eastAsia" w:asciiTheme="minorEastAsia" w:hAnsiTheme="minorEastAsia" w:eastAsiaTheme="minorEastAsia" w:cstheme="minorEastAsia"/>
                <w:sz w:val="21"/>
                <w:szCs w:val="21"/>
                <w:highlight w:val="none"/>
              </w:rPr>
              <w:t>项目</w:t>
            </w:r>
            <w:r>
              <w:rPr>
                <w:rFonts w:hint="eastAsia" w:asciiTheme="minorEastAsia" w:hAnsiTheme="minorEastAsia" w:cstheme="minorEastAsia"/>
                <w:sz w:val="21"/>
                <w:szCs w:val="21"/>
                <w:highlight w:val="none"/>
                <w:lang w:eastAsia="zh-CN"/>
              </w:rPr>
              <w:t>履约评价</w:t>
            </w:r>
            <w:r>
              <w:rPr>
                <w:rFonts w:hint="eastAsia" w:asciiTheme="minorEastAsia" w:hAnsiTheme="minorEastAsia" w:eastAsiaTheme="minorEastAsia" w:cstheme="minorEastAsia"/>
                <w:sz w:val="21"/>
                <w:szCs w:val="21"/>
                <w:highlight w:val="none"/>
              </w:rPr>
              <w:t>为</w:t>
            </w:r>
            <w:r>
              <w:rPr>
                <w:rFonts w:hint="eastAsia" w:asciiTheme="minorEastAsia" w:hAnsiTheme="minorEastAsia" w:cstheme="minorEastAsia"/>
                <w:sz w:val="21"/>
                <w:szCs w:val="21"/>
                <w:highlight w:val="none"/>
                <w:lang w:eastAsia="zh-CN"/>
              </w:rPr>
              <w:t>优秀</w:t>
            </w:r>
            <w:r>
              <w:rPr>
                <w:rFonts w:hint="eastAsia" w:asciiTheme="minorEastAsia" w:hAnsiTheme="minorEastAsia" w:eastAsiaTheme="minorEastAsia" w:cstheme="minorEastAsia"/>
                <w:sz w:val="21"/>
                <w:szCs w:val="21"/>
                <w:highlight w:val="none"/>
              </w:rPr>
              <w:t>的，每一个得</w:t>
            </w:r>
            <w:r>
              <w:rPr>
                <w:rFonts w:hint="eastAsia" w:asciiTheme="minorEastAsia" w:hAnsiTheme="minorEastAsia" w:cstheme="minorEastAsia"/>
                <w:sz w:val="21"/>
                <w:szCs w:val="21"/>
                <w:highlight w:val="none"/>
                <w:lang w:val="en-US" w:eastAsia="zh-CN"/>
              </w:rPr>
              <w:t>0.5</w:t>
            </w:r>
            <w:r>
              <w:rPr>
                <w:rFonts w:hint="eastAsia" w:asciiTheme="minorEastAsia" w:hAnsiTheme="minorEastAsia" w:eastAsiaTheme="minorEastAsia" w:cstheme="minorEastAsia"/>
                <w:sz w:val="21"/>
                <w:szCs w:val="21"/>
                <w:highlight w:val="none"/>
              </w:rPr>
              <w:t>分。</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b/>
                <w:kern w:val="0"/>
                <w:sz w:val="21"/>
                <w:szCs w:val="21"/>
                <w:highlight w:val="none"/>
                <w:lang w:val="zh-CN"/>
              </w:rPr>
            </w:pPr>
            <w:r>
              <w:rPr>
                <w:rFonts w:hint="eastAsia" w:asciiTheme="minorEastAsia" w:hAnsiTheme="minorEastAsia" w:eastAsiaTheme="minorEastAsia" w:cstheme="minorEastAsia"/>
                <w:b/>
                <w:sz w:val="21"/>
                <w:szCs w:val="21"/>
                <w:highlight w:val="none"/>
              </w:rPr>
              <w:t>2、证明文件</w:t>
            </w:r>
            <w:r>
              <w:rPr>
                <w:rFonts w:hint="eastAsia" w:asciiTheme="minorEastAsia" w:hAnsiTheme="minorEastAsia" w:eastAsiaTheme="minorEastAsia" w:cstheme="minorEastAsia"/>
                <w:b/>
                <w:kern w:val="0"/>
                <w:sz w:val="21"/>
                <w:szCs w:val="21"/>
                <w:highlight w:val="none"/>
                <w:lang w:val="zh-CN"/>
              </w:rPr>
              <w:t>：</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以上累计得分，最高得</w:t>
            </w: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分。 投标人须提供建设单位出具的履约评价证明扫描件，原件备查；未提供有效证明文件，或证明文件模糊不清难以辨认的不得分。</w:t>
            </w:r>
          </w:p>
        </w:tc>
        <w:tc>
          <w:tcPr>
            <w:tcW w:w="1134" w:type="dxa"/>
            <w:vAlign w:val="center"/>
          </w:tcPr>
          <w:p>
            <w:pPr>
              <w:pStyle w:val="285"/>
              <w:keepNext w:val="0"/>
              <w:keepLines w:val="0"/>
              <w:pageBreakBefore w:val="0"/>
              <w:widowControl/>
              <w:kinsoku w:val="0"/>
              <w:overflowPunct w:val="0"/>
              <w:topLinePunct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专家</w:t>
            </w:r>
            <w:r>
              <w:rPr>
                <w:rFonts w:hint="eastAsia" w:asciiTheme="minorEastAsia" w:hAnsiTheme="minorEastAsia" w:eastAsiaTheme="minorEastAsia" w:cstheme="minorEastAsia"/>
                <w:spacing w:val="-3"/>
                <w:sz w:val="21"/>
                <w:szCs w:val="21"/>
                <w:highlight w:val="none"/>
              </w:rPr>
              <w:t>打</w:t>
            </w:r>
            <w:r>
              <w:rPr>
                <w:rFonts w:hint="eastAsia" w:asciiTheme="minorEastAsia" w:hAnsiTheme="minorEastAsia" w:eastAsiaTheme="minorEastAsia" w:cstheme="minorEastAsia"/>
                <w:sz w:val="21"/>
                <w:szCs w:val="21"/>
                <w:highlight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22" w:hRule="atLeast"/>
          <w:jc w:val="center"/>
        </w:trPr>
        <w:tc>
          <w:tcPr>
            <w:tcW w:w="63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1092" w:type="dxa"/>
            <w:tcBorders>
              <w:top w:val="single" w:color="000000" w:sz="6" w:space="0"/>
              <w:left w:val="nil"/>
              <w:bottom w:val="single" w:color="000000" w:sz="6" w:space="0"/>
              <w:right w:val="single" w:color="000000" w:sz="6" w:space="0"/>
            </w:tcBorders>
            <w:vAlign w:val="center"/>
          </w:tcPr>
          <w:p>
            <w:pPr>
              <w:keepNext w:val="0"/>
              <w:keepLines w:val="0"/>
              <w:pageBreakBefore w:val="0"/>
              <w:widowControl/>
              <w:topLinePunct w:val="0"/>
              <w:bidi w:val="0"/>
              <w:spacing w:after="78" w:line="360" w:lineRule="auto"/>
              <w:jc w:val="center"/>
              <w:textAlignment w:val="auto"/>
              <w:rPr>
                <w:rFonts w:hint="eastAsia" w:asciiTheme="minorEastAsia" w:hAnsiTheme="minorEastAsia" w:cstheme="minorEastAsia"/>
                <w:sz w:val="21"/>
                <w:szCs w:val="21"/>
                <w:highlight w:val="none"/>
                <w:lang w:eastAsia="zh-CN"/>
              </w:rPr>
            </w:pPr>
            <w:r>
              <w:rPr>
                <w:rFonts w:hint="eastAsia" w:asciiTheme="minorEastAsia" w:hAnsiTheme="minorEastAsia" w:cstheme="minorEastAsia"/>
                <w:sz w:val="21"/>
                <w:szCs w:val="21"/>
                <w:highlight w:val="none"/>
                <w:lang w:eastAsia="zh-CN"/>
              </w:rPr>
              <w:t>企业</w:t>
            </w:r>
          </w:p>
          <w:p>
            <w:pPr>
              <w:keepNext w:val="0"/>
              <w:keepLines w:val="0"/>
              <w:pageBreakBefore w:val="0"/>
              <w:widowControl/>
              <w:topLinePunct w:val="0"/>
              <w:bidi w:val="0"/>
              <w:spacing w:after="78" w:line="360" w:lineRule="auto"/>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cstheme="minorEastAsia"/>
                <w:sz w:val="21"/>
                <w:szCs w:val="21"/>
                <w:highlight w:val="none"/>
                <w:lang w:eastAsia="zh-CN"/>
              </w:rPr>
              <w:t>信誉</w:t>
            </w:r>
          </w:p>
        </w:tc>
        <w:tc>
          <w:tcPr>
            <w:tcW w:w="792" w:type="dxa"/>
            <w:tcBorders>
              <w:top w:val="single" w:color="000000" w:sz="6" w:space="0"/>
              <w:left w:val="nil"/>
              <w:bottom w:val="single" w:color="000000" w:sz="6" w:space="0"/>
              <w:right w:val="single" w:color="000000" w:sz="6" w:space="0"/>
            </w:tcBorders>
            <w:vAlign w:val="center"/>
          </w:tcPr>
          <w:p>
            <w:pPr>
              <w:keepNext w:val="0"/>
              <w:keepLines w:val="0"/>
              <w:pageBreakBefore w:val="0"/>
              <w:widowControl/>
              <w:topLinePunct w:val="0"/>
              <w:bidi w:val="0"/>
              <w:spacing w:line="360" w:lineRule="auto"/>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5</w:t>
            </w:r>
          </w:p>
        </w:tc>
        <w:tc>
          <w:tcPr>
            <w:tcW w:w="5655" w:type="dxa"/>
            <w:gridSpan w:val="2"/>
            <w:tcBorders>
              <w:top w:val="single" w:color="000000" w:sz="6" w:space="0"/>
              <w:left w:val="nil"/>
              <w:bottom w:val="single" w:color="000000" w:sz="6" w:space="0"/>
              <w:right w:val="single" w:color="000000" w:sz="6" w:space="0"/>
            </w:tcBorders>
            <w:vAlign w:val="center"/>
          </w:tcPr>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1、评审标准：</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bCs/>
                <w:sz w:val="21"/>
                <w:szCs w:val="21"/>
                <w:highlight w:val="none"/>
                <w:lang w:eastAsia="zh-CN"/>
              </w:rPr>
            </w:pPr>
            <w:r>
              <w:rPr>
                <w:rFonts w:hint="eastAsia" w:asciiTheme="minorEastAsia" w:hAnsi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1）投标人连续</w:t>
            </w:r>
            <w:r>
              <w:rPr>
                <w:rFonts w:hint="eastAsia" w:asciiTheme="minorEastAsia" w:hAnsiTheme="minorEastAsia" w:cstheme="minorEastAsia"/>
                <w:bCs/>
                <w:sz w:val="21"/>
                <w:szCs w:val="21"/>
                <w:highlight w:val="none"/>
                <w:lang w:val="en-US" w:eastAsia="zh-CN"/>
              </w:rPr>
              <w:t>8</w:t>
            </w:r>
            <w:r>
              <w:rPr>
                <w:rFonts w:hint="eastAsia" w:asciiTheme="minorEastAsia" w:hAnsiTheme="minorEastAsia" w:eastAsiaTheme="minorEastAsia" w:cstheme="minorEastAsia"/>
                <w:bCs/>
                <w:sz w:val="21"/>
                <w:szCs w:val="21"/>
                <w:highlight w:val="none"/>
              </w:rPr>
              <w:t>年及以上被行政主管部门评为守合同重信用企业的得</w:t>
            </w:r>
            <w:r>
              <w:rPr>
                <w:rFonts w:hint="eastAsia" w:asciiTheme="minorEastAsia" w:hAnsiTheme="minorEastAsia" w:cstheme="minorEastAsia"/>
                <w:bCs/>
                <w:sz w:val="21"/>
                <w:szCs w:val="21"/>
                <w:highlight w:val="none"/>
                <w:lang w:val="en-US" w:eastAsia="zh-CN"/>
              </w:rPr>
              <w:t>3.5</w:t>
            </w:r>
            <w:r>
              <w:rPr>
                <w:rFonts w:hint="eastAsia" w:asciiTheme="minorEastAsia" w:hAnsiTheme="minorEastAsia" w:eastAsiaTheme="minorEastAsia" w:cstheme="minorEastAsia"/>
                <w:bCs/>
                <w:sz w:val="21"/>
                <w:szCs w:val="21"/>
                <w:highlight w:val="none"/>
              </w:rPr>
              <w:t>分</w:t>
            </w:r>
            <w:r>
              <w:rPr>
                <w:rFonts w:hint="eastAsia" w:asciiTheme="minorEastAsia" w:hAnsi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连续</w:t>
            </w:r>
            <w:r>
              <w:rPr>
                <w:rFonts w:hint="eastAsia" w:asciiTheme="minorEastAsia" w:hAnsiTheme="minorEastAsia" w:cstheme="minorEastAsia"/>
                <w:bCs/>
                <w:sz w:val="21"/>
                <w:szCs w:val="21"/>
                <w:highlight w:val="none"/>
                <w:lang w:val="en-US" w:eastAsia="zh-CN"/>
              </w:rPr>
              <w:t>5</w:t>
            </w:r>
            <w:r>
              <w:rPr>
                <w:rFonts w:hint="eastAsia" w:asciiTheme="minorEastAsia" w:hAnsiTheme="minorEastAsia" w:eastAsiaTheme="minorEastAsia" w:cstheme="minorEastAsia"/>
                <w:bCs/>
                <w:sz w:val="21"/>
                <w:szCs w:val="21"/>
                <w:highlight w:val="none"/>
              </w:rPr>
              <w:t>年的得</w:t>
            </w:r>
            <w:r>
              <w:rPr>
                <w:rFonts w:hint="eastAsia" w:asciiTheme="minorEastAsia" w:hAnsiTheme="minorEastAsia" w:cstheme="minorEastAsia"/>
                <w:bCs/>
                <w:sz w:val="21"/>
                <w:szCs w:val="21"/>
                <w:highlight w:val="none"/>
                <w:lang w:val="en-US" w:eastAsia="zh-CN"/>
              </w:rPr>
              <w:t>2.5</w:t>
            </w:r>
            <w:r>
              <w:rPr>
                <w:rFonts w:hint="eastAsia" w:asciiTheme="minorEastAsia" w:hAnsiTheme="minorEastAsia" w:eastAsiaTheme="minorEastAsia" w:cstheme="minorEastAsia"/>
                <w:bCs/>
                <w:sz w:val="21"/>
                <w:szCs w:val="21"/>
                <w:highlight w:val="none"/>
              </w:rPr>
              <w:t>分</w:t>
            </w:r>
            <w:r>
              <w:rPr>
                <w:rFonts w:hint="eastAsia" w:asciiTheme="minorEastAsia" w:hAnsi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连续</w:t>
            </w:r>
            <w:r>
              <w:rPr>
                <w:rFonts w:hint="eastAsia" w:asciiTheme="minorEastAsia" w:hAnsiTheme="minorEastAsia" w:cstheme="minorEastAsia"/>
                <w:bCs/>
                <w:sz w:val="21"/>
                <w:szCs w:val="21"/>
                <w:highlight w:val="none"/>
                <w:lang w:val="en-US" w:eastAsia="zh-CN"/>
              </w:rPr>
              <w:t>3</w:t>
            </w:r>
            <w:r>
              <w:rPr>
                <w:rFonts w:hint="eastAsia" w:asciiTheme="minorEastAsia" w:hAnsiTheme="minorEastAsia" w:eastAsiaTheme="minorEastAsia" w:cstheme="minorEastAsia"/>
                <w:bCs/>
                <w:sz w:val="21"/>
                <w:szCs w:val="21"/>
                <w:highlight w:val="none"/>
              </w:rPr>
              <w:t>年的得1分</w:t>
            </w:r>
            <w:r>
              <w:rPr>
                <w:rFonts w:hint="eastAsia" w:asciiTheme="minorEastAsia" w:hAnsi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其他不得分</w:t>
            </w:r>
            <w:r>
              <w:rPr>
                <w:rFonts w:hint="eastAsia" w:asciiTheme="minorEastAsia" w:hAnsiTheme="minorEastAsia" w:cstheme="minorEastAsia"/>
                <w:bCs/>
                <w:sz w:val="21"/>
                <w:szCs w:val="21"/>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kern w:val="2"/>
                <w:sz w:val="21"/>
                <w:szCs w:val="21"/>
                <w:highlight w:val="none"/>
                <w:lang w:val="en-US" w:eastAsia="zh-CN" w:bidi="ar-SA"/>
              </w:rPr>
            </w:pPr>
            <w:r>
              <w:rPr>
                <w:rFonts w:hint="eastAsia" w:asciiTheme="minorEastAsia" w:hAnsiTheme="minorEastAsia" w:cstheme="minorEastAsia"/>
                <w:b w:val="0"/>
                <w:bCs w:val="0"/>
                <w:sz w:val="21"/>
                <w:szCs w:val="21"/>
                <w:highlight w:val="none"/>
                <w:lang w:eastAsia="zh-CN"/>
              </w:rPr>
              <w:t>（</w:t>
            </w:r>
            <w:r>
              <w:rPr>
                <w:rFonts w:hint="eastAsia" w:asciiTheme="minorEastAsia" w:hAnsiTheme="minorEastAsia" w:cstheme="minorEastAsia"/>
                <w:b w:val="0"/>
                <w:bCs w:val="0"/>
                <w:sz w:val="21"/>
                <w:szCs w:val="21"/>
                <w:highlight w:val="none"/>
                <w:lang w:val="en-US" w:eastAsia="zh-CN"/>
              </w:rPr>
              <w:t>2</w:t>
            </w:r>
            <w:r>
              <w:rPr>
                <w:rFonts w:hint="eastAsia" w:asciiTheme="minorEastAsia" w:hAnsi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kern w:val="2"/>
                <w:sz w:val="21"/>
                <w:szCs w:val="21"/>
                <w:highlight w:val="none"/>
                <w:lang w:val="en-US" w:eastAsia="zh-CN" w:bidi="ar-SA"/>
              </w:rPr>
              <w:t>投标人获得省级或以上行业协会颁发的园林绿化企业信用等级证书AAAAA证书的得</w:t>
            </w:r>
            <w:r>
              <w:rPr>
                <w:rFonts w:hint="eastAsia" w:asciiTheme="minorEastAsia" w:hAnsiTheme="minorEastAsia" w:cstheme="minorEastAsia"/>
                <w:b w:val="0"/>
                <w:bCs/>
                <w:kern w:val="2"/>
                <w:sz w:val="21"/>
                <w:szCs w:val="21"/>
                <w:highlight w:val="none"/>
                <w:lang w:val="en-US" w:eastAsia="zh-CN" w:bidi="ar-SA"/>
              </w:rPr>
              <w:t>1.5</w:t>
            </w:r>
            <w:r>
              <w:rPr>
                <w:rFonts w:hint="eastAsia" w:asciiTheme="minorEastAsia" w:hAnsiTheme="minorEastAsia" w:eastAsiaTheme="minorEastAsia" w:cstheme="minorEastAsia"/>
                <w:b w:val="0"/>
                <w:bCs/>
                <w:kern w:val="2"/>
                <w:sz w:val="21"/>
                <w:szCs w:val="21"/>
                <w:highlight w:val="none"/>
                <w:lang w:val="en-US" w:eastAsia="zh-CN" w:bidi="ar-SA"/>
              </w:rPr>
              <w:t>分，AAAA级的得</w:t>
            </w:r>
            <w:r>
              <w:rPr>
                <w:rFonts w:hint="eastAsia" w:asciiTheme="minorEastAsia" w:hAnsiTheme="minorEastAsia" w:cstheme="minorEastAsia"/>
                <w:b w:val="0"/>
                <w:bCs/>
                <w:kern w:val="2"/>
                <w:sz w:val="21"/>
                <w:szCs w:val="21"/>
                <w:highlight w:val="none"/>
                <w:lang w:val="en-US" w:eastAsia="zh-CN" w:bidi="ar-SA"/>
              </w:rPr>
              <w:t>1</w:t>
            </w:r>
            <w:r>
              <w:rPr>
                <w:rFonts w:hint="eastAsia" w:asciiTheme="minorEastAsia" w:hAnsiTheme="minorEastAsia" w:eastAsiaTheme="minorEastAsia" w:cstheme="minorEastAsia"/>
                <w:b w:val="0"/>
                <w:bCs/>
                <w:kern w:val="2"/>
                <w:sz w:val="21"/>
                <w:szCs w:val="21"/>
                <w:highlight w:val="none"/>
                <w:lang w:val="en-US" w:eastAsia="zh-CN" w:bidi="ar-SA"/>
              </w:rPr>
              <w:t>分，其他不得分。</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2、证明文件：</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投标人须提供相关</w:t>
            </w:r>
            <w:r>
              <w:rPr>
                <w:rFonts w:hint="eastAsia" w:asciiTheme="minorEastAsia" w:hAnsiTheme="minorEastAsia" w:cstheme="minorEastAsia"/>
                <w:bCs/>
                <w:sz w:val="21"/>
                <w:szCs w:val="21"/>
                <w:highlight w:val="none"/>
                <w:lang w:eastAsia="zh-CN"/>
              </w:rPr>
              <w:t>证明文件</w:t>
            </w:r>
            <w:r>
              <w:rPr>
                <w:rFonts w:hint="eastAsia" w:asciiTheme="minorEastAsia" w:hAnsiTheme="minorEastAsia" w:eastAsiaTheme="minorEastAsia" w:cstheme="minorEastAsia"/>
                <w:bCs/>
                <w:sz w:val="21"/>
                <w:szCs w:val="21"/>
                <w:highlight w:val="none"/>
              </w:rPr>
              <w:t>复印件</w:t>
            </w:r>
            <w:r>
              <w:rPr>
                <w:rFonts w:hint="eastAsia" w:asciiTheme="minorEastAsia" w:hAnsiTheme="minorEastAsia" w:eastAsiaTheme="minorEastAsia" w:cstheme="minorEastAsia"/>
                <w:sz w:val="21"/>
                <w:szCs w:val="21"/>
                <w:highlight w:val="none"/>
              </w:rPr>
              <w:t>或扫描件加盖投标人公章</w:t>
            </w:r>
            <w:r>
              <w:rPr>
                <w:rFonts w:hint="eastAsia" w:asciiTheme="minorEastAsia" w:hAnsiTheme="minorEastAsia" w:eastAsiaTheme="minorEastAsia" w:cstheme="minorEastAsia"/>
                <w:bCs/>
                <w:sz w:val="21"/>
                <w:szCs w:val="21"/>
                <w:highlight w:val="none"/>
              </w:rPr>
              <w:t>，</w:t>
            </w:r>
            <w:r>
              <w:rPr>
                <w:rFonts w:hint="eastAsia" w:asciiTheme="minorEastAsia" w:hAnsiTheme="minorEastAsia" w:cstheme="minorEastAsia"/>
                <w:bCs/>
                <w:sz w:val="21"/>
                <w:szCs w:val="21"/>
                <w:highlight w:val="none"/>
                <w:lang w:eastAsia="zh-CN"/>
              </w:rPr>
              <w:t>原件备查。不具备或未提供有效证明文件的</w:t>
            </w:r>
            <w:r>
              <w:rPr>
                <w:rFonts w:hint="eastAsia" w:asciiTheme="minorEastAsia" w:hAnsiTheme="minorEastAsia" w:eastAsiaTheme="minorEastAsia" w:cstheme="minorEastAsia"/>
                <w:bCs/>
                <w:sz w:val="21"/>
                <w:szCs w:val="21"/>
                <w:highlight w:val="none"/>
              </w:rPr>
              <w:t>不予计分。</w:t>
            </w:r>
          </w:p>
        </w:tc>
        <w:tc>
          <w:tcPr>
            <w:tcW w:w="1134" w:type="dxa"/>
            <w:tcBorders>
              <w:top w:val="single" w:color="000000" w:sz="6" w:space="0"/>
              <w:left w:val="nil"/>
              <w:bottom w:val="single" w:color="000000" w:sz="6" w:space="0"/>
              <w:right w:val="single" w:color="000000" w:sz="6" w:space="0"/>
            </w:tcBorders>
            <w:vAlign w:val="center"/>
          </w:tcPr>
          <w:p>
            <w:pPr>
              <w:keepNext w:val="0"/>
              <w:keepLines w:val="0"/>
              <w:pageBreakBefore w:val="0"/>
              <w:widowControl/>
              <w:topLinePunct w:val="0"/>
              <w:bidi w:val="0"/>
              <w:spacing w:line="36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sz w:val="21"/>
                <w:szCs w:val="21"/>
                <w:highlight w:val="none"/>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189" w:hRule="atLeast"/>
          <w:jc w:val="center"/>
        </w:trPr>
        <w:tc>
          <w:tcPr>
            <w:tcW w:w="637" w:type="dxa"/>
            <w:vAlign w:val="center"/>
          </w:tcPr>
          <w:p>
            <w:pPr>
              <w:keepNext w:val="0"/>
              <w:keepLines w:val="0"/>
              <w:pageBreakBefore w:val="0"/>
              <w:widowControl/>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rPr>
              <w:t>6</w:t>
            </w:r>
          </w:p>
        </w:tc>
        <w:tc>
          <w:tcPr>
            <w:tcW w:w="1092" w:type="dxa"/>
            <w:vAlign w:val="center"/>
          </w:tcPr>
          <w:p>
            <w:pPr>
              <w:keepNext w:val="0"/>
              <w:keepLines w:val="0"/>
              <w:pageBreakBefore w:val="0"/>
              <w:widowControl/>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诚信档案</w:t>
            </w:r>
          </w:p>
        </w:tc>
        <w:tc>
          <w:tcPr>
            <w:tcW w:w="792" w:type="dxa"/>
            <w:vAlign w:val="center"/>
          </w:tcPr>
          <w:p>
            <w:pPr>
              <w:keepNext w:val="0"/>
              <w:keepLines w:val="0"/>
              <w:pageBreakBefore w:val="0"/>
              <w:widowControl/>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5655" w:type="dxa"/>
            <w:gridSpan w:val="2"/>
            <w:vAlign w:val="center"/>
          </w:tcPr>
          <w:p>
            <w:pPr>
              <w:keepNext w:val="0"/>
              <w:keepLines w:val="0"/>
              <w:pageBreakBefore w:val="0"/>
              <w:widowControl/>
              <w:topLinePunct w:val="0"/>
              <w:autoSpaceDE w:val="0"/>
              <w:autoSpaceDN w:val="0"/>
              <w:bidi w:val="0"/>
              <w:spacing w:line="360" w:lineRule="auto"/>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1.评审标准：</w:t>
            </w:r>
          </w:p>
          <w:p>
            <w:pPr>
              <w:keepNext w:val="0"/>
              <w:keepLines w:val="0"/>
              <w:pageBreakBefore w:val="0"/>
              <w:widowControl/>
              <w:tabs>
                <w:tab w:val="left" w:pos="0"/>
                <w:tab w:val="clear" w:pos="426"/>
              </w:tabs>
              <w:topLinePunct w:val="0"/>
              <w:bidi w:val="0"/>
              <w:spacing w:line="360" w:lineRule="auto"/>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深圳市财政委员会关于印发〈深圳市政府采购供应商诚信管理暂行办法操作细则〉的通知》（深财购[2017]42号）的要求，投标人在参与政府采购活动中存在诚信相关问题且在主管部门相关处理措施实施期限内的，本项不得分，否则得5分。</w:t>
            </w:r>
          </w:p>
          <w:p>
            <w:pPr>
              <w:keepNext w:val="0"/>
              <w:keepLines w:val="0"/>
              <w:pageBreakBefore w:val="0"/>
              <w:widowControl/>
              <w:numPr>
                <w:ilvl w:val="0"/>
                <w:numId w:val="0"/>
              </w:numPr>
              <w:topLinePunct w:val="0"/>
              <w:autoSpaceDE w:val="0"/>
              <w:autoSpaceDN w:val="0"/>
              <w:bidi w:val="0"/>
              <w:spacing w:line="360" w:lineRule="auto"/>
              <w:ind w:leftChars="0"/>
              <w:jc w:val="left"/>
              <w:textAlignment w:val="auto"/>
              <w:rPr>
                <w:b/>
                <w:color w:val="000000" w:themeColor="text1"/>
                <w:szCs w:val="21"/>
                <w:highlight w:val="none"/>
                <w:lang w:val="zh-CN"/>
                <w14:textFill>
                  <w14:solidFill>
                    <w14:schemeClr w14:val="tx1"/>
                  </w14:solidFill>
                </w14:textFill>
              </w:rPr>
            </w:pPr>
            <w:r>
              <w:rPr>
                <w:rFonts w:hint="eastAsia"/>
                <w:b/>
                <w:color w:val="000000" w:themeColor="text1"/>
                <w:szCs w:val="21"/>
                <w:highlight w:val="none"/>
                <w:lang w:val="zh-CN"/>
                <w14:textFill>
                  <w14:solidFill>
                    <w14:schemeClr w14:val="tx1"/>
                  </w14:solidFill>
                </w14:textFill>
              </w:rPr>
              <w:t>证明文件：</w:t>
            </w:r>
          </w:p>
          <w:p>
            <w:pPr>
              <w:keepNext w:val="0"/>
              <w:keepLines w:val="0"/>
              <w:pageBreakBefore w:val="0"/>
              <w:widowControl/>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color w:val="000000" w:themeColor="text1"/>
                <w:highlight w:val="none"/>
                <w:lang w:val="zh-CN"/>
                <w14:textFill>
                  <w14:solidFill>
                    <w14:schemeClr w14:val="tx1"/>
                  </w14:solidFill>
                </w14:textFill>
              </w:rPr>
              <w:t>须提供《诚信承诺函》，如若投标人承诺与实际情况不相符，将按照虚假投标的情况报相关主管部门处理，承诺函应按招标文件格式填写原件加盖投标人公章（诚信承诺函格式详见投标文件格式、附件）。</w:t>
            </w:r>
          </w:p>
        </w:tc>
        <w:tc>
          <w:tcPr>
            <w:tcW w:w="1134" w:type="dxa"/>
            <w:vAlign w:val="center"/>
          </w:tcPr>
          <w:p>
            <w:pPr>
              <w:keepNext w:val="0"/>
              <w:keepLines w:val="0"/>
              <w:pageBreakBefore w:val="0"/>
              <w:widowControl/>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8176" w:type="dxa"/>
            <w:gridSpan w:val="5"/>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highlight w:val="none"/>
                <w:lang w:val="zh-CN"/>
              </w:rPr>
            </w:pPr>
            <w:r>
              <w:rPr>
                <w:rFonts w:hint="eastAsia" w:asciiTheme="minorEastAsia" w:hAnsiTheme="minorEastAsia" w:eastAsiaTheme="minorEastAsia" w:cstheme="minorEastAsia"/>
                <w:b/>
                <w:sz w:val="21"/>
                <w:szCs w:val="21"/>
                <w:highlight w:val="none"/>
                <w:lang w:val="zh-CN"/>
              </w:rPr>
              <w:t>二、技术部分</w:t>
            </w:r>
          </w:p>
        </w:tc>
        <w:tc>
          <w:tcPr>
            <w:tcW w:w="1134" w:type="dxa"/>
            <w:vAlign w:val="center"/>
          </w:tcPr>
          <w:p>
            <w:pPr>
              <w:keepNext w:val="0"/>
              <w:keepLines w:val="0"/>
              <w:pageBreakBefore w:val="0"/>
              <w:widowControl/>
              <w:topLinePunct w:val="0"/>
              <w:autoSpaceDE w:val="0"/>
              <w:autoSpaceDN w:val="0"/>
              <w:bidi w:val="0"/>
              <w:adjustRightInd w:val="0"/>
              <w:spacing w:line="360" w:lineRule="auto"/>
              <w:ind w:firstLine="210" w:firstLineChars="10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cstheme="minorEastAsia"/>
                <w:sz w:val="21"/>
                <w:szCs w:val="21"/>
                <w:highlight w:val="none"/>
                <w:lang w:val="en-US" w:eastAsia="zh-CN"/>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19" w:hRule="atLeast"/>
          <w:jc w:val="center"/>
        </w:trPr>
        <w:tc>
          <w:tcPr>
            <w:tcW w:w="637"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序号</w:t>
            </w:r>
          </w:p>
        </w:tc>
        <w:tc>
          <w:tcPr>
            <w:tcW w:w="1092"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内容</w:t>
            </w:r>
          </w:p>
        </w:tc>
        <w:tc>
          <w:tcPr>
            <w:tcW w:w="856" w:type="dxa"/>
            <w:gridSpan w:val="2"/>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权重</w:t>
            </w:r>
          </w:p>
        </w:tc>
        <w:tc>
          <w:tcPr>
            <w:tcW w:w="5591"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评分规则</w:t>
            </w:r>
          </w:p>
        </w:tc>
        <w:tc>
          <w:tcPr>
            <w:tcW w:w="1134"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099" w:hRule="atLeast"/>
          <w:jc w:val="center"/>
        </w:trPr>
        <w:tc>
          <w:tcPr>
            <w:tcW w:w="637" w:type="dxa"/>
            <w:vAlign w:val="center"/>
          </w:tcPr>
          <w:p>
            <w:pPr>
              <w:keepNext w:val="0"/>
              <w:keepLines w:val="0"/>
              <w:pageBreakBefore w:val="0"/>
              <w:widowControl/>
              <w:topLinePunct w:val="0"/>
              <w:autoSpaceDE w:val="0"/>
              <w:autoSpaceDN w:val="0"/>
              <w:bidi w:val="0"/>
              <w:adjustRightInd w:val="0"/>
              <w:spacing w:line="360" w:lineRule="auto"/>
              <w:jc w:val="left"/>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1</w:t>
            </w:r>
          </w:p>
        </w:tc>
        <w:tc>
          <w:tcPr>
            <w:tcW w:w="1092"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cstheme="minorEastAsia"/>
                <w:color w:val="000000"/>
                <w:kern w:val="0"/>
                <w:sz w:val="21"/>
                <w:szCs w:val="21"/>
                <w:highlight w:val="none"/>
                <w:lang w:eastAsia="zh-CN"/>
              </w:rPr>
              <w:t>企业技术</w:t>
            </w:r>
            <w:r>
              <w:rPr>
                <w:rFonts w:hint="eastAsia" w:asciiTheme="minorEastAsia" w:hAnsiTheme="minorEastAsia" w:eastAsiaTheme="minorEastAsia" w:cstheme="minorEastAsia"/>
                <w:color w:val="000000"/>
                <w:kern w:val="0"/>
                <w:sz w:val="21"/>
                <w:szCs w:val="21"/>
                <w:highlight w:val="none"/>
              </w:rPr>
              <w:t>人员</w:t>
            </w:r>
            <w:r>
              <w:rPr>
                <w:rFonts w:hint="eastAsia" w:asciiTheme="minorEastAsia" w:hAnsiTheme="minorEastAsia" w:cstheme="minorEastAsia"/>
                <w:color w:val="000000"/>
                <w:kern w:val="0"/>
                <w:sz w:val="21"/>
                <w:szCs w:val="21"/>
                <w:highlight w:val="none"/>
                <w:lang w:eastAsia="zh-CN"/>
              </w:rPr>
              <w:t>实力</w:t>
            </w:r>
          </w:p>
        </w:tc>
        <w:tc>
          <w:tcPr>
            <w:tcW w:w="856" w:type="dxa"/>
            <w:gridSpan w:val="2"/>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default" w:asciiTheme="minorEastAsia" w:hAnsiTheme="minorEastAsia" w:eastAsiaTheme="minorEastAsia" w:cstheme="minorEastAsia"/>
                <w:kern w:val="0"/>
                <w:sz w:val="21"/>
                <w:szCs w:val="21"/>
                <w:highlight w:val="none"/>
                <w:lang w:val="en-US" w:eastAsia="zh-CN"/>
              </w:rPr>
            </w:pPr>
            <w:r>
              <w:rPr>
                <w:rFonts w:hint="eastAsia" w:asciiTheme="minorEastAsia" w:hAnsiTheme="minorEastAsia" w:cstheme="minorEastAsia"/>
                <w:color w:val="000000" w:themeColor="text1"/>
                <w:kern w:val="0"/>
                <w:sz w:val="21"/>
                <w:szCs w:val="21"/>
                <w:highlight w:val="none"/>
                <w:lang w:val="en-US" w:eastAsia="zh-CN"/>
                <w14:textFill>
                  <w14:solidFill>
                    <w14:schemeClr w14:val="tx1"/>
                  </w14:solidFill>
                </w14:textFill>
              </w:rPr>
              <w:t>16</w:t>
            </w:r>
          </w:p>
        </w:tc>
        <w:tc>
          <w:tcPr>
            <w:tcW w:w="5591" w:type="dxa"/>
            <w:vAlign w:val="center"/>
          </w:tcPr>
          <w:p>
            <w:pPr>
              <w:keepNext w:val="0"/>
              <w:keepLines w:val="0"/>
              <w:pageBreakBefore w:val="0"/>
              <w:widowControl/>
              <w:topLinePunct w:val="0"/>
              <w:autoSpaceDE w:val="0"/>
              <w:autoSpaceDN w:val="0"/>
              <w:bidi w:val="0"/>
              <w:adjustRightInd w:val="0"/>
              <w:spacing w:line="360" w:lineRule="auto"/>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b/>
                <w:kern w:val="0"/>
                <w:sz w:val="21"/>
                <w:szCs w:val="21"/>
                <w:highlight w:val="none"/>
              </w:rPr>
              <w:t>考察内容：</w:t>
            </w:r>
          </w:p>
          <w:p>
            <w:pPr>
              <w:keepNext w:val="0"/>
              <w:keepLines w:val="0"/>
              <w:pageBreakBefore w:val="0"/>
              <w:widowControl/>
              <w:numPr>
                <w:ilvl w:val="0"/>
                <w:numId w:val="0"/>
              </w:numPr>
              <w:topLinePunct w:val="0"/>
              <w:bidi w:val="0"/>
              <w:snapToGrid w:val="0"/>
              <w:spacing w:line="360" w:lineRule="auto"/>
              <w:jc w:val="left"/>
              <w:textAlignment w:val="auto"/>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cstheme="minorEastAsia"/>
                <w:b/>
                <w:bCs/>
                <w:sz w:val="21"/>
                <w:szCs w:val="21"/>
                <w:highlight w:val="none"/>
                <w:lang w:eastAsia="zh-CN"/>
              </w:rPr>
              <w:t>投标人拥有</w:t>
            </w:r>
            <w:r>
              <w:rPr>
                <w:rFonts w:hint="eastAsia" w:asciiTheme="minorEastAsia" w:hAnsiTheme="minorEastAsia" w:eastAsiaTheme="minorEastAsia" w:cstheme="minorEastAsia"/>
                <w:b/>
                <w:bCs/>
                <w:sz w:val="21"/>
                <w:szCs w:val="21"/>
                <w:highlight w:val="none"/>
              </w:rPr>
              <w:t>专业技术人员</w:t>
            </w:r>
            <w:r>
              <w:rPr>
                <w:rFonts w:hint="eastAsia" w:asciiTheme="minorEastAsia" w:hAnsiTheme="minorEastAsia" w:eastAsiaTheme="minorEastAsia" w:cstheme="minorEastAsia"/>
                <w:b/>
                <w:bCs/>
                <w:sz w:val="21"/>
                <w:szCs w:val="21"/>
                <w:highlight w:val="none"/>
                <w:lang w:eastAsia="zh-CN"/>
              </w:rPr>
              <w:t>职称情况</w:t>
            </w:r>
            <w:r>
              <w:rPr>
                <w:rFonts w:hint="eastAsia" w:asciiTheme="minorEastAsia" w:hAnsiTheme="minorEastAsia" w:eastAsiaTheme="minorEastAsia" w:cstheme="minorEastAsia"/>
                <w:b/>
                <w:bCs/>
                <w:sz w:val="21"/>
                <w:szCs w:val="21"/>
                <w:highlight w:val="none"/>
              </w:rPr>
              <w:t>：</w:t>
            </w:r>
          </w:p>
          <w:p>
            <w:pPr>
              <w:keepNext w:val="0"/>
              <w:keepLines w:val="0"/>
              <w:pageBreakBefore w:val="0"/>
              <w:widowControl/>
              <w:shd w:val="clear" w:color="auto" w:fill="FFFFFF"/>
              <w:topLinePunct w:val="0"/>
              <w:autoSpaceDE w:val="0"/>
              <w:autoSpaceDN w:val="0"/>
              <w:bidi w:val="0"/>
              <w:adjustRightInd w:val="0"/>
              <w:spacing w:line="360" w:lineRule="auto"/>
              <w:textAlignment w:val="auto"/>
              <w:rPr>
                <w:rFonts w:hint="eastAsia" w:asciiTheme="minorEastAsia" w:hAnsiTheme="minorEastAsia" w:eastAsiaTheme="minorEastAsia" w:cstheme="minorEastAsia"/>
                <w:color w:val="000000"/>
                <w:kern w:val="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eastAsia="zh-CN"/>
              </w:rPr>
              <w:t>（1）中级职称（园林相关专业）：每1人得</w:t>
            </w:r>
            <w:r>
              <w:rPr>
                <w:rFonts w:hint="eastAsia" w:asciiTheme="minorEastAsia" w:hAnsiTheme="minorEastAsia" w:eastAsiaTheme="minorEastAsia" w:cstheme="minorEastAsia"/>
                <w:color w:val="000000"/>
                <w:kern w:val="0"/>
                <w:sz w:val="21"/>
                <w:szCs w:val="21"/>
                <w:highlight w:val="none"/>
                <w:lang w:val="en-US" w:eastAsia="zh-CN"/>
              </w:rPr>
              <w:t>2</w:t>
            </w:r>
            <w:r>
              <w:rPr>
                <w:rFonts w:hint="eastAsia" w:asciiTheme="minorEastAsia" w:hAnsiTheme="minorEastAsia" w:eastAsiaTheme="minorEastAsia" w:cstheme="minorEastAsia"/>
                <w:color w:val="000000"/>
                <w:kern w:val="0"/>
                <w:sz w:val="21"/>
                <w:szCs w:val="21"/>
                <w:highlight w:val="none"/>
                <w:lang w:eastAsia="zh-CN"/>
              </w:rPr>
              <w:t>分，此项最高得</w:t>
            </w:r>
            <w:r>
              <w:rPr>
                <w:rFonts w:hint="eastAsia" w:asciiTheme="minorEastAsia" w:hAnsiTheme="minorEastAsia" w:eastAsiaTheme="minorEastAsia" w:cstheme="minorEastAsia"/>
                <w:color w:val="000000"/>
                <w:kern w:val="0"/>
                <w:sz w:val="21"/>
                <w:szCs w:val="21"/>
                <w:highlight w:val="none"/>
                <w:lang w:val="en-US" w:eastAsia="zh-CN"/>
              </w:rPr>
              <w:t>8分</w:t>
            </w:r>
            <w:r>
              <w:rPr>
                <w:rFonts w:hint="eastAsia" w:asciiTheme="minorEastAsia" w:hAnsiTheme="minorEastAsia" w:eastAsiaTheme="minorEastAsia" w:cstheme="minorEastAsia"/>
                <w:color w:val="000000"/>
                <w:kern w:val="0"/>
                <w:sz w:val="21"/>
                <w:szCs w:val="21"/>
                <w:highlight w:val="none"/>
                <w:lang w:eastAsia="zh-CN"/>
              </w:rPr>
              <w:t>。</w:t>
            </w:r>
          </w:p>
          <w:p>
            <w:pPr>
              <w:keepNext w:val="0"/>
              <w:keepLines w:val="0"/>
              <w:pageBreakBefore w:val="0"/>
              <w:widowControl/>
              <w:shd w:val="clear" w:color="auto" w:fill="FFFFFF"/>
              <w:topLinePunct w:val="0"/>
              <w:autoSpaceDE w:val="0"/>
              <w:autoSpaceDN w:val="0"/>
              <w:bidi w:val="0"/>
              <w:adjustRightInd w:val="0"/>
              <w:spacing w:line="360" w:lineRule="auto"/>
              <w:textAlignment w:val="auto"/>
              <w:rPr>
                <w:rFonts w:hint="eastAsia" w:asciiTheme="minorEastAsia" w:hAnsiTheme="minorEastAsia" w:eastAsiaTheme="minorEastAsia" w:cstheme="minorEastAsia"/>
                <w:color w:val="000000"/>
                <w:kern w:val="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eastAsia="zh-CN"/>
              </w:rPr>
              <w:t>（2）高级或以上职称（园林相关专业）：每</w:t>
            </w:r>
            <w:r>
              <w:rPr>
                <w:rFonts w:hint="eastAsia" w:asciiTheme="minorEastAsia" w:hAnsiTheme="minorEastAsia" w:eastAsiaTheme="minorEastAsia" w:cstheme="minorEastAsia"/>
                <w:color w:val="000000"/>
                <w:kern w:val="0"/>
                <w:sz w:val="21"/>
                <w:szCs w:val="21"/>
                <w:highlight w:val="none"/>
                <w:lang w:val="en-US" w:eastAsia="zh-CN"/>
              </w:rPr>
              <w:t>1</w:t>
            </w:r>
            <w:r>
              <w:rPr>
                <w:rFonts w:hint="eastAsia" w:asciiTheme="minorEastAsia" w:hAnsiTheme="minorEastAsia" w:eastAsiaTheme="minorEastAsia" w:cstheme="minorEastAsia"/>
                <w:color w:val="000000"/>
                <w:kern w:val="0"/>
                <w:sz w:val="21"/>
                <w:szCs w:val="21"/>
                <w:highlight w:val="none"/>
                <w:lang w:eastAsia="zh-CN"/>
              </w:rPr>
              <w:t>人得</w:t>
            </w:r>
            <w:r>
              <w:rPr>
                <w:rFonts w:hint="eastAsia" w:asciiTheme="minorEastAsia" w:hAnsiTheme="minorEastAsia" w:eastAsiaTheme="minorEastAsia" w:cstheme="minorEastAsia"/>
                <w:color w:val="000000"/>
                <w:kern w:val="0"/>
                <w:sz w:val="21"/>
                <w:szCs w:val="21"/>
                <w:highlight w:val="none"/>
                <w:lang w:val="en-US" w:eastAsia="zh-CN"/>
              </w:rPr>
              <w:t>4</w:t>
            </w:r>
            <w:r>
              <w:rPr>
                <w:rFonts w:hint="eastAsia" w:asciiTheme="minorEastAsia" w:hAnsiTheme="minorEastAsia" w:eastAsiaTheme="minorEastAsia" w:cstheme="minorEastAsia"/>
                <w:color w:val="000000"/>
                <w:kern w:val="0"/>
                <w:sz w:val="21"/>
                <w:szCs w:val="21"/>
                <w:highlight w:val="none"/>
                <w:lang w:eastAsia="zh-CN"/>
              </w:rPr>
              <w:t>分。</w:t>
            </w:r>
          </w:p>
          <w:p>
            <w:pPr>
              <w:keepNext w:val="0"/>
              <w:keepLines w:val="0"/>
              <w:pageBreakBefore w:val="0"/>
              <w:widowControl/>
              <w:shd w:val="clear" w:color="auto" w:fill="FFFFFF"/>
              <w:topLinePunct w:val="0"/>
              <w:autoSpaceDE w:val="0"/>
              <w:autoSpaceDN w:val="0"/>
              <w:bidi w:val="0"/>
              <w:adjustRightInd w:val="0"/>
              <w:spacing w:line="360" w:lineRule="auto"/>
              <w:textAlignment w:val="auto"/>
              <w:rPr>
                <w:rFonts w:hint="eastAsia" w:asciiTheme="minorEastAsia" w:hAnsiTheme="minorEastAsia" w:eastAsiaTheme="minorEastAsia" w:cstheme="minorEastAsia"/>
                <w:color w:val="000000"/>
                <w:kern w:val="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eastAsia="zh-CN"/>
              </w:rPr>
              <w:t>以上得分累计，最高得</w:t>
            </w:r>
            <w:r>
              <w:rPr>
                <w:rFonts w:hint="eastAsia" w:asciiTheme="minorEastAsia" w:hAnsiTheme="minorEastAsia" w:eastAsiaTheme="minorEastAsia" w:cstheme="minorEastAsia"/>
                <w:color w:val="000000"/>
                <w:kern w:val="0"/>
                <w:sz w:val="21"/>
                <w:szCs w:val="21"/>
                <w:highlight w:val="none"/>
                <w:lang w:val="en-US" w:eastAsia="zh-CN"/>
              </w:rPr>
              <w:t>16</w:t>
            </w:r>
            <w:r>
              <w:rPr>
                <w:rFonts w:hint="eastAsia" w:asciiTheme="minorEastAsia" w:hAnsiTheme="minorEastAsia" w:eastAsiaTheme="minorEastAsia" w:cstheme="minorEastAsia"/>
                <w:color w:val="000000"/>
                <w:kern w:val="0"/>
                <w:sz w:val="21"/>
                <w:szCs w:val="21"/>
                <w:highlight w:val="none"/>
                <w:lang w:eastAsia="zh-CN"/>
              </w:rPr>
              <w:t>分。</w:t>
            </w:r>
          </w:p>
          <w:p>
            <w:pPr>
              <w:pStyle w:val="2"/>
              <w:numPr>
                <w:ilvl w:val="0"/>
                <w:numId w:val="0"/>
              </w:numPr>
              <w:rPr>
                <w:rFonts w:hint="eastAsia" w:eastAsiaTheme="minorEastAsia"/>
                <w:highlight w:val="none"/>
                <w:lang w:eastAsia="zh-CN"/>
              </w:rPr>
            </w:pPr>
            <w:r>
              <w:rPr>
                <w:rFonts w:hint="eastAsia" w:asciiTheme="minorEastAsia" w:hAnsiTheme="minorEastAsia" w:cstheme="minorEastAsia"/>
                <w:color w:val="000000" w:themeColor="text1"/>
                <w:kern w:val="0"/>
                <w:sz w:val="21"/>
                <w:szCs w:val="21"/>
                <w:highlight w:val="none"/>
                <w:lang w:eastAsia="zh-CN"/>
                <w14:textFill>
                  <w14:solidFill>
                    <w14:schemeClr w14:val="tx1"/>
                  </w14:solidFill>
                </w14:textFill>
              </w:rPr>
              <w:t>注：</w:t>
            </w:r>
            <w:r>
              <w:rPr>
                <w:rFonts w:hint="eastAsia" w:asciiTheme="minorEastAsia" w:hAnsiTheme="minorEastAsia" w:cstheme="minorEastAsia"/>
                <w:b/>
                <w:bCs w:val="0"/>
                <w:kern w:val="2"/>
                <w:sz w:val="21"/>
                <w:szCs w:val="21"/>
                <w:highlight w:val="none"/>
                <w:lang w:val="en-US" w:eastAsia="zh-CN" w:bidi="ar-SA"/>
              </w:rPr>
              <w:t>园林相关专业指：园林（含园林规划设计、园林植物、风景园林、园林绿化等）、园艺、城市规划、景观、植物（含植保、森保等）、风景旅游、环境艺术。</w:t>
            </w:r>
          </w:p>
          <w:p>
            <w:pPr>
              <w:keepNext w:val="0"/>
              <w:keepLines w:val="0"/>
              <w:pageBreakBefore w:val="0"/>
              <w:widowControl/>
              <w:topLinePunct w:val="0"/>
              <w:autoSpaceDE w:val="0"/>
              <w:autoSpaceDN w:val="0"/>
              <w:bidi w:val="0"/>
              <w:adjustRightInd w:val="0"/>
              <w:spacing w:line="360" w:lineRule="auto"/>
              <w:textAlignment w:val="auto"/>
              <w:rPr>
                <w:rFonts w:hint="eastAsia" w:asciiTheme="minorEastAsia" w:hAnsiTheme="minorEastAsia" w:eastAsiaTheme="minorEastAsia" w:cstheme="minorEastAsia"/>
                <w:b/>
                <w:kern w:val="0"/>
                <w:sz w:val="21"/>
                <w:szCs w:val="21"/>
                <w:highlight w:val="none"/>
                <w:lang w:val="zh-CN"/>
              </w:rPr>
            </w:pPr>
            <w:r>
              <w:rPr>
                <w:rFonts w:hint="eastAsia" w:asciiTheme="minorEastAsia" w:hAnsiTheme="minorEastAsia" w:eastAsiaTheme="minorEastAsia" w:cstheme="minorEastAsia"/>
                <w:b/>
                <w:sz w:val="21"/>
                <w:szCs w:val="21"/>
                <w:highlight w:val="none"/>
              </w:rPr>
              <w:t>证明文件</w:t>
            </w:r>
            <w:r>
              <w:rPr>
                <w:rFonts w:hint="eastAsia" w:asciiTheme="minorEastAsia" w:hAnsiTheme="minorEastAsia" w:eastAsiaTheme="minorEastAsia" w:cstheme="minorEastAsia"/>
                <w:b/>
                <w:kern w:val="0"/>
                <w:sz w:val="21"/>
                <w:szCs w:val="21"/>
                <w:highlight w:val="none"/>
                <w:lang w:val="zh-CN"/>
              </w:rPr>
              <w:t>：</w:t>
            </w:r>
          </w:p>
          <w:p>
            <w:pPr>
              <w:keepNext w:val="0"/>
              <w:keepLines w:val="0"/>
              <w:pageBreakBefore w:val="0"/>
              <w:widowControl/>
              <w:topLinePunct w:val="0"/>
              <w:autoSpaceDE w:val="0"/>
              <w:autoSpaceDN w:val="0"/>
              <w:bidi w:val="0"/>
              <w:adjustRightInd w:val="0"/>
              <w:spacing w:line="360" w:lineRule="auto"/>
              <w:textAlignment w:val="auto"/>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color w:val="000000"/>
                <w:kern w:val="0"/>
                <w:sz w:val="21"/>
                <w:szCs w:val="21"/>
                <w:highlight w:val="none"/>
              </w:rPr>
              <w:t>须提供</w:t>
            </w:r>
            <w:r>
              <w:rPr>
                <w:rFonts w:hint="eastAsia" w:asciiTheme="minorEastAsia" w:hAnsiTheme="minorEastAsia" w:eastAsiaTheme="minorEastAsia" w:cstheme="minorEastAsia"/>
                <w:color w:val="000000"/>
                <w:kern w:val="0"/>
                <w:sz w:val="21"/>
                <w:szCs w:val="21"/>
                <w:highlight w:val="none"/>
                <w:lang w:eastAsia="zh-CN"/>
              </w:rPr>
              <w:t>投标</w:t>
            </w:r>
            <w:r>
              <w:rPr>
                <w:rFonts w:hint="eastAsia" w:asciiTheme="minorEastAsia" w:hAnsiTheme="minorEastAsia" w:eastAsiaTheme="minorEastAsia" w:cstheme="minorEastAsia"/>
                <w:color w:val="000000"/>
                <w:kern w:val="0"/>
                <w:sz w:val="21"/>
                <w:szCs w:val="21"/>
                <w:highlight w:val="none"/>
              </w:rPr>
              <w:t>截止日前近六个月</w:t>
            </w:r>
            <w:r>
              <w:rPr>
                <w:rFonts w:hint="eastAsia" w:asciiTheme="minorEastAsia" w:hAnsiTheme="minorEastAsia" w:eastAsiaTheme="minorEastAsia" w:cstheme="minorEastAsia"/>
                <w:b w:val="0"/>
                <w:bCs w:val="0"/>
                <w:color w:val="000000"/>
                <w:sz w:val="21"/>
                <w:szCs w:val="21"/>
                <w:highlight w:val="none"/>
                <w:lang w:eastAsia="zh-CN"/>
              </w:rPr>
              <w:t>（若当月不能开具社保证明，可往前顺延一个月）</w:t>
            </w:r>
            <w:r>
              <w:rPr>
                <w:rFonts w:hint="eastAsia" w:asciiTheme="minorEastAsia" w:hAnsiTheme="minorEastAsia" w:eastAsiaTheme="minorEastAsia" w:cstheme="minorEastAsia"/>
                <w:color w:val="000000"/>
                <w:kern w:val="0"/>
                <w:sz w:val="21"/>
                <w:szCs w:val="21"/>
                <w:highlight w:val="none"/>
              </w:rPr>
              <w:t>在本单位购买的社保清单、证书复印件，加盖单位公章作为证明文件，不提供不得分，复印件不清晰，专家无法辨认的不得分。</w:t>
            </w:r>
          </w:p>
        </w:tc>
        <w:tc>
          <w:tcPr>
            <w:tcW w:w="1134"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020" w:hRule="atLeast"/>
          <w:jc w:val="center"/>
        </w:trPr>
        <w:tc>
          <w:tcPr>
            <w:tcW w:w="637" w:type="dxa"/>
            <w:vAlign w:val="center"/>
          </w:tcPr>
          <w:p>
            <w:pPr>
              <w:keepNext w:val="0"/>
              <w:keepLines w:val="0"/>
              <w:pageBreakBefore w:val="0"/>
              <w:widowControl/>
              <w:topLinePunct w:val="0"/>
              <w:autoSpaceDE w:val="0"/>
              <w:autoSpaceDN w:val="0"/>
              <w:bidi w:val="0"/>
              <w:adjustRightInd w:val="0"/>
              <w:spacing w:line="360" w:lineRule="auto"/>
              <w:jc w:val="left"/>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2</w:t>
            </w:r>
          </w:p>
        </w:tc>
        <w:tc>
          <w:tcPr>
            <w:tcW w:w="1092"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拟</w:t>
            </w:r>
            <w:bookmarkStart w:id="350" w:name="_GoBack"/>
            <w:bookmarkEnd w:id="350"/>
            <w:r>
              <w:rPr>
                <w:rFonts w:hint="eastAsia" w:asciiTheme="minorEastAsia" w:hAnsiTheme="minorEastAsia" w:eastAsiaTheme="minorEastAsia" w:cstheme="minorEastAsia"/>
                <w:sz w:val="21"/>
                <w:szCs w:val="21"/>
                <w:highlight w:val="none"/>
                <w:lang w:eastAsia="zh-CN"/>
              </w:rPr>
              <w:t>安排</w:t>
            </w:r>
            <w:r>
              <w:rPr>
                <w:rFonts w:hint="eastAsia" w:asciiTheme="minorEastAsia" w:hAnsiTheme="minorEastAsia" w:cstheme="minorEastAsia"/>
                <w:sz w:val="21"/>
                <w:szCs w:val="21"/>
                <w:highlight w:val="none"/>
                <w:lang w:eastAsia="zh-CN"/>
              </w:rPr>
              <w:t>项目班子成员</w:t>
            </w:r>
          </w:p>
        </w:tc>
        <w:tc>
          <w:tcPr>
            <w:tcW w:w="856" w:type="dxa"/>
            <w:gridSpan w:val="2"/>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default" w:asciiTheme="minorEastAsia" w:hAnsiTheme="minorEastAsia" w:eastAsiaTheme="minorEastAsia" w:cstheme="minorEastAsia"/>
                <w:kern w:val="0"/>
                <w:sz w:val="21"/>
                <w:szCs w:val="21"/>
                <w:highlight w:val="none"/>
                <w:lang w:val="en-US" w:eastAsia="zh-CN"/>
              </w:rPr>
            </w:pPr>
            <w:r>
              <w:rPr>
                <w:rFonts w:hint="eastAsia" w:asciiTheme="minorEastAsia" w:hAnsiTheme="minorEastAsia" w:cstheme="minorEastAsia"/>
                <w:kern w:val="0"/>
                <w:sz w:val="21"/>
                <w:szCs w:val="21"/>
                <w:highlight w:val="none"/>
                <w:lang w:val="en-US" w:eastAsia="zh-CN"/>
              </w:rPr>
              <w:t>24</w:t>
            </w:r>
          </w:p>
        </w:tc>
        <w:tc>
          <w:tcPr>
            <w:tcW w:w="5591" w:type="dxa"/>
            <w:vAlign w:val="center"/>
          </w:tcPr>
          <w:p>
            <w:pPr>
              <w:keepNext w:val="0"/>
              <w:keepLines w:val="0"/>
              <w:pageBreakBefore w:val="0"/>
              <w:widowControl/>
              <w:topLinePunct w:val="0"/>
              <w:autoSpaceDE w:val="0"/>
              <w:autoSpaceDN w:val="0"/>
              <w:bidi w:val="0"/>
              <w:adjustRightInd w:val="0"/>
              <w:spacing w:line="360" w:lineRule="auto"/>
              <w:textAlignment w:val="auto"/>
              <w:rPr>
                <w:rFonts w:hint="eastAsia" w:asciiTheme="minorEastAsia" w:hAnsiTheme="minorEastAsia" w:cstheme="minorEastAsia"/>
                <w:b/>
                <w:bCs/>
                <w:sz w:val="21"/>
                <w:szCs w:val="21"/>
                <w:highlight w:val="none"/>
                <w:lang w:eastAsia="zh-CN"/>
              </w:rPr>
            </w:pPr>
            <w:r>
              <w:rPr>
                <w:rFonts w:hint="eastAsia" w:asciiTheme="minorEastAsia" w:hAnsiTheme="minorEastAsia" w:cstheme="minorEastAsia"/>
                <w:b/>
                <w:bCs/>
                <w:sz w:val="21"/>
                <w:szCs w:val="21"/>
                <w:highlight w:val="none"/>
                <w:lang w:eastAsia="zh-CN"/>
              </w:rPr>
              <w:t>考察内容：</w:t>
            </w:r>
          </w:p>
          <w:p>
            <w:pPr>
              <w:pStyle w:val="2"/>
              <w:rPr>
                <w:rFonts w:hint="eastAsia"/>
                <w:highlight w:val="none"/>
                <w:lang w:eastAsia="zh-CN"/>
              </w:rPr>
            </w:pPr>
            <w:r>
              <w:rPr>
                <w:rFonts w:hint="eastAsia" w:asciiTheme="minorEastAsia" w:hAnsiTheme="minorEastAsia" w:cstheme="minorEastAsia"/>
                <w:b/>
                <w:bCs/>
                <w:sz w:val="21"/>
                <w:szCs w:val="21"/>
                <w:highlight w:val="none"/>
                <w:lang w:eastAsia="zh-CN"/>
              </w:rPr>
              <w:t>投标人需初步确定拟安排项目班子成员：</w:t>
            </w:r>
          </w:p>
          <w:p>
            <w:pPr>
              <w:keepNext w:val="0"/>
              <w:keepLines w:val="0"/>
              <w:pageBreakBefore w:val="0"/>
              <w:widowControl/>
              <w:numPr>
                <w:ilvl w:val="0"/>
                <w:numId w:val="0"/>
              </w:numPr>
              <w:topLinePunct w:val="0"/>
              <w:autoSpaceDE w:val="0"/>
              <w:autoSpaceDN w:val="0"/>
              <w:bidi w:val="0"/>
              <w:adjustRightInd w:val="0"/>
              <w:spacing w:line="360" w:lineRule="auto"/>
              <w:textAlignment w:val="auto"/>
              <w:rPr>
                <w:rFonts w:hint="eastAsia" w:asciiTheme="minorEastAsia" w:hAnsiTheme="minorEastAsia" w:cstheme="minorEastAsia"/>
                <w:b/>
                <w:bCs/>
                <w:sz w:val="21"/>
                <w:szCs w:val="21"/>
                <w:highlight w:val="none"/>
                <w:lang w:val="en-US" w:eastAsia="zh-CN"/>
              </w:rPr>
            </w:pPr>
            <w:r>
              <w:rPr>
                <w:rFonts w:hint="eastAsia" w:asciiTheme="minorEastAsia" w:hAnsiTheme="minorEastAsia" w:cstheme="minorEastAsia"/>
                <w:b/>
                <w:bCs/>
                <w:sz w:val="21"/>
                <w:szCs w:val="21"/>
                <w:highlight w:val="none"/>
                <w:lang w:val="en-US" w:eastAsia="zh-CN"/>
              </w:rPr>
              <w:t>1.拟安排项目经理情况（1人）：（最高得8分）</w:t>
            </w:r>
          </w:p>
          <w:p>
            <w:pPr>
              <w:keepNext w:val="0"/>
              <w:keepLines w:val="0"/>
              <w:pageBreakBefore w:val="0"/>
              <w:widowControl/>
              <w:numPr>
                <w:ilvl w:val="0"/>
                <w:numId w:val="0"/>
              </w:numPr>
              <w:topLinePunct w:val="0"/>
              <w:autoSpaceDE w:val="0"/>
              <w:autoSpaceDN w:val="0"/>
              <w:bidi w:val="0"/>
              <w:adjustRightInd w:val="0"/>
              <w:spacing w:line="360" w:lineRule="auto"/>
              <w:textAlignment w:val="auto"/>
              <w:rPr>
                <w:rFonts w:hint="eastAsia"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en-US" w:eastAsia="zh-CN"/>
              </w:rPr>
              <w:t>（1）项目经理类似项目业绩（园林绿化类项目且担任项目经理）每个得1分，此项最高得4分,</w:t>
            </w:r>
          </w:p>
          <w:p>
            <w:pPr>
              <w:keepNext w:val="0"/>
              <w:keepLines w:val="0"/>
              <w:pageBreakBefore w:val="0"/>
              <w:widowControl/>
              <w:numPr>
                <w:ilvl w:val="0"/>
                <w:numId w:val="0"/>
              </w:numPr>
              <w:topLinePunct w:val="0"/>
              <w:autoSpaceDE w:val="0"/>
              <w:autoSpaceDN w:val="0"/>
              <w:bidi w:val="0"/>
              <w:adjustRightInd w:val="0"/>
              <w:spacing w:line="360" w:lineRule="auto"/>
              <w:textAlignment w:val="auto"/>
              <w:rPr>
                <w:rFonts w:hint="eastAsia"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en-US" w:eastAsia="zh-CN"/>
              </w:rPr>
              <w:t>（2）具备园林相关专业中级职称得1.5分，高级职称得3分。</w:t>
            </w:r>
          </w:p>
          <w:p>
            <w:pPr>
              <w:keepNext w:val="0"/>
              <w:keepLines w:val="0"/>
              <w:pageBreakBefore w:val="0"/>
              <w:widowControl/>
              <w:numPr>
                <w:ilvl w:val="0"/>
                <w:numId w:val="0"/>
              </w:numPr>
              <w:topLinePunct w:val="0"/>
              <w:autoSpaceDE w:val="0"/>
              <w:autoSpaceDN w:val="0"/>
              <w:bidi w:val="0"/>
              <w:adjustRightInd w:val="0"/>
              <w:spacing w:line="360" w:lineRule="auto"/>
              <w:textAlignment w:val="auto"/>
              <w:rPr>
                <w:rFonts w:hint="default"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zh-CN" w:eastAsia="zh-CN"/>
              </w:rPr>
              <w:t>（</w:t>
            </w:r>
            <w:r>
              <w:rPr>
                <w:rFonts w:hint="eastAsia" w:asciiTheme="minorEastAsia" w:hAnsiTheme="minorEastAsia" w:cstheme="minorEastAsia"/>
                <w:b w:val="0"/>
                <w:bCs/>
                <w:sz w:val="21"/>
                <w:szCs w:val="21"/>
                <w:highlight w:val="none"/>
                <w:lang w:val="en-US" w:eastAsia="zh-CN"/>
              </w:rPr>
              <w:t>3</w:t>
            </w:r>
            <w:r>
              <w:rPr>
                <w:rFonts w:hint="eastAsia" w:asciiTheme="minorEastAsia" w:hAnsiTheme="minorEastAsia" w:cstheme="minorEastAsia"/>
                <w:b w:val="0"/>
                <w:bCs/>
                <w:sz w:val="21"/>
                <w:szCs w:val="21"/>
                <w:highlight w:val="none"/>
                <w:lang w:val="zh-CN" w:eastAsia="zh-CN"/>
              </w:rPr>
              <w:t>）具备园林</w:t>
            </w:r>
            <w:r>
              <w:rPr>
                <w:rFonts w:hint="eastAsia" w:asciiTheme="minorEastAsia" w:hAnsiTheme="minorEastAsia" w:cstheme="minorEastAsia"/>
                <w:b w:val="0"/>
                <w:bCs/>
                <w:sz w:val="21"/>
                <w:szCs w:val="21"/>
                <w:highlight w:val="none"/>
                <w:lang w:val="en-US" w:eastAsia="zh-CN"/>
              </w:rPr>
              <w:t>相关</w:t>
            </w:r>
            <w:r>
              <w:rPr>
                <w:rFonts w:hint="eastAsia" w:asciiTheme="minorEastAsia" w:hAnsiTheme="minorEastAsia" w:cstheme="minorEastAsia"/>
                <w:b w:val="0"/>
                <w:bCs/>
                <w:sz w:val="21"/>
                <w:szCs w:val="21"/>
                <w:highlight w:val="none"/>
                <w:lang w:val="zh-CN" w:eastAsia="zh-CN"/>
              </w:rPr>
              <w:t>专业大专</w:t>
            </w:r>
            <w:r>
              <w:rPr>
                <w:rFonts w:hint="eastAsia" w:asciiTheme="minorEastAsia" w:hAnsiTheme="minorEastAsia" w:cstheme="minorEastAsia"/>
                <w:b w:val="0"/>
                <w:bCs/>
                <w:sz w:val="21"/>
                <w:szCs w:val="21"/>
                <w:highlight w:val="none"/>
                <w:lang w:val="en-US" w:eastAsia="zh-CN"/>
              </w:rPr>
              <w:t>学历得0.5分，</w:t>
            </w:r>
            <w:r>
              <w:rPr>
                <w:rFonts w:hint="eastAsia" w:asciiTheme="minorEastAsia" w:hAnsiTheme="minorEastAsia" w:cstheme="minorEastAsia"/>
                <w:b w:val="0"/>
                <w:bCs/>
                <w:sz w:val="21"/>
                <w:szCs w:val="21"/>
                <w:highlight w:val="none"/>
                <w:lang w:val="zh-CN" w:eastAsia="zh-CN"/>
              </w:rPr>
              <w:t>本科及以上学历的得</w:t>
            </w:r>
            <w:r>
              <w:rPr>
                <w:rFonts w:hint="eastAsia" w:asciiTheme="minorEastAsia" w:hAnsiTheme="minorEastAsia" w:cstheme="minorEastAsia"/>
                <w:b w:val="0"/>
                <w:bCs/>
                <w:sz w:val="21"/>
                <w:szCs w:val="21"/>
                <w:highlight w:val="none"/>
                <w:lang w:val="en-US" w:eastAsia="zh-CN"/>
              </w:rPr>
              <w:t>1分。</w:t>
            </w:r>
          </w:p>
          <w:p>
            <w:pPr>
              <w:keepNext w:val="0"/>
              <w:keepLines w:val="0"/>
              <w:pageBreakBefore w:val="0"/>
              <w:widowControl/>
              <w:numPr>
                <w:ilvl w:val="0"/>
                <w:numId w:val="0"/>
              </w:numPr>
              <w:shd w:val="clear" w:color="auto" w:fill="FFFFFF"/>
              <w:topLinePunct w:val="0"/>
              <w:autoSpaceDE w:val="0"/>
              <w:autoSpaceDN w:val="0"/>
              <w:bidi w:val="0"/>
              <w:adjustRightInd w:val="0"/>
              <w:spacing w:line="360" w:lineRule="auto"/>
              <w:textAlignment w:val="auto"/>
              <w:rPr>
                <w:rFonts w:hint="default" w:asciiTheme="minorEastAsia" w:hAnsiTheme="minorEastAsia" w:cstheme="minorEastAsia"/>
                <w:b/>
                <w:bCs/>
                <w:sz w:val="21"/>
                <w:szCs w:val="21"/>
                <w:highlight w:val="none"/>
                <w:lang w:val="en-US" w:eastAsia="zh-CN"/>
              </w:rPr>
            </w:pPr>
            <w:r>
              <w:rPr>
                <w:rFonts w:hint="eastAsia" w:asciiTheme="minorEastAsia" w:hAnsiTheme="minorEastAsia" w:cstheme="minorEastAsia"/>
                <w:b/>
                <w:bCs/>
                <w:sz w:val="21"/>
                <w:szCs w:val="21"/>
                <w:highlight w:val="none"/>
                <w:lang w:val="en-US" w:eastAsia="zh-CN"/>
              </w:rPr>
              <w:t>2.拟安排项目技术负责人情况（1人）：（最高得7分）</w:t>
            </w:r>
          </w:p>
          <w:p>
            <w:pPr>
              <w:keepNext w:val="0"/>
              <w:keepLines w:val="0"/>
              <w:pageBreakBefore w:val="0"/>
              <w:widowControl/>
              <w:numPr>
                <w:ilvl w:val="0"/>
                <w:numId w:val="0"/>
              </w:numPr>
              <w:shd w:val="clear" w:color="auto" w:fill="FFFFFF"/>
              <w:topLinePunct w:val="0"/>
              <w:autoSpaceDE w:val="0"/>
              <w:autoSpaceDN w:val="0"/>
              <w:bidi w:val="0"/>
              <w:adjustRightInd w:val="0"/>
              <w:spacing w:line="360" w:lineRule="auto"/>
              <w:textAlignment w:val="auto"/>
              <w:rPr>
                <w:rFonts w:hint="eastAsia"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en-US" w:eastAsia="zh-CN"/>
              </w:rPr>
              <w:t>（1）技术负责人类似项目业绩（（园林绿化类项目且担任项目技术负责人）的每个得1分，此项最高得3分；</w:t>
            </w:r>
          </w:p>
          <w:p>
            <w:pPr>
              <w:keepNext w:val="0"/>
              <w:keepLines w:val="0"/>
              <w:pageBreakBefore w:val="0"/>
              <w:widowControl/>
              <w:numPr>
                <w:ilvl w:val="0"/>
                <w:numId w:val="0"/>
              </w:numPr>
              <w:shd w:val="clear" w:color="auto" w:fill="FFFFFF"/>
              <w:topLinePunct w:val="0"/>
              <w:autoSpaceDE w:val="0"/>
              <w:autoSpaceDN w:val="0"/>
              <w:bidi w:val="0"/>
              <w:adjustRightInd w:val="0"/>
              <w:spacing w:line="360" w:lineRule="auto"/>
              <w:textAlignment w:val="auto"/>
              <w:rPr>
                <w:rFonts w:hint="eastAsia"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en-US" w:eastAsia="zh-CN"/>
              </w:rPr>
              <w:t>（2）具备园林相关</w:t>
            </w:r>
            <w:r>
              <w:rPr>
                <w:rFonts w:hint="eastAsia" w:asciiTheme="minorEastAsia" w:hAnsiTheme="minorEastAsia" w:cstheme="minorEastAsia"/>
                <w:b w:val="0"/>
                <w:bCs/>
                <w:sz w:val="21"/>
                <w:szCs w:val="21"/>
                <w:highlight w:val="none"/>
                <w:lang w:val="zh-CN" w:eastAsia="zh-CN"/>
              </w:rPr>
              <w:t>专业</w:t>
            </w:r>
            <w:r>
              <w:rPr>
                <w:rFonts w:hint="eastAsia" w:asciiTheme="minorEastAsia" w:hAnsiTheme="minorEastAsia" w:cstheme="minorEastAsia"/>
                <w:b w:val="0"/>
                <w:bCs/>
                <w:sz w:val="21"/>
                <w:szCs w:val="21"/>
                <w:highlight w:val="none"/>
                <w:lang w:val="en-US" w:eastAsia="zh-CN"/>
              </w:rPr>
              <w:t>中级职称得1.5分，高级职称得3分。</w:t>
            </w:r>
          </w:p>
          <w:p>
            <w:pPr>
              <w:keepNext w:val="0"/>
              <w:keepLines w:val="0"/>
              <w:pageBreakBefore w:val="0"/>
              <w:widowControl/>
              <w:numPr>
                <w:ilvl w:val="0"/>
                <w:numId w:val="0"/>
              </w:numPr>
              <w:shd w:val="clear" w:color="auto" w:fill="FFFFFF"/>
              <w:topLinePunct w:val="0"/>
              <w:autoSpaceDE w:val="0"/>
              <w:autoSpaceDN w:val="0"/>
              <w:bidi w:val="0"/>
              <w:adjustRightInd w:val="0"/>
              <w:spacing w:line="360" w:lineRule="auto"/>
              <w:textAlignment w:val="auto"/>
              <w:rPr>
                <w:rFonts w:hint="eastAsia"/>
                <w:highlight w:val="none"/>
                <w:lang w:val="en-US" w:eastAsia="zh-CN"/>
              </w:rPr>
            </w:pPr>
            <w:r>
              <w:rPr>
                <w:rFonts w:hint="eastAsia" w:asciiTheme="minorEastAsia" w:hAnsiTheme="minorEastAsia" w:cstheme="minorEastAsia"/>
                <w:b w:val="0"/>
                <w:bCs/>
                <w:sz w:val="21"/>
                <w:szCs w:val="21"/>
                <w:highlight w:val="none"/>
                <w:lang w:val="zh-CN" w:eastAsia="zh-CN"/>
              </w:rPr>
              <w:t>（</w:t>
            </w:r>
            <w:r>
              <w:rPr>
                <w:rFonts w:hint="eastAsia" w:asciiTheme="minorEastAsia" w:hAnsiTheme="minorEastAsia" w:cstheme="minorEastAsia"/>
                <w:b w:val="0"/>
                <w:bCs/>
                <w:sz w:val="21"/>
                <w:szCs w:val="21"/>
                <w:highlight w:val="none"/>
                <w:lang w:val="en-US" w:eastAsia="zh-CN"/>
              </w:rPr>
              <w:t>3</w:t>
            </w:r>
            <w:r>
              <w:rPr>
                <w:rFonts w:hint="eastAsia" w:asciiTheme="minorEastAsia" w:hAnsiTheme="minorEastAsia" w:cstheme="minorEastAsia"/>
                <w:b w:val="0"/>
                <w:bCs/>
                <w:sz w:val="21"/>
                <w:szCs w:val="21"/>
                <w:highlight w:val="none"/>
                <w:lang w:val="zh-CN" w:eastAsia="zh-CN"/>
              </w:rPr>
              <w:t>）具备园林相关专业大专</w:t>
            </w:r>
            <w:r>
              <w:rPr>
                <w:rFonts w:hint="eastAsia" w:asciiTheme="minorEastAsia" w:hAnsiTheme="minorEastAsia" w:cstheme="minorEastAsia"/>
                <w:b w:val="0"/>
                <w:bCs/>
                <w:sz w:val="21"/>
                <w:szCs w:val="21"/>
                <w:highlight w:val="none"/>
                <w:lang w:val="en-US" w:eastAsia="zh-CN"/>
              </w:rPr>
              <w:t>学历得0.5分，</w:t>
            </w:r>
            <w:r>
              <w:rPr>
                <w:rFonts w:hint="eastAsia" w:asciiTheme="minorEastAsia" w:hAnsiTheme="minorEastAsia" w:cstheme="minorEastAsia"/>
                <w:b w:val="0"/>
                <w:bCs/>
                <w:sz w:val="21"/>
                <w:szCs w:val="21"/>
                <w:highlight w:val="none"/>
                <w:lang w:val="zh-CN" w:eastAsia="zh-CN"/>
              </w:rPr>
              <w:t>本科及以上学历的得</w:t>
            </w:r>
            <w:r>
              <w:rPr>
                <w:rFonts w:hint="eastAsia" w:asciiTheme="minorEastAsia" w:hAnsiTheme="minorEastAsia" w:cstheme="minorEastAsia"/>
                <w:b w:val="0"/>
                <w:bCs/>
                <w:sz w:val="21"/>
                <w:szCs w:val="21"/>
                <w:highlight w:val="none"/>
                <w:lang w:val="en-US" w:eastAsia="zh-CN"/>
              </w:rPr>
              <w:t>1分。</w:t>
            </w:r>
          </w:p>
          <w:p>
            <w:pPr>
              <w:pStyle w:val="2"/>
              <w:numPr>
                <w:ilvl w:val="0"/>
                <w:numId w:val="0"/>
              </w:numPr>
              <w:rPr>
                <w:rFonts w:hint="default" w:asciiTheme="minorEastAsia" w:hAnsiTheme="minorEastAsia" w:eastAsiaTheme="minorEastAsia" w:cstheme="minorEastAsia"/>
                <w:b/>
                <w:bCs w:val="0"/>
                <w:kern w:val="2"/>
                <w:sz w:val="21"/>
                <w:szCs w:val="21"/>
                <w:highlight w:val="none"/>
                <w:lang w:val="en-US" w:eastAsia="zh-CN" w:bidi="ar-SA"/>
              </w:rPr>
            </w:pPr>
            <w:r>
              <w:rPr>
                <w:rFonts w:hint="eastAsia" w:asciiTheme="minorEastAsia" w:hAnsiTheme="minorEastAsia" w:eastAsiaTheme="minorEastAsia" w:cstheme="minorEastAsia"/>
                <w:b/>
                <w:bCs w:val="0"/>
                <w:kern w:val="2"/>
                <w:sz w:val="21"/>
                <w:szCs w:val="21"/>
                <w:highlight w:val="none"/>
                <w:lang w:val="en-US" w:eastAsia="zh-CN" w:bidi="ar-SA"/>
              </w:rPr>
              <w:t>3.拟安排项目安全主管情况</w:t>
            </w:r>
            <w:r>
              <w:rPr>
                <w:rFonts w:hint="eastAsia" w:asciiTheme="minorEastAsia" w:hAnsiTheme="minorEastAsia" w:cstheme="minorEastAsia"/>
                <w:b/>
                <w:bCs/>
                <w:sz w:val="21"/>
                <w:szCs w:val="21"/>
                <w:highlight w:val="none"/>
                <w:lang w:val="en-US" w:eastAsia="zh-CN"/>
              </w:rPr>
              <w:t>（1人）</w:t>
            </w:r>
            <w:r>
              <w:rPr>
                <w:rFonts w:hint="eastAsia" w:asciiTheme="minorEastAsia" w:hAnsiTheme="minorEastAsia" w:eastAsiaTheme="minorEastAsia" w:cstheme="minorEastAsia"/>
                <w:b/>
                <w:bCs w:val="0"/>
                <w:kern w:val="2"/>
                <w:sz w:val="21"/>
                <w:szCs w:val="21"/>
                <w:highlight w:val="none"/>
                <w:lang w:val="en-US" w:eastAsia="zh-CN" w:bidi="ar-SA"/>
              </w:rPr>
              <w:t>：最高得4分</w:t>
            </w:r>
          </w:p>
          <w:p>
            <w:pPr>
              <w:pStyle w:val="2"/>
              <w:numPr>
                <w:ilvl w:val="0"/>
                <w:numId w:val="0"/>
              </w:numPr>
              <w:rPr>
                <w:rFonts w:hint="eastAsia" w:asciiTheme="minorEastAsia" w:hAnsiTheme="minorEastAsia" w:cstheme="minorEastAsia"/>
                <w:b w:val="0"/>
                <w:bCs/>
                <w:kern w:val="2"/>
                <w:sz w:val="21"/>
                <w:szCs w:val="21"/>
                <w:highlight w:val="none"/>
                <w:lang w:val="zh-CN" w:eastAsia="zh-CN" w:bidi="ar-SA"/>
              </w:rPr>
            </w:pPr>
            <w:r>
              <w:rPr>
                <w:rFonts w:hint="eastAsia" w:asciiTheme="minorEastAsia" w:hAnsiTheme="minorEastAsia" w:cstheme="minorEastAsia"/>
                <w:b w:val="0"/>
                <w:bCs/>
                <w:kern w:val="2"/>
                <w:sz w:val="21"/>
                <w:szCs w:val="21"/>
                <w:highlight w:val="none"/>
                <w:lang w:val="zh-CN" w:eastAsia="zh-CN" w:bidi="ar-SA"/>
              </w:rPr>
              <w:t>（</w:t>
            </w:r>
            <w:r>
              <w:rPr>
                <w:rFonts w:hint="eastAsia" w:asciiTheme="minorEastAsia" w:hAnsiTheme="minorEastAsia" w:cstheme="minorEastAsia"/>
                <w:b w:val="0"/>
                <w:bCs/>
                <w:kern w:val="2"/>
                <w:sz w:val="21"/>
                <w:szCs w:val="21"/>
                <w:highlight w:val="none"/>
                <w:lang w:val="en-US" w:eastAsia="zh-CN" w:bidi="ar-SA"/>
              </w:rPr>
              <w:t>1</w:t>
            </w:r>
            <w:r>
              <w:rPr>
                <w:rFonts w:hint="eastAsia" w:asciiTheme="minorEastAsia" w:hAnsiTheme="minorEastAsia" w:cstheme="minorEastAsia"/>
                <w:b w:val="0"/>
                <w:bCs/>
                <w:kern w:val="2"/>
                <w:sz w:val="21"/>
                <w:szCs w:val="21"/>
                <w:highlight w:val="none"/>
                <w:lang w:val="zh-CN" w:eastAsia="zh-CN" w:bidi="ar-SA"/>
              </w:rPr>
              <w:t>）</w:t>
            </w:r>
            <w:r>
              <w:rPr>
                <w:rFonts w:hint="eastAsia" w:asciiTheme="minorEastAsia" w:hAnsiTheme="minorEastAsia" w:cstheme="minorEastAsia"/>
                <w:b w:val="0"/>
                <w:bCs/>
                <w:sz w:val="21"/>
                <w:szCs w:val="21"/>
                <w:highlight w:val="none"/>
                <w:lang w:val="en-US" w:eastAsia="zh-CN"/>
              </w:rPr>
              <w:t>类似项目业绩（（园林绿化类项目且担任安全岗位）的每个得0.5分，此项最高得2分</w:t>
            </w:r>
            <w:r>
              <w:rPr>
                <w:rFonts w:hint="eastAsia" w:asciiTheme="minorEastAsia" w:hAnsiTheme="minorEastAsia" w:cstheme="minorEastAsia"/>
                <w:b w:val="0"/>
                <w:bCs/>
                <w:kern w:val="2"/>
                <w:sz w:val="21"/>
                <w:szCs w:val="21"/>
                <w:highlight w:val="none"/>
                <w:lang w:val="en-US" w:eastAsia="zh-CN" w:bidi="ar-SA"/>
              </w:rPr>
              <w:t>；</w:t>
            </w:r>
          </w:p>
          <w:p>
            <w:pPr>
              <w:pStyle w:val="2"/>
              <w:numPr>
                <w:ilvl w:val="0"/>
                <w:numId w:val="0"/>
              </w:numPr>
              <w:rPr>
                <w:rFonts w:hint="eastAsia" w:asciiTheme="minorEastAsia" w:hAnsiTheme="minorEastAsia" w:cstheme="minorEastAsia"/>
                <w:b w:val="0"/>
                <w:bCs/>
                <w:kern w:val="2"/>
                <w:sz w:val="21"/>
                <w:szCs w:val="21"/>
                <w:highlight w:val="none"/>
                <w:lang w:val="zh-CN" w:eastAsia="zh-CN" w:bidi="ar-SA"/>
              </w:rPr>
            </w:pPr>
            <w:r>
              <w:rPr>
                <w:rFonts w:hint="eastAsia" w:asciiTheme="minorEastAsia" w:hAnsiTheme="minorEastAsia" w:cstheme="minorEastAsia"/>
                <w:b w:val="0"/>
                <w:bCs/>
                <w:kern w:val="2"/>
                <w:sz w:val="21"/>
                <w:szCs w:val="21"/>
                <w:highlight w:val="none"/>
                <w:lang w:val="zh-CN" w:eastAsia="zh-CN" w:bidi="ar-SA"/>
              </w:rPr>
              <w:t>（</w:t>
            </w:r>
            <w:r>
              <w:rPr>
                <w:rFonts w:hint="eastAsia" w:asciiTheme="minorEastAsia" w:hAnsiTheme="minorEastAsia" w:cstheme="minorEastAsia"/>
                <w:b w:val="0"/>
                <w:bCs/>
                <w:kern w:val="2"/>
                <w:sz w:val="21"/>
                <w:szCs w:val="21"/>
                <w:highlight w:val="none"/>
                <w:lang w:val="en-US" w:eastAsia="zh-CN" w:bidi="ar-SA"/>
              </w:rPr>
              <w:t>2</w:t>
            </w:r>
            <w:r>
              <w:rPr>
                <w:rFonts w:hint="eastAsia" w:asciiTheme="minorEastAsia" w:hAnsiTheme="minorEastAsia" w:cstheme="minorEastAsia"/>
                <w:b w:val="0"/>
                <w:bCs/>
                <w:kern w:val="2"/>
                <w:sz w:val="21"/>
                <w:szCs w:val="21"/>
                <w:highlight w:val="none"/>
                <w:lang w:val="zh-CN" w:eastAsia="zh-CN" w:bidi="ar-SA"/>
              </w:rPr>
              <w:t>）</w:t>
            </w:r>
            <w:r>
              <w:rPr>
                <w:rFonts w:hint="eastAsia" w:asciiTheme="minorEastAsia" w:hAnsiTheme="minorEastAsia" w:cstheme="minorEastAsia"/>
                <w:b w:val="0"/>
                <w:bCs/>
                <w:sz w:val="21"/>
                <w:szCs w:val="21"/>
                <w:highlight w:val="none"/>
                <w:lang w:val="zh-CN" w:eastAsia="zh-CN"/>
              </w:rPr>
              <w:t>具备大专学历的得</w:t>
            </w:r>
            <w:r>
              <w:rPr>
                <w:rFonts w:hint="eastAsia" w:asciiTheme="minorEastAsia" w:hAnsiTheme="minorEastAsia" w:cstheme="minorEastAsia"/>
                <w:b w:val="0"/>
                <w:bCs/>
                <w:sz w:val="21"/>
                <w:szCs w:val="21"/>
                <w:highlight w:val="none"/>
                <w:lang w:val="en-US" w:eastAsia="zh-CN"/>
              </w:rPr>
              <w:t>0.5分，本科及以上学历得1分</w:t>
            </w:r>
            <w:r>
              <w:rPr>
                <w:rFonts w:hint="eastAsia" w:asciiTheme="minorEastAsia" w:hAnsiTheme="minorEastAsia" w:cstheme="minorEastAsia"/>
                <w:b w:val="0"/>
                <w:bCs/>
                <w:sz w:val="21"/>
                <w:szCs w:val="21"/>
                <w:highlight w:val="none"/>
                <w:lang w:val="zh-CN" w:eastAsia="zh-CN"/>
              </w:rPr>
              <w:t>；</w:t>
            </w:r>
            <w:r>
              <w:rPr>
                <w:rFonts w:hint="eastAsia" w:asciiTheme="minorEastAsia" w:hAnsiTheme="minorEastAsia" w:cstheme="minorEastAsia"/>
                <w:b w:val="0"/>
                <w:bCs/>
                <w:kern w:val="2"/>
                <w:sz w:val="21"/>
                <w:szCs w:val="21"/>
                <w:highlight w:val="none"/>
                <w:lang w:val="zh-CN" w:eastAsia="zh-CN" w:bidi="ar-SA"/>
              </w:rPr>
              <w:t>（</w:t>
            </w:r>
            <w:r>
              <w:rPr>
                <w:rFonts w:hint="eastAsia" w:asciiTheme="minorEastAsia" w:hAnsiTheme="minorEastAsia" w:cstheme="minorEastAsia"/>
                <w:b w:val="0"/>
                <w:bCs/>
                <w:kern w:val="2"/>
                <w:sz w:val="21"/>
                <w:szCs w:val="21"/>
                <w:highlight w:val="none"/>
                <w:lang w:val="en-US" w:eastAsia="zh-CN" w:bidi="ar-SA"/>
              </w:rPr>
              <w:t>3</w:t>
            </w:r>
            <w:r>
              <w:rPr>
                <w:rFonts w:hint="eastAsia" w:asciiTheme="minorEastAsia" w:hAnsiTheme="minorEastAsia" w:cstheme="minorEastAsia"/>
                <w:b w:val="0"/>
                <w:bCs/>
                <w:kern w:val="2"/>
                <w:sz w:val="21"/>
                <w:szCs w:val="21"/>
                <w:highlight w:val="none"/>
                <w:lang w:val="zh-CN" w:eastAsia="zh-CN" w:bidi="ar-SA"/>
              </w:rPr>
              <w:t>）</w:t>
            </w:r>
            <w:r>
              <w:rPr>
                <w:rFonts w:hint="eastAsia" w:asciiTheme="minorEastAsia" w:hAnsiTheme="minorEastAsia" w:eastAsiaTheme="minorEastAsia" w:cstheme="minorEastAsia"/>
                <w:b w:val="0"/>
                <w:bCs/>
                <w:kern w:val="2"/>
                <w:sz w:val="21"/>
                <w:szCs w:val="21"/>
                <w:highlight w:val="none"/>
                <w:lang w:val="zh-CN" w:eastAsia="zh-CN" w:bidi="ar-SA"/>
              </w:rPr>
              <w:t>具有安全员证的得</w:t>
            </w:r>
            <w:r>
              <w:rPr>
                <w:rFonts w:hint="eastAsia" w:asciiTheme="minorEastAsia" w:hAnsiTheme="minorEastAsia" w:eastAsiaTheme="minorEastAsia" w:cstheme="minorEastAsia"/>
                <w:b w:val="0"/>
                <w:bCs/>
                <w:kern w:val="2"/>
                <w:sz w:val="21"/>
                <w:szCs w:val="21"/>
                <w:highlight w:val="none"/>
                <w:lang w:val="en-US" w:eastAsia="zh-CN" w:bidi="ar-SA"/>
              </w:rPr>
              <w:t>1</w:t>
            </w:r>
            <w:r>
              <w:rPr>
                <w:rFonts w:hint="eastAsia" w:asciiTheme="minorEastAsia" w:hAnsiTheme="minorEastAsia" w:eastAsiaTheme="minorEastAsia" w:cstheme="minorEastAsia"/>
                <w:b w:val="0"/>
                <w:bCs/>
                <w:kern w:val="2"/>
                <w:sz w:val="21"/>
                <w:szCs w:val="21"/>
                <w:highlight w:val="none"/>
                <w:lang w:val="zh-CN" w:eastAsia="zh-CN" w:bidi="ar-SA"/>
              </w:rPr>
              <w:t>分</w:t>
            </w:r>
            <w:r>
              <w:rPr>
                <w:rFonts w:hint="eastAsia" w:asciiTheme="minorEastAsia" w:hAnsiTheme="minorEastAsia" w:cstheme="minorEastAsia"/>
                <w:b w:val="0"/>
                <w:bCs/>
                <w:kern w:val="2"/>
                <w:sz w:val="21"/>
                <w:szCs w:val="21"/>
                <w:highlight w:val="none"/>
                <w:lang w:val="zh-CN" w:eastAsia="zh-CN" w:bidi="ar-SA"/>
              </w:rPr>
              <w:t>；</w:t>
            </w:r>
          </w:p>
          <w:p>
            <w:pPr>
              <w:pStyle w:val="2"/>
              <w:rPr>
                <w:rFonts w:hint="eastAsia" w:asciiTheme="minorEastAsia" w:hAnsiTheme="minorEastAsia" w:cstheme="minorEastAsia"/>
                <w:b/>
                <w:bCs w:val="0"/>
                <w:sz w:val="21"/>
                <w:szCs w:val="21"/>
                <w:highlight w:val="none"/>
                <w:lang w:val="en-US" w:eastAsia="zh-CN"/>
              </w:rPr>
            </w:pPr>
            <w:r>
              <w:rPr>
                <w:rFonts w:hint="eastAsia" w:asciiTheme="minorEastAsia" w:hAnsiTheme="minorEastAsia" w:cstheme="minorEastAsia"/>
                <w:b/>
                <w:bCs w:val="0"/>
                <w:sz w:val="21"/>
                <w:szCs w:val="21"/>
                <w:highlight w:val="none"/>
                <w:lang w:val="en-US" w:eastAsia="zh-CN"/>
              </w:rPr>
              <w:t>4.拟安排项目质量主管情况</w:t>
            </w:r>
            <w:r>
              <w:rPr>
                <w:rFonts w:hint="eastAsia" w:asciiTheme="minorEastAsia" w:hAnsiTheme="minorEastAsia" w:cstheme="minorEastAsia"/>
                <w:b/>
                <w:bCs/>
                <w:sz w:val="21"/>
                <w:szCs w:val="21"/>
                <w:highlight w:val="none"/>
                <w:lang w:val="en-US" w:eastAsia="zh-CN"/>
              </w:rPr>
              <w:t>（1人）</w:t>
            </w:r>
            <w:r>
              <w:rPr>
                <w:rFonts w:hint="eastAsia" w:asciiTheme="minorEastAsia" w:hAnsiTheme="minorEastAsia" w:cstheme="minorEastAsia"/>
                <w:b/>
                <w:bCs w:val="0"/>
                <w:sz w:val="21"/>
                <w:szCs w:val="21"/>
                <w:highlight w:val="none"/>
                <w:lang w:val="en-US" w:eastAsia="zh-CN"/>
              </w:rPr>
              <w:t>：（最高得3分）</w:t>
            </w:r>
          </w:p>
          <w:p>
            <w:pPr>
              <w:keepNext w:val="0"/>
              <w:keepLines w:val="0"/>
              <w:pageBreakBefore w:val="0"/>
              <w:widowControl/>
              <w:numPr>
                <w:ilvl w:val="0"/>
                <w:numId w:val="0"/>
              </w:numPr>
              <w:topLinePunct w:val="0"/>
              <w:autoSpaceDE w:val="0"/>
              <w:autoSpaceDN w:val="0"/>
              <w:bidi w:val="0"/>
              <w:adjustRightInd w:val="0"/>
              <w:spacing w:line="360" w:lineRule="auto"/>
              <w:textAlignment w:val="auto"/>
              <w:rPr>
                <w:rFonts w:hint="eastAsia"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en-US" w:eastAsia="zh-CN"/>
              </w:rPr>
              <w:t>（1）类似项目业绩（园林绿化类项目且担任质量岗位）的每个得0.5分，此项最高得2分。</w:t>
            </w:r>
          </w:p>
          <w:p>
            <w:pPr>
              <w:pStyle w:val="2"/>
              <w:numPr>
                <w:ilvl w:val="0"/>
                <w:numId w:val="0"/>
              </w:numPr>
              <w:rPr>
                <w:rFonts w:hint="eastAsia" w:asciiTheme="minorEastAsia" w:hAnsiTheme="minorEastAsia" w:cstheme="minorEastAsia"/>
                <w:b w:val="0"/>
                <w:bCs/>
                <w:kern w:val="2"/>
                <w:sz w:val="21"/>
                <w:szCs w:val="21"/>
                <w:highlight w:val="none"/>
                <w:lang w:val="zh-CN" w:eastAsia="zh-CN" w:bidi="ar-SA"/>
              </w:rPr>
            </w:pPr>
            <w:r>
              <w:rPr>
                <w:rFonts w:hint="eastAsia" w:asciiTheme="minorEastAsia" w:hAnsiTheme="minorEastAsia" w:cstheme="minorEastAsia"/>
                <w:b w:val="0"/>
                <w:bCs/>
                <w:sz w:val="21"/>
                <w:szCs w:val="21"/>
                <w:highlight w:val="none"/>
                <w:lang w:val="en-US" w:eastAsia="zh-CN"/>
              </w:rPr>
              <w:t>（2）</w:t>
            </w:r>
            <w:r>
              <w:rPr>
                <w:rFonts w:hint="eastAsia" w:asciiTheme="minorEastAsia" w:hAnsiTheme="minorEastAsia" w:cstheme="minorEastAsia"/>
                <w:b w:val="0"/>
                <w:bCs/>
                <w:sz w:val="21"/>
                <w:szCs w:val="21"/>
                <w:highlight w:val="none"/>
                <w:lang w:val="zh-CN" w:eastAsia="zh-CN"/>
              </w:rPr>
              <w:t>具备园林相关专业大专及以上学历的得</w:t>
            </w:r>
            <w:r>
              <w:rPr>
                <w:rFonts w:hint="eastAsia" w:asciiTheme="minorEastAsia" w:hAnsiTheme="minorEastAsia" w:cstheme="minorEastAsia"/>
                <w:b w:val="0"/>
                <w:bCs/>
                <w:sz w:val="21"/>
                <w:szCs w:val="21"/>
                <w:highlight w:val="none"/>
                <w:lang w:val="en-US" w:eastAsia="zh-CN"/>
              </w:rPr>
              <w:t>0.5分，本科及以上学历得1分</w:t>
            </w:r>
          </w:p>
          <w:p>
            <w:pPr>
              <w:pStyle w:val="2"/>
              <w:rPr>
                <w:rFonts w:hint="default" w:asciiTheme="minorEastAsia" w:hAnsiTheme="minorEastAsia" w:eastAsiaTheme="minorEastAsia" w:cstheme="minorEastAsia"/>
                <w:b/>
                <w:bCs w:val="0"/>
                <w:kern w:val="2"/>
                <w:sz w:val="21"/>
                <w:szCs w:val="21"/>
                <w:highlight w:val="none"/>
                <w:lang w:val="en-US" w:eastAsia="zh-CN" w:bidi="ar-SA"/>
              </w:rPr>
            </w:pPr>
            <w:r>
              <w:rPr>
                <w:rFonts w:hint="eastAsia" w:asciiTheme="minorEastAsia" w:hAnsiTheme="minorEastAsia" w:eastAsiaTheme="minorEastAsia" w:cstheme="minorEastAsia"/>
                <w:b/>
                <w:bCs w:val="0"/>
                <w:kern w:val="2"/>
                <w:sz w:val="21"/>
                <w:szCs w:val="21"/>
                <w:highlight w:val="none"/>
                <w:lang w:val="en-US" w:eastAsia="zh-CN" w:bidi="ar-SA"/>
              </w:rPr>
              <w:t>5.拟安排项目资料员情况</w:t>
            </w:r>
            <w:r>
              <w:rPr>
                <w:rFonts w:hint="eastAsia" w:asciiTheme="minorEastAsia" w:hAnsiTheme="minorEastAsia" w:cstheme="minorEastAsia"/>
                <w:b/>
                <w:bCs/>
                <w:sz w:val="21"/>
                <w:szCs w:val="21"/>
                <w:highlight w:val="none"/>
                <w:lang w:val="en-US" w:eastAsia="zh-CN"/>
              </w:rPr>
              <w:t>（1人）</w:t>
            </w:r>
            <w:r>
              <w:rPr>
                <w:rFonts w:hint="eastAsia" w:asciiTheme="minorEastAsia" w:hAnsiTheme="minorEastAsia" w:eastAsiaTheme="minorEastAsia" w:cstheme="minorEastAsia"/>
                <w:b/>
                <w:bCs w:val="0"/>
                <w:kern w:val="2"/>
                <w:sz w:val="21"/>
                <w:szCs w:val="21"/>
                <w:highlight w:val="none"/>
                <w:lang w:val="en-US" w:eastAsia="zh-CN" w:bidi="ar-SA"/>
              </w:rPr>
              <w:t>：最高得2分</w:t>
            </w:r>
          </w:p>
          <w:p>
            <w:pPr>
              <w:pStyle w:val="2"/>
              <w:rPr>
                <w:rFonts w:hint="eastAsia" w:asciiTheme="minorEastAsia" w:hAnsiTheme="minorEastAsia" w:cstheme="minorEastAsia"/>
                <w:b w:val="0"/>
                <w:bCs/>
                <w:kern w:val="2"/>
                <w:sz w:val="21"/>
                <w:szCs w:val="21"/>
                <w:highlight w:val="none"/>
                <w:lang w:val="zh-CN" w:eastAsia="zh-CN" w:bidi="ar-SA"/>
              </w:rPr>
            </w:pPr>
            <w:r>
              <w:rPr>
                <w:rFonts w:hint="eastAsia" w:eastAsia="宋体" w:asciiTheme="minorEastAsia" w:hAnsiTheme="minorEastAsia" w:cstheme="minorEastAsia"/>
                <w:b w:val="0"/>
                <w:bCs/>
                <w:sz w:val="21"/>
                <w:szCs w:val="21"/>
                <w:highlight w:val="none"/>
                <w:lang w:val="zh-CN" w:eastAsia="zh-CN" w:bidi="ar-SA"/>
              </w:rPr>
              <w:t>（</w:t>
            </w:r>
            <w:r>
              <w:rPr>
                <w:rFonts w:hint="eastAsia" w:asciiTheme="minorEastAsia" w:hAnsiTheme="minorEastAsia" w:cstheme="minorEastAsia"/>
                <w:b w:val="0"/>
                <w:bCs/>
                <w:sz w:val="21"/>
                <w:szCs w:val="21"/>
                <w:highlight w:val="none"/>
                <w:lang w:val="en-US" w:eastAsia="zh-CN" w:bidi="ar-SA"/>
              </w:rPr>
              <w:t>1</w:t>
            </w:r>
            <w:r>
              <w:rPr>
                <w:rFonts w:hint="eastAsia" w:eastAsia="宋体" w:asciiTheme="minorEastAsia" w:hAnsiTheme="minorEastAsia" w:cstheme="minorEastAsia"/>
                <w:b w:val="0"/>
                <w:bCs/>
                <w:sz w:val="21"/>
                <w:szCs w:val="21"/>
                <w:highlight w:val="none"/>
                <w:lang w:val="zh-CN" w:eastAsia="zh-CN" w:bidi="ar-SA"/>
              </w:rPr>
              <w:t>）</w:t>
            </w:r>
            <w:r>
              <w:rPr>
                <w:rFonts w:hint="eastAsia" w:eastAsia="宋体" w:asciiTheme="minorEastAsia" w:hAnsiTheme="minorEastAsia" w:cstheme="minorEastAsia"/>
                <w:b w:val="0"/>
                <w:bCs/>
                <w:sz w:val="21"/>
                <w:szCs w:val="21"/>
                <w:highlight w:val="none"/>
                <w:lang w:val="en-US" w:eastAsia="zh-CN" w:bidi="ar-SA"/>
              </w:rPr>
              <w:t>类似项目业绩（（园林绿化类项目且担任资料员）</w:t>
            </w:r>
            <w:r>
              <w:rPr>
                <w:rFonts w:hint="eastAsia" w:asciiTheme="minorEastAsia" w:hAnsiTheme="minorEastAsia" w:cstheme="minorEastAsia"/>
                <w:b w:val="0"/>
                <w:bCs/>
                <w:sz w:val="21"/>
                <w:szCs w:val="21"/>
                <w:highlight w:val="none"/>
                <w:lang w:val="en-US" w:eastAsia="zh-CN"/>
              </w:rPr>
              <w:t>的每个得0.5分，此项最高得1分</w:t>
            </w:r>
            <w:r>
              <w:rPr>
                <w:rFonts w:hint="eastAsia" w:asciiTheme="minorEastAsia" w:hAnsiTheme="minorEastAsia" w:cstheme="minorEastAsia"/>
                <w:b w:val="0"/>
                <w:bCs/>
                <w:kern w:val="2"/>
                <w:sz w:val="21"/>
                <w:szCs w:val="21"/>
                <w:highlight w:val="none"/>
                <w:lang w:val="en-US" w:eastAsia="zh-CN" w:bidi="ar-SA"/>
              </w:rPr>
              <w:t>；</w:t>
            </w:r>
          </w:p>
          <w:p>
            <w:pPr>
              <w:pStyle w:val="2"/>
              <w:rPr>
                <w:rFonts w:hint="eastAsia" w:eastAsia="宋体" w:asciiTheme="minorEastAsia" w:hAnsiTheme="minorEastAsia" w:cstheme="minorEastAsia"/>
                <w:b w:val="0"/>
                <w:bCs/>
                <w:sz w:val="21"/>
                <w:szCs w:val="21"/>
                <w:highlight w:val="none"/>
                <w:lang w:val="zh-CN" w:eastAsia="zh-CN" w:bidi="ar-SA"/>
              </w:rPr>
            </w:pPr>
            <w:r>
              <w:rPr>
                <w:rFonts w:hint="eastAsia" w:asciiTheme="minorEastAsia" w:hAnsiTheme="minorEastAsia" w:cstheme="minorEastAsia"/>
                <w:b w:val="0"/>
                <w:bCs/>
                <w:kern w:val="2"/>
                <w:sz w:val="21"/>
                <w:szCs w:val="21"/>
                <w:highlight w:val="none"/>
                <w:lang w:val="zh-CN" w:eastAsia="zh-CN" w:bidi="ar-SA"/>
              </w:rPr>
              <w:t>（</w:t>
            </w:r>
            <w:r>
              <w:rPr>
                <w:rFonts w:hint="eastAsia" w:asciiTheme="minorEastAsia" w:hAnsiTheme="minorEastAsia" w:cstheme="minorEastAsia"/>
                <w:b w:val="0"/>
                <w:bCs/>
                <w:sz w:val="21"/>
                <w:szCs w:val="21"/>
                <w:highlight w:val="none"/>
                <w:lang w:val="en-US" w:eastAsia="zh-CN" w:bidi="ar-SA"/>
              </w:rPr>
              <w:t>2</w:t>
            </w:r>
            <w:r>
              <w:rPr>
                <w:rFonts w:hint="eastAsia" w:eastAsia="宋体" w:asciiTheme="minorEastAsia" w:hAnsiTheme="minorEastAsia" w:cstheme="minorEastAsia"/>
                <w:b w:val="0"/>
                <w:bCs/>
                <w:sz w:val="21"/>
                <w:szCs w:val="21"/>
                <w:highlight w:val="none"/>
                <w:lang w:val="zh-CN" w:eastAsia="zh-CN" w:bidi="ar-SA"/>
              </w:rPr>
              <w:t>）具备大专学历的得</w:t>
            </w:r>
            <w:r>
              <w:rPr>
                <w:rFonts w:hint="eastAsia" w:eastAsia="宋体" w:asciiTheme="minorEastAsia" w:hAnsiTheme="minorEastAsia" w:cstheme="minorEastAsia"/>
                <w:b w:val="0"/>
                <w:bCs/>
                <w:sz w:val="21"/>
                <w:szCs w:val="21"/>
                <w:highlight w:val="none"/>
                <w:lang w:val="en-US" w:eastAsia="zh-CN" w:bidi="ar-SA"/>
              </w:rPr>
              <w:t>0.5分，本科及以上学历得1分</w:t>
            </w:r>
            <w:r>
              <w:rPr>
                <w:rFonts w:hint="eastAsia" w:eastAsia="宋体" w:asciiTheme="minorEastAsia" w:hAnsiTheme="minorEastAsia" w:cstheme="minorEastAsia"/>
                <w:b w:val="0"/>
                <w:bCs/>
                <w:sz w:val="21"/>
                <w:szCs w:val="21"/>
                <w:highlight w:val="none"/>
                <w:lang w:val="zh-CN" w:eastAsia="zh-CN" w:bidi="ar-SA"/>
              </w:rPr>
              <w:t>；</w:t>
            </w:r>
          </w:p>
          <w:p>
            <w:pPr>
              <w:pStyle w:val="2"/>
              <w:numPr>
                <w:ilvl w:val="0"/>
                <w:numId w:val="0"/>
              </w:numPr>
              <w:rPr>
                <w:rFonts w:hint="eastAsia" w:asciiTheme="minorEastAsia" w:hAnsiTheme="minorEastAsia" w:cstheme="minorEastAsia"/>
                <w:b/>
                <w:bCs w:val="0"/>
                <w:kern w:val="2"/>
                <w:sz w:val="21"/>
                <w:szCs w:val="21"/>
                <w:highlight w:val="none"/>
                <w:lang w:val="en-US" w:eastAsia="zh-CN" w:bidi="ar-SA"/>
              </w:rPr>
            </w:pPr>
            <w:r>
              <w:rPr>
                <w:rFonts w:hint="eastAsia" w:asciiTheme="minorEastAsia" w:hAnsiTheme="minorEastAsia" w:cstheme="minorEastAsia"/>
                <w:b/>
                <w:bCs w:val="0"/>
                <w:kern w:val="2"/>
                <w:sz w:val="21"/>
                <w:szCs w:val="21"/>
                <w:highlight w:val="none"/>
                <w:lang w:val="en-US" w:eastAsia="zh-CN" w:bidi="ar-SA"/>
              </w:rPr>
              <w:t>注：（1）投标人应按照以上要求设置项目管理班子成员，并提供承诺函，承诺在实施具体项目时，若需要更换相关人员，应以不低于投标文件设置的项目管理班子成员资质的人员进行更换。不提供承诺函的此项均不得分。（承诺函格式自拟）</w:t>
            </w:r>
          </w:p>
          <w:p>
            <w:pPr>
              <w:pStyle w:val="2"/>
              <w:numPr>
                <w:ilvl w:val="0"/>
                <w:numId w:val="0"/>
              </w:numPr>
              <w:rPr>
                <w:rFonts w:hint="eastAsia" w:asciiTheme="minorEastAsia" w:hAnsiTheme="minorEastAsia" w:cstheme="minorEastAsia"/>
                <w:b/>
                <w:bCs/>
                <w:sz w:val="21"/>
                <w:szCs w:val="21"/>
                <w:highlight w:val="none"/>
                <w:lang w:val="en-US" w:eastAsia="zh-CN"/>
              </w:rPr>
            </w:pPr>
            <w:r>
              <w:rPr>
                <w:rFonts w:hint="eastAsia" w:asciiTheme="minorEastAsia" w:hAnsiTheme="minorEastAsia" w:cstheme="minorEastAsia"/>
                <w:b/>
                <w:bCs/>
                <w:sz w:val="21"/>
                <w:szCs w:val="21"/>
                <w:highlight w:val="none"/>
                <w:lang w:val="en-US" w:eastAsia="zh-CN"/>
              </w:rPr>
              <w:t>（2）</w:t>
            </w:r>
            <w:r>
              <w:rPr>
                <w:rFonts w:hint="eastAsia" w:asciiTheme="minorEastAsia" w:hAnsiTheme="minorEastAsia" w:cstheme="minorEastAsia"/>
                <w:b/>
                <w:bCs w:val="0"/>
                <w:kern w:val="2"/>
                <w:sz w:val="21"/>
                <w:szCs w:val="21"/>
                <w:highlight w:val="none"/>
                <w:lang w:val="en-US" w:eastAsia="zh-CN" w:bidi="ar-SA"/>
              </w:rPr>
              <w:t>招标人可根据具体项目情况对项目管理班子成员人数和种类进行增减。</w:t>
            </w:r>
          </w:p>
          <w:p>
            <w:pPr>
              <w:pStyle w:val="2"/>
              <w:numPr>
                <w:ilvl w:val="0"/>
                <w:numId w:val="0"/>
              </w:numPr>
              <w:rPr>
                <w:rFonts w:hint="eastAsia" w:asciiTheme="minorEastAsia" w:hAnsiTheme="minorEastAsia" w:cstheme="minorEastAsia"/>
                <w:b/>
                <w:bCs w:val="0"/>
                <w:kern w:val="2"/>
                <w:sz w:val="21"/>
                <w:szCs w:val="21"/>
                <w:highlight w:val="none"/>
                <w:lang w:val="en-US" w:eastAsia="zh-CN" w:bidi="ar-SA"/>
              </w:rPr>
            </w:pPr>
            <w:r>
              <w:rPr>
                <w:rFonts w:hint="eastAsia" w:asciiTheme="minorEastAsia" w:hAnsiTheme="minorEastAsia" w:cstheme="minorEastAsia"/>
                <w:b/>
                <w:bCs w:val="0"/>
                <w:kern w:val="2"/>
                <w:sz w:val="21"/>
                <w:szCs w:val="21"/>
                <w:highlight w:val="none"/>
                <w:lang w:val="en-US" w:eastAsia="zh-CN" w:bidi="ar-SA"/>
              </w:rPr>
              <w:t>（3）园林相关专业指：园林（含园林规划设计、园林植物、风景园林、园林绿化等）、园艺、城市规划、景观、植物（含植保、森保等）、风景旅游、环境艺术。</w:t>
            </w:r>
          </w:p>
          <w:p>
            <w:pPr>
              <w:keepNext w:val="0"/>
              <w:keepLines w:val="0"/>
              <w:pageBreakBefore w:val="0"/>
              <w:widowControl/>
              <w:topLinePunct w:val="0"/>
              <w:autoSpaceDE w:val="0"/>
              <w:autoSpaceDN w:val="0"/>
              <w:bidi w:val="0"/>
              <w:adjustRightInd w:val="0"/>
              <w:spacing w:line="360" w:lineRule="auto"/>
              <w:textAlignment w:val="auto"/>
              <w:rPr>
                <w:rFonts w:hint="eastAsia" w:asciiTheme="minorEastAsia" w:hAnsiTheme="minorEastAsia" w:eastAsiaTheme="minorEastAsia" w:cstheme="minorEastAsia"/>
                <w:b/>
                <w:kern w:val="0"/>
                <w:sz w:val="21"/>
                <w:szCs w:val="21"/>
                <w:highlight w:val="none"/>
                <w:lang w:val="zh-CN"/>
              </w:rPr>
            </w:pPr>
            <w:r>
              <w:rPr>
                <w:rFonts w:hint="eastAsia" w:asciiTheme="minorEastAsia" w:hAnsiTheme="minorEastAsia" w:eastAsiaTheme="minorEastAsia" w:cstheme="minorEastAsia"/>
                <w:b/>
                <w:sz w:val="21"/>
                <w:szCs w:val="21"/>
                <w:highlight w:val="none"/>
              </w:rPr>
              <w:t>2、证明文件</w:t>
            </w:r>
            <w:r>
              <w:rPr>
                <w:rFonts w:hint="eastAsia" w:asciiTheme="minorEastAsia" w:hAnsiTheme="minorEastAsia" w:eastAsiaTheme="minorEastAsia" w:cstheme="minorEastAsia"/>
                <w:b/>
                <w:kern w:val="0"/>
                <w:sz w:val="21"/>
                <w:szCs w:val="21"/>
                <w:highlight w:val="none"/>
                <w:lang w:val="zh-CN"/>
              </w:rPr>
              <w:t>：</w:t>
            </w:r>
          </w:p>
          <w:p>
            <w:pPr>
              <w:keepNext w:val="0"/>
              <w:keepLines w:val="0"/>
              <w:pageBreakBefore w:val="0"/>
              <w:widowControl/>
              <w:topLinePunct w:val="0"/>
              <w:autoSpaceDE w:val="0"/>
              <w:autoSpaceDN w:val="0"/>
              <w:bidi w:val="0"/>
              <w:adjustRightInd w:val="0"/>
              <w:spacing w:line="360" w:lineRule="auto"/>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color w:val="000000"/>
                <w:kern w:val="0"/>
                <w:sz w:val="21"/>
                <w:szCs w:val="21"/>
                <w:highlight w:val="none"/>
              </w:rPr>
              <w:t>须提供</w:t>
            </w:r>
            <w:r>
              <w:rPr>
                <w:rFonts w:hint="eastAsia" w:asciiTheme="minorEastAsia" w:hAnsiTheme="minorEastAsia" w:eastAsiaTheme="minorEastAsia" w:cstheme="minorEastAsia"/>
                <w:color w:val="000000"/>
                <w:kern w:val="0"/>
                <w:sz w:val="21"/>
                <w:szCs w:val="21"/>
                <w:highlight w:val="none"/>
                <w:lang w:eastAsia="zh-CN"/>
              </w:rPr>
              <w:t>投标</w:t>
            </w:r>
            <w:r>
              <w:rPr>
                <w:rFonts w:hint="eastAsia" w:asciiTheme="minorEastAsia" w:hAnsiTheme="minorEastAsia" w:eastAsiaTheme="minorEastAsia" w:cstheme="minorEastAsia"/>
                <w:color w:val="000000"/>
                <w:kern w:val="0"/>
                <w:sz w:val="21"/>
                <w:szCs w:val="21"/>
                <w:highlight w:val="none"/>
              </w:rPr>
              <w:t>截止日前近六个月</w:t>
            </w:r>
            <w:r>
              <w:rPr>
                <w:rFonts w:hint="eastAsia" w:asciiTheme="minorEastAsia" w:hAnsiTheme="minorEastAsia" w:eastAsiaTheme="minorEastAsia" w:cstheme="minorEastAsia"/>
                <w:b w:val="0"/>
                <w:bCs w:val="0"/>
                <w:color w:val="000000"/>
                <w:sz w:val="21"/>
                <w:szCs w:val="21"/>
                <w:highlight w:val="none"/>
                <w:lang w:eastAsia="zh-CN"/>
              </w:rPr>
              <w:t>（若当月不能开具社保证明，可往前顺延一个月）</w:t>
            </w:r>
            <w:r>
              <w:rPr>
                <w:rFonts w:hint="eastAsia" w:asciiTheme="minorEastAsia" w:hAnsiTheme="minorEastAsia" w:eastAsiaTheme="minorEastAsia" w:cstheme="minorEastAsia"/>
                <w:color w:val="000000"/>
                <w:kern w:val="0"/>
                <w:sz w:val="21"/>
                <w:szCs w:val="21"/>
                <w:highlight w:val="none"/>
              </w:rPr>
              <w:t>在本单位购买的社保清单</w:t>
            </w:r>
            <w:r>
              <w:rPr>
                <w:rFonts w:hint="eastAsia" w:asciiTheme="minorEastAsia" w:hAnsiTheme="minorEastAsia" w:cstheme="minorEastAsia"/>
                <w:color w:val="000000"/>
                <w:kern w:val="0"/>
                <w:sz w:val="21"/>
                <w:szCs w:val="21"/>
                <w:highlight w:val="none"/>
                <w:lang w:eastAsia="zh-CN"/>
              </w:rPr>
              <w:t>、业绩证明文件（需体现职务）、学历证明文件以及相应人员的职称证、执业证</w:t>
            </w:r>
            <w:r>
              <w:rPr>
                <w:rFonts w:hint="eastAsia" w:asciiTheme="minorEastAsia" w:hAnsiTheme="minorEastAsia" w:eastAsiaTheme="minorEastAsia" w:cstheme="minorEastAsia"/>
                <w:color w:val="000000"/>
                <w:kern w:val="0"/>
                <w:sz w:val="21"/>
                <w:szCs w:val="21"/>
                <w:highlight w:val="none"/>
              </w:rPr>
              <w:t>，不提供不得分，专家无法辨认的不得分。</w:t>
            </w:r>
          </w:p>
        </w:tc>
        <w:tc>
          <w:tcPr>
            <w:tcW w:w="1134"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076" w:hRule="atLeast"/>
          <w:jc w:val="center"/>
        </w:trPr>
        <w:tc>
          <w:tcPr>
            <w:tcW w:w="637" w:type="dxa"/>
            <w:vAlign w:val="center"/>
          </w:tcPr>
          <w:p>
            <w:pPr>
              <w:keepNext w:val="0"/>
              <w:keepLines w:val="0"/>
              <w:pageBreakBefore w:val="0"/>
              <w:widowControl/>
              <w:topLinePunct w:val="0"/>
              <w:autoSpaceDE w:val="0"/>
              <w:autoSpaceDN w:val="0"/>
              <w:bidi w:val="0"/>
              <w:adjustRightInd w:val="0"/>
              <w:spacing w:line="360" w:lineRule="auto"/>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c>
          <w:tcPr>
            <w:tcW w:w="1092"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lang w:eastAsia="zh-CN"/>
              </w:rPr>
            </w:pPr>
            <w:r>
              <w:rPr>
                <w:rFonts w:hint="eastAsia" w:ascii="宋体" w:hAnsi="宋体"/>
                <w:szCs w:val="21"/>
                <w:highlight w:val="none"/>
              </w:rPr>
              <w:t>服务方案</w:t>
            </w:r>
          </w:p>
        </w:tc>
        <w:tc>
          <w:tcPr>
            <w:tcW w:w="856" w:type="dxa"/>
            <w:gridSpan w:val="2"/>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kern w:val="0"/>
                <w:sz w:val="21"/>
                <w:szCs w:val="21"/>
                <w:highlight w:val="none"/>
                <w:lang w:val="en-US" w:eastAsia="zh-CN"/>
              </w:rPr>
            </w:pPr>
            <w:r>
              <w:rPr>
                <w:rFonts w:hint="eastAsia" w:ascii="宋体" w:hAnsi="宋体"/>
                <w:kern w:val="0"/>
                <w:szCs w:val="21"/>
                <w:highlight w:val="none"/>
                <w:lang w:val="zh-CN"/>
              </w:rPr>
              <w:t>5</w:t>
            </w:r>
          </w:p>
        </w:tc>
        <w:tc>
          <w:tcPr>
            <w:tcW w:w="5591" w:type="dxa"/>
            <w:vAlign w:val="center"/>
          </w:tcPr>
          <w:p>
            <w:pPr>
              <w:keepNext w:val="0"/>
              <w:keepLines w:val="0"/>
              <w:pageBreakBefore w:val="0"/>
              <w:widowControl/>
              <w:topLinePunct w:val="0"/>
              <w:autoSpaceDE w:val="0"/>
              <w:autoSpaceDN w:val="0"/>
              <w:bidi w:val="0"/>
              <w:adjustRightInd w:val="0"/>
              <w:spacing w:line="360" w:lineRule="auto"/>
              <w:textAlignment w:val="auto"/>
              <w:rPr>
                <w:rFonts w:hint="eastAsia" w:eastAsia="宋体" w:asciiTheme="minorEastAsia" w:hAnsiTheme="minorEastAsia" w:cstheme="minorEastAsia"/>
                <w:color w:val="000000"/>
                <w:kern w:val="0"/>
                <w:sz w:val="21"/>
                <w:szCs w:val="21"/>
                <w:highlight w:val="none"/>
                <w:lang w:val="en-US" w:eastAsia="zh-CN"/>
              </w:rPr>
            </w:pPr>
            <w:r>
              <w:rPr>
                <w:rFonts w:hint="eastAsia" w:ascii="宋体" w:hAnsi="宋体"/>
                <w:bCs/>
                <w:szCs w:val="21"/>
                <w:highlight w:val="none"/>
                <w:lang w:val="zh-CN"/>
              </w:rPr>
              <w:t>投标人提供项目服务方案、质量保证措施、安全保证措施。</w:t>
            </w:r>
            <w:r>
              <w:rPr>
                <w:rFonts w:hint="eastAsia" w:ascii="宋体" w:hAnsi="宋体" w:eastAsia="宋体"/>
                <w:sz w:val="21"/>
                <w:szCs w:val="21"/>
                <w:highlight w:val="none"/>
              </w:rPr>
              <w:t>评标委员会根据</w:t>
            </w:r>
            <w:r>
              <w:rPr>
                <w:rFonts w:hint="eastAsia" w:ascii="宋体" w:hAnsi="宋体" w:eastAsia="宋体"/>
                <w:sz w:val="21"/>
                <w:szCs w:val="21"/>
                <w:highlight w:val="none"/>
                <w:lang w:eastAsia="zh-CN"/>
              </w:rPr>
              <w:t>投标人编制的服务</w:t>
            </w:r>
            <w:r>
              <w:rPr>
                <w:rFonts w:hint="eastAsia" w:ascii="宋体" w:hAnsi="宋体" w:eastAsia="宋体"/>
                <w:sz w:val="21"/>
                <w:szCs w:val="21"/>
                <w:highlight w:val="none"/>
              </w:rPr>
              <w:t>方案</w:t>
            </w:r>
            <w:r>
              <w:rPr>
                <w:rFonts w:hint="eastAsia" w:ascii="宋体" w:hAnsi="宋体"/>
                <w:bCs/>
                <w:szCs w:val="21"/>
                <w:highlight w:val="none"/>
                <w:lang w:val="zh-CN"/>
              </w:rPr>
              <w:t>、质量保证措施、安全保证措施</w:t>
            </w:r>
            <w:r>
              <w:rPr>
                <w:rFonts w:hint="eastAsia" w:ascii="宋体" w:hAnsi="宋体" w:eastAsia="宋体"/>
                <w:sz w:val="21"/>
                <w:szCs w:val="21"/>
                <w:highlight w:val="none"/>
                <w:lang w:eastAsia="zh-CN"/>
              </w:rPr>
              <w:t>的</w:t>
            </w:r>
            <w:r>
              <w:rPr>
                <w:rFonts w:hint="eastAsia" w:ascii="宋体" w:hAnsi="宋体" w:eastAsia="宋体"/>
                <w:sz w:val="21"/>
                <w:szCs w:val="21"/>
                <w:highlight w:val="none"/>
              </w:rPr>
              <w:t>可操作性进行打分，优</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分，良</w:t>
            </w:r>
            <w:r>
              <w:rPr>
                <w:rFonts w:hint="eastAsia" w:ascii="宋体" w:hAnsi="宋体" w:eastAsia="宋体"/>
                <w:sz w:val="21"/>
                <w:szCs w:val="21"/>
                <w:highlight w:val="none"/>
                <w:lang w:val="en-US" w:eastAsia="zh-CN"/>
              </w:rPr>
              <w:t>4</w:t>
            </w:r>
            <w:r>
              <w:rPr>
                <w:rFonts w:hint="eastAsia" w:ascii="宋体" w:hAnsi="宋体" w:eastAsia="宋体"/>
                <w:sz w:val="21"/>
                <w:szCs w:val="21"/>
                <w:highlight w:val="none"/>
              </w:rPr>
              <w:t>分，中</w:t>
            </w:r>
            <w:r>
              <w:rPr>
                <w:rFonts w:hint="eastAsia" w:ascii="宋体" w:hAnsi="宋体" w:eastAsia="宋体"/>
                <w:sz w:val="21"/>
                <w:szCs w:val="21"/>
                <w:highlight w:val="none"/>
                <w:lang w:val="en-US" w:eastAsia="zh-CN"/>
              </w:rPr>
              <w:t>2.5</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tc>
        <w:tc>
          <w:tcPr>
            <w:tcW w:w="1134"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专家打分</w:t>
            </w:r>
          </w:p>
        </w:tc>
      </w:tr>
    </w:tbl>
    <w:p>
      <w:pPr>
        <w:tabs>
          <w:tab w:val="clear" w:pos="426"/>
        </w:tabs>
        <w:spacing w:line="240" w:lineRule="auto"/>
        <w:rPr>
          <w:highlight w:val="none"/>
        </w:rPr>
      </w:pPr>
      <w:r>
        <w:rPr>
          <w:rFonts w:hint="eastAsia"/>
          <w:highlight w:val="none"/>
        </w:rPr>
        <w:t>备注：</w:t>
      </w:r>
    </w:p>
    <w:p>
      <w:pPr>
        <w:tabs>
          <w:tab w:val="clear" w:pos="426"/>
        </w:tabs>
        <w:spacing w:line="240" w:lineRule="auto"/>
        <w:ind w:firstLine="424" w:firstLineChars="202"/>
        <w:rPr>
          <w:highlight w:val="none"/>
        </w:rPr>
      </w:pPr>
      <w:r>
        <w:rPr>
          <w:rFonts w:hint="eastAsia"/>
          <w:highlight w:val="none"/>
        </w:rPr>
        <w:t>1. 有取值范围的，含上限值不含下限值。每一项的得分均不能超过该项最高分值。</w:t>
      </w:r>
    </w:p>
    <w:p>
      <w:pPr>
        <w:tabs>
          <w:tab w:val="clear" w:pos="426"/>
        </w:tabs>
        <w:spacing w:line="240" w:lineRule="auto"/>
        <w:ind w:firstLine="424" w:firstLineChars="202"/>
        <w:rPr>
          <w:highlight w:val="none"/>
        </w:rPr>
      </w:pPr>
      <w:r>
        <w:rPr>
          <w:rFonts w:hint="eastAsia"/>
          <w:highlight w:val="none"/>
        </w:rPr>
        <w:t>2. 缺项则该项为0分或不合格为0分。</w:t>
      </w:r>
    </w:p>
    <w:p>
      <w:pPr>
        <w:tabs>
          <w:tab w:val="clear" w:pos="426"/>
        </w:tabs>
        <w:spacing w:line="240" w:lineRule="auto"/>
        <w:ind w:firstLine="424" w:firstLineChars="202"/>
        <w:rPr>
          <w:highlight w:val="none"/>
        </w:rPr>
      </w:pPr>
      <w:r>
        <w:rPr>
          <w:rFonts w:hint="eastAsia"/>
          <w:highlight w:val="none"/>
        </w:rPr>
        <w:t>3. 价格、技术、商务部分为针对项目具体情况设置项目，累加满分为100分，固定额外加分部分为固定设置项，对涉及政策导向优先采购产品进行额外加分。</w:t>
      </w:r>
    </w:p>
    <w:p>
      <w:pPr>
        <w:tabs>
          <w:tab w:val="clear" w:pos="426"/>
        </w:tabs>
        <w:spacing w:line="240" w:lineRule="auto"/>
        <w:ind w:firstLine="424" w:firstLineChars="202"/>
        <w:rPr>
          <w:rFonts w:ascii="Arial" w:hAnsi="Arial" w:cs="Arial"/>
          <w:snapToGrid w:val="0"/>
          <w:szCs w:val="18"/>
          <w:highlight w:val="none"/>
        </w:rPr>
      </w:pPr>
      <w:r>
        <w:rPr>
          <w:rFonts w:hint="eastAsia"/>
          <w:highlight w:val="none"/>
        </w:rPr>
        <w:t>4. 综合以上</w:t>
      </w:r>
      <w:r>
        <w:rPr>
          <w:rFonts w:hint="eastAsia"/>
          <w:snapToGrid w:val="0"/>
          <w:highlight w:val="none"/>
        </w:rPr>
        <w:t>分析比较，评委会将对各投标文件进行书面的量化评定，得分</w:t>
      </w:r>
      <w:r>
        <w:rPr>
          <w:rFonts w:ascii="Arial" w:hAnsi="Arial" w:cs="Arial"/>
          <w:snapToGrid w:val="0"/>
          <w:szCs w:val="18"/>
          <w:highlight w:val="none"/>
        </w:rPr>
        <w:t>精确到小数点后两位</w:t>
      </w:r>
      <w:r>
        <w:rPr>
          <w:rFonts w:hint="eastAsia" w:ascii="Arial" w:hAnsi="Arial" w:cs="Arial"/>
          <w:snapToGrid w:val="0"/>
          <w:szCs w:val="18"/>
          <w:highlight w:val="none"/>
        </w:rPr>
        <w:t>。</w:t>
      </w:r>
    </w:p>
    <w:p>
      <w:pPr>
        <w:tabs>
          <w:tab w:val="clear" w:pos="426"/>
        </w:tabs>
        <w:spacing w:line="240" w:lineRule="auto"/>
        <w:ind w:firstLine="424" w:firstLineChars="202"/>
        <w:rPr>
          <w:bCs/>
          <w:color w:val="000000"/>
          <w:highlight w:val="none"/>
        </w:rPr>
      </w:pPr>
      <w:r>
        <w:rPr>
          <w:rFonts w:hint="eastAsia"/>
          <w:bCs/>
          <w:color w:val="000000"/>
          <w:highlight w:val="none"/>
        </w:rPr>
        <w:t>5.客观评分项，所有评审专家应当统一打分分值；主观评分项，评审专家应当按照打分标准独立打分。</w:t>
      </w:r>
    </w:p>
    <w:p>
      <w:pPr>
        <w:pStyle w:val="42"/>
        <w:tabs>
          <w:tab w:val="clear" w:pos="426"/>
        </w:tabs>
        <w:rPr>
          <w:highlight w:val="none"/>
        </w:rPr>
      </w:pPr>
      <w:r>
        <w:rPr>
          <w:highlight w:val="none"/>
        </w:rPr>
        <w:br w:type="page"/>
      </w:r>
      <w:bookmarkStart w:id="26" w:name="_Toc5429"/>
      <w:r>
        <w:rPr>
          <w:rFonts w:hint="eastAsia"/>
          <w:highlight w:val="none"/>
        </w:rPr>
        <w:t>第一册  专用条款</w:t>
      </w:r>
      <w:bookmarkEnd w:id="25"/>
      <w:bookmarkEnd w:id="26"/>
    </w:p>
    <w:p>
      <w:pPr>
        <w:pStyle w:val="33"/>
        <w:tabs>
          <w:tab w:val="clear" w:pos="426"/>
        </w:tabs>
        <w:rPr>
          <w:highlight w:val="none"/>
        </w:rPr>
      </w:pPr>
      <w:bookmarkStart w:id="27" w:name="_Toc265483798"/>
      <w:bookmarkStart w:id="28" w:name="_Toc32296"/>
      <w:bookmarkStart w:id="29" w:name="_Toc432592813"/>
      <w:r>
        <w:rPr>
          <w:rFonts w:hint="eastAsia"/>
          <w:highlight w:val="none"/>
        </w:rPr>
        <w:t>第一章 采购公告</w:t>
      </w:r>
      <w:bookmarkEnd w:id="27"/>
      <w:bookmarkEnd w:id="28"/>
      <w:bookmarkEnd w:id="29"/>
    </w:p>
    <w:p>
      <w:pPr>
        <w:tabs>
          <w:tab w:val="clear" w:pos="426"/>
        </w:tabs>
        <w:rPr>
          <w:b/>
          <w:highlight w:val="none"/>
        </w:rPr>
      </w:pPr>
      <w:r>
        <w:rPr>
          <w:rFonts w:hint="eastAsia"/>
          <w:b/>
          <w:highlight w:val="none"/>
        </w:rPr>
        <w:t>一、项目概况</w:t>
      </w:r>
    </w:p>
    <w:p>
      <w:pPr>
        <w:tabs>
          <w:tab w:val="clear" w:pos="426"/>
        </w:tabs>
        <w:ind w:firstLine="424" w:firstLineChars="202"/>
        <w:rPr>
          <w:rFonts w:hint="eastAsia" w:eastAsia="宋体"/>
          <w:kern w:val="2"/>
          <w:highlight w:val="none"/>
          <w:lang w:eastAsia="zh-CN"/>
        </w:rPr>
      </w:pPr>
      <w:bookmarkStart w:id="30" w:name="项目概况2"/>
      <w:r>
        <w:rPr>
          <w:rFonts w:hint="eastAsia"/>
          <w:highlight w:val="none"/>
        </w:rPr>
        <w:t>1.项目编号：</w:t>
      </w:r>
      <w:r>
        <w:rPr>
          <w:rFonts w:hint="eastAsia"/>
          <w:highlight w:val="none"/>
          <w:lang w:eastAsia="zh-CN"/>
        </w:rPr>
        <w:t>SSZX2019-160</w:t>
      </w:r>
    </w:p>
    <w:p>
      <w:pPr>
        <w:tabs>
          <w:tab w:val="clear" w:pos="426"/>
        </w:tabs>
        <w:ind w:firstLine="424" w:firstLineChars="202"/>
        <w:rPr>
          <w:rFonts w:hint="eastAsia" w:eastAsia="宋体"/>
          <w:highlight w:val="none"/>
          <w:lang w:eastAsia="zh-CN"/>
        </w:rPr>
      </w:pPr>
      <w:r>
        <w:rPr>
          <w:rFonts w:hint="eastAsia"/>
          <w:highlight w:val="none"/>
        </w:rPr>
        <w:t>2.项目名称：</w:t>
      </w:r>
      <w:r>
        <w:rPr>
          <w:rFonts w:hint="eastAsia"/>
          <w:highlight w:val="none"/>
          <w:lang w:eastAsia="zh-CN"/>
        </w:rPr>
        <w:t>深圳市坪山区城市管理和综合执法局工程（园林绿化类）预选库</w:t>
      </w:r>
    </w:p>
    <w:p>
      <w:pPr>
        <w:tabs>
          <w:tab w:val="clear" w:pos="426"/>
        </w:tabs>
        <w:ind w:firstLine="424" w:firstLineChars="202"/>
        <w:rPr>
          <w:rFonts w:hint="eastAsia" w:eastAsia="宋体"/>
          <w:highlight w:val="none"/>
          <w:lang w:eastAsia="zh-CN"/>
        </w:rPr>
      </w:pPr>
      <w:r>
        <w:rPr>
          <w:rFonts w:hint="eastAsia"/>
          <w:highlight w:val="none"/>
        </w:rPr>
        <w:t>3.采购人：</w:t>
      </w:r>
      <w:r>
        <w:rPr>
          <w:rFonts w:hint="eastAsia"/>
          <w:highlight w:val="none"/>
          <w:lang w:eastAsia="zh-CN"/>
        </w:rPr>
        <w:t>深圳市坪山区城市管理和综合执法局</w:t>
      </w:r>
    </w:p>
    <w:p>
      <w:pPr>
        <w:tabs>
          <w:tab w:val="clear" w:pos="426"/>
        </w:tabs>
        <w:ind w:firstLine="424" w:firstLineChars="202"/>
        <w:rPr>
          <w:highlight w:val="none"/>
        </w:rPr>
      </w:pPr>
      <w:r>
        <w:rPr>
          <w:rFonts w:hint="eastAsia"/>
          <w:highlight w:val="none"/>
        </w:rPr>
        <w:t>4.采购代理机构：深圳市深水水务咨询有限公司</w:t>
      </w:r>
    </w:p>
    <w:p>
      <w:pPr>
        <w:tabs>
          <w:tab w:val="clear" w:pos="426"/>
        </w:tabs>
        <w:ind w:firstLine="424" w:firstLineChars="202"/>
        <w:rPr>
          <w:highlight w:val="none"/>
        </w:rPr>
      </w:pPr>
      <w:r>
        <w:rPr>
          <w:rFonts w:hint="eastAsia"/>
          <w:highlight w:val="none"/>
        </w:rPr>
        <w:t>5.项目地点：深圳市</w:t>
      </w:r>
    </w:p>
    <w:p>
      <w:pPr>
        <w:tabs>
          <w:tab w:val="clear" w:pos="426"/>
        </w:tabs>
        <w:ind w:firstLine="424" w:firstLineChars="202"/>
        <w:rPr>
          <w:highlight w:val="none"/>
        </w:rPr>
      </w:pPr>
      <w:r>
        <w:rPr>
          <w:rFonts w:hint="eastAsia"/>
          <w:highlight w:val="none"/>
        </w:rPr>
        <w:t>6.项目规模及特征：详见招标文</w:t>
      </w:r>
      <w:r>
        <w:rPr>
          <w:rFonts w:hint="eastAsia"/>
          <w:kern w:val="2"/>
          <w:highlight w:val="none"/>
        </w:rPr>
        <w:t>件</w:t>
      </w:r>
      <w:r>
        <w:rPr>
          <w:rFonts w:hint="eastAsia"/>
          <w:highlight w:val="none"/>
        </w:rPr>
        <w:t>。</w:t>
      </w:r>
    </w:p>
    <w:p>
      <w:pPr>
        <w:tabs>
          <w:tab w:val="clear" w:pos="426"/>
        </w:tabs>
        <w:ind w:firstLine="424" w:firstLineChars="202"/>
        <w:rPr>
          <w:highlight w:val="none"/>
        </w:rPr>
      </w:pPr>
      <w:r>
        <w:rPr>
          <w:rFonts w:hint="eastAsia"/>
          <w:highlight w:val="none"/>
        </w:rPr>
        <w:t>7.资金来源：财政资金100%</w:t>
      </w:r>
    </w:p>
    <w:p>
      <w:pPr>
        <w:tabs>
          <w:tab w:val="clear" w:pos="426"/>
        </w:tabs>
        <w:ind w:firstLine="424" w:firstLineChars="202"/>
        <w:rPr>
          <w:highlight w:val="none"/>
        </w:rPr>
      </w:pPr>
      <w:r>
        <w:rPr>
          <w:rFonts w:hint="eastAsia"/>
          <w:color w:val="000000"/>
          <w:highlight w:val="none"/>
          <w:lang w:val="en-US" w:eastAsia="zh-CN"/>
        </w:rPr>
        <w:t>8</w:t>
      </w:r>
      <w:r>
        <w:rPr>
          <w:rFonts w:hint="eastAsia"/>
          <w:color w:val="000000"/>
          <w:highlight w:val="none"/>
        </w:rPr>
        <w:t>.采购内容</w:t>
      </w:r>
      <w:r>
        <w:rPr>
          <w:rFonts w:hint="eastAsia"/>
          <w:highlight w:val="none"/>
        </w:rPr>
        <w:t>：</w:t>
      </w:r>
      <w:r>
        <w:rPr>
          <w:rFonts w:hint="eastAsia"/>
          <w:highlight w:val="none"/>
          <w:lang w:eastAsia="zh-CN"/>
        </w:rPr>
        <w:t>深圳市坪山区城市管理和综合执法局工程（园林绿化类）预选库</w:t>
      </w:r>
      <w:r>
        <w:rPr>
          <w:rFonts w:hint="eastAsia"/>
          <w:highlight w:val="none"/>
        </w:rPr>
        <w:t>，详</w:t>
      </w:r>
      <w:r>
        <w:rPr>
          <w:rFonts w:hint="eastAsia"/>
          <w:kern w:val="2"/>
          <w:highlight w:val="none"/>
        </w:rPr>
        <w:t>见招标文件及采购需求</w:t>
      </w:r>
      <w:r>
        <w:rPr>
          <w:rFonts w:hint="eastAsia"/>
          <w:highlight w:val="none"/>
        </w:rPr>
        <w:t>。</w:t>
      </w:r>
    </w:p>
    <w:p>
      <w:pPr>
        <w:tabs>
          <w:tab w:val="clear" w:pos="426"/>
        </w:tabs>
        <w:ind w:firstLine="424" w:firstLineChars="202"/>
        <w:rPr>
          <w:highlight w:val="none"/>
        </w:rPr>
      </w:pPr>
      <w:r>
        <w:rPr>
          <w:rFonts w:hint="eastAsia"/>
          <w:highlight w:val="none"/>
          <w:lang w:val="en-US" w:eastAsia="zh-CN"/>
        </w:rPr>
        <w:t>9</w:t>
      </w:r>
      <w:r>
        <w:rPr>
          <w:rFonts w:hint="eastAsia"/>
          <w:highlight w:val="none"/>
        </w:rPr>
        <w:t>.采购方式：公开招标</w:t>
      </w:r>
    </w:p>
    <w:p>
      <w:pPr>
        <w:tabs>
          <w:tab w:val="clear" w:pos="426"/>
        </w:tabs>
        <w:ind w:firstLine="424" w:firstLineChars="202"/>
        <w:rPr>
          <w:highlight w:val="none"/>
        </w:rPr>
      </w:pPr>
      <w:r>
        <w:rPr>
          <w:rFonts w:hint="eastAsia"/>
          <w:highlight w:val="none"/>
          <w:lang w:val="en-US" w:eastAsia="zh-CN"/>
        </w:rPr>
        <w:t>10</w:t>
      </w:r>
      <w:r>
        <w:rPr>
          <w:highlight w:val="none"/>
        </w:rPr>
        <w:t>.</w:t>
      </w:r>
      <w:r>
        <w:rPr>
          <w:rFonts w:hint="eastAsia"/>
          <w:highlight w:val="none"/>
        </w:rPr>
        <w:t>评标方法：综合评分法</w:t>
      </w:r>
    </w:p>
    <w:bookmarkEnd w:id="30"/>
    <w:p>
      <w:pPr>
        <w:tabs>
          <w:tab w:val="clear" w:pos="426"/>
        </w:tabs>
        <w:rPr>
          <w:b/>
          <w:highlight w:val="none"/>
        </w:rPr>
      </w:pPr>
      <w:r>
        <w:rPr>
          <w:rFonts w:hint="eastAsia"/>
          <w:b/>
          <w:highlight w:val="none"/>
        </w:rPr>
        <w:t>二、投标人资格要求</w:t>
      </w:r>
    </w:p>
    <w:p>
      <w:pPr>
        <w:pStyle w:val="8"/>
        <w:keepNext w:val="0"/>
        <w:keepLines w:val="0"/>
        <w:pageBreakBefore w:val="0"/>
        <w:tabs>
          <w:tab w:val="clear" w:pos="426"/>
        </w:tabs>
        <w:topLinePunct w:val="0"/>
        <w:bidi w:val="0"/>
        <w:spacing w:line="360" w:lineRule="auto"/>
        <w:ind w:firstLine="424" w:firstLineChars="202"/>
        <w:textAlignment w:val="auto"/>
        <w:rPr>
          <w:rFonts w:hint="eastAsia" w:ascii="宋体" w:hAnsi="宋体"/>
          <w:highlight w:val="none"/>
        </w:rPr>
      </w:pPr>
      <w:r>
        <w:rPr>
          <w:rFonts w:hint="eastAsia"/>
          <w:highlight w:val="none"/>
        </w:rPr>
        <w:t>1.</w:t>
      </w:r>
      <w:r>
        <w:rPr>
          <w:rFonts w:hint="eastAsia" w:ascii="宋体" w:hAnsi="宋体"/>
          <w:highlight w:val="none"/>
        </w:rPr>
        <w:t xml:space="preserve"> 投标人须</w:t>
      </w:r>
      <w:r>
        <w:rPr>
          <w:rFonts w:hint="eastAsia" w:ascii="宋体" w:hAnsi="宋体"/>
          <w:highlight w:val="none"/>
          <w:lang w:eastAsia="zh-CN"/>
        </w:rPr>
        <w:t>为</w:t>
      </w:r>
      <w:r>
        <w:rPr>
          <w:rFonts w:hint="eastAsia" w:ascii="宋体" w:hAnsi="宋体"/>
          <w:highlight w:val="none"/>
        </w:rPr>
        <w:t>深圳市政府采购网注册的政府采购供应商</w:t>
      </w:r>
      <w:r>
        <w:rPr>
          <w:rFonts w:hint="eastAsia" w:ascii="宋体" w:hAnsi="宋体"/>
          <w:highlight w:val="none"/>
          <w:lang w:eastAsia="zh-CN"/>
        </w:rPr>
        <w:t>，</w:t>
      </w:r>
      <w:r>
        <w:rPr>
          <w:rFonts w:hint="eastAsia" w:ascii="宋体" w:hAnsi="宋体"/>
          <w:highlight w:val="none"/>
        </w:rPr>
        <w:t>具有独立法人资格</w:t>
      </w:r>
      <w:r>
        <w:rPr>
          <w:rFonts w:ascii="宋体" w:hAnsi="宋体"/>
          <w:highlight w:val="none"/>
        </w:rPr>
        <w:t>（证明文件：须提供营业执照</w:t>
      </w:r>
      <w:r>
        <w:rPr>
          <w:rFonts w:hint="eastAsia" w:ascii="宋体" w:hAnsi="宋体"/>
          <w:highlight w:val="none"/>
        </w:rPr>
        <w:t>或法人证书</w:t>
      </w:r>
      <w:r>
        <w:rPr>
          <w:rFonts w:ascii="宋体" w:hAnsi="宋体"/>
          <w:highlight w:val="none"/>
        </w:rPr>
        <w:t>或其他证明文件的</w:t>
      </w:r>
      <w:r>
        <w:rPr>
          <w:rFonts w:hint="eastAsia" w:ascii="宋体" w:hAnsi="宋体"/>
          <w:highlight w:val="none"/>
        </w:rPr>
        <w:t>复印件</w:t>
      </w:r>
      <w:r>
        <w:rPr>
          <w:rFonts w:ascii="宋体" w:hAnsi="宋体"/>
          <w:highlight w:val="none"/>
        </w:rPr>
        <w:t>并加盖投标人公章</w:t>
      </w:r>
      <w:r>
        <w:rPr>
          <w:rFonts w:hint="eastAsia" w:ascii="宋体" w:hAnsi="宋体"/>
          <w:highlight w:val="none"/>
        </w:rPr>
        <w:t>）。</w:t>
      </w:r>
    </w:p>
    <w:p>
      <w:pPr>
        <w:keepNext w:val="0"/>
        <w:keepLines w:val="0"/>
        <w:pageBreakBefore w:val="0"/>
        <w:topLinePunct w:val="0"/>
        <w:bidi w:val="0"/>
        <w:spacing w:line="360" w:lineRule="auto"/>
        <w:ind w:firstLine="424" w:firstLineChars="202"/>
        <w:textAlignment w:val="auto"/>
        <w:rPr>
          <w:highlight w:val="none"/>
        </w:rPr>
      </w:pPr>
      <w:r>
        <w:rPr>
          <w:rFonts w:hint="eastAsia"/>
          <w:highlight w:val="none"/>
          <w:lang w:val="en-US" w:eastAsia="zh-CN"/>
        </w:rPr>
        <w:t>2</w:t>
      </w:r>
      <w:r>
        <w:rPr>
          <w:rFonts w:hint="eastAsia"/>
          <w:highlight w:val="none"/>
        </w:rPr>
        <w:t>.本项目不接受联合体投标，中标后不允许转包、分包。</w:t>
      </w:r>
    </w:p>
    <w:p>
      <w:pPr>
        <w:keepNext w:val="0"/>
        <w:keepLines w:val="0"/>
        <w:pageBreakBefore w:val="0"/>
        <w:topLinePunct w:val="0"/>
        <w:bidi w:val="0"/>
        <w:spacing w:line="360" w:lineRule="auto"/>
        <w:ind w:firstLine="424" w:firstLineChars="202"/>
        <w:textAlignment w:val="auto"/>
        <w:rPr>
          <w:highlight w:val="none"/>
        </w:rPr>
      </w:pPr>
      <w:r>
        <w:rPr>
          <w:rFonts w:hint="eastAsia"/>
          <w:highlight w:val="none"/>
          <w:lang w:val="en-US" w:eastAsia="zh-CN"/>
        </w:rPr>
        <w:t>3.</w:t>
      </w:r>
      <w:r>
        <w:rPr>
          <w:rFonts w:hint="eastAsia"/>
          <w:highlight w:val="none"/>
        </w:rPr>
        <w:t xml:space="preserve"> 参与本项目投标前三年内，在经营活动中没有重大违法记录（由供应商在《政府采购投标及履约承诺函》中作出声明）。</w:t>
      </w:r>
    </w:p>
    <w:p>
      <w:pPr>
        <w:keepNext w:val="0"/>
        <w:keepLines w:val="0"/>
        <w:pageBreakBefore w:val="0"/>
        <w:topLinePunct w:val="0"/>
        <w:bidi w:val="0"/>
        <w:spacing w:line="360" w:lineRule="auto"/>
        <w:ind w:firstLine="424" w:firstLineChars="202"/>
        <w:textAlignment w:val="auto"/>
        <w:rPr>
          <w:highlight w:val="none"/>
        </w:rPr>
      </w:pPr>
      <w:r>
        <w:rPr>
          <w:rFonts w:hint="eastAsia"/>
          <w:highlight w:val="none"/>
          <w:lang w:val="en-US" w:eastAsia="zh-CN"/>
        </w:rPr>
        <w:t>4</w:t>
      </w:r>
      <w:r>
        <w:rPr>
          <w:highlight w:val="none"/>
        </w:rPr>
        <w:t>.</w:t>
      </w:r>
      <w:r>
        <w:rPr>
          <w:rFonts w:hint="eastAsia"/>
          <w:highlight w:val="none"/>
        </w:rPr>
        <w:t xml:space="preserve"> 参与本项目政府采购活动时不存在被有关部门禁止参与政府采购活动且在有效期内的情况（由供应商在《政府采购投标及履约承诺函》中作出声明）。</w:t>
      </w:r>
    </w:p>
    <w:p>
      <w:pPr>
        <w:keepNext w:val="0"/>
        <w:keepLines w:val="0"/>
        <w:pageBreakBefore w:val="0"/>
        <w:topLinePunct w:val="0"/>
        <w:bidi w:val="0"/>
        <w:spacing w:line="360" w:lineRule="auto"/>
        <w:ind w:firstLine="424" w:firstLineChars="202"/>
        <w:textAlignment w:val="auto"/>
        <w:rPr>
          <w:highlight w:val="none"/>
        </w:rPr>
      </w:pPr>
      <w:r>
        <w:rPr>
          <w:rFonts w:hint="eastAsia"/>
          <w:highlight w:val="none"/>
          <w:lang w:val="en-US" w:eastAsia="zh-CN"/>
        </w:rPr>
        <w:t>5</w:t>
      </w:r>
      <w:r>
        <w:rPr>
          <w:highlight w:val="none"/>
        </w:rPr>
        <w:t>.</w:t>
      </w:r>
      <w:r>
        <w:rPr>
          <w:rFonts w:hint="eastAsia"/>
          <w:highlight w:val="none"/>
        </w:rPr>
        <w:t xml:space="preserve"> 具备《中华人民共和国政府采购法》第二十二条第一款的条件（由供应商在《政府采购投标及履约承诺函》中作出声明）。</w:t>
      </w:r>
    </w:p>
    <w:p>
      <w:pPr>
        <w:keepNext w:val="0"/>
        <w:keepLines w:val="0"/>
        <w:pageBreakBefore w:val="0"/>
        <w:topLinePunct w:val="0"/>
        <w:bidi w:val="0"/>
        <w:spacing w:line="360" w:lineRule="auto"/>
        <w:ind w:firstLine="424" w:firstLineChars="202"/>
        <w:textAlignment w:val="auto"/>
        <w:rPr>
          <w:highlight w:val="none"/>
        </w:rPr>
      </w:pPr>
      <w:r>
        <w:rPr>
          <w:rFonts w:hint="eastAsia"/>
          <w:highlight w:val="none"/>
          <w:lang w:val="en-US" w:eastAsia="zh-CN"/>
        </w:rPr>
        <w:t>6</w:t>
      </w:r>
      <w:r>
        <w:rPr>
          <w:highlight w:val="none"/>
        </w:rPr>
        <w:t>.</w:t>
      </w:r>
      <w:r>
        <w:rPr>
          <w:rFonts w:hint="eastAsia"/>
          <w:highlight w:val="none"/>
        </w:rPr>
        <w:t xml:space="preserve"> 参与政府采购项目投标的供应商未被列入失信被执行人、重大税收违法案件当事人名单、政府采购严重违法失信行为记录名单（由供应商在《政府采购投标及履约承诺函》中作出声明）。</w:t>
      </w:r>
    </w:p>
    <w:p>
      <w:pPr>
        <w:tabs>
          <w:tab w:val="clear" w:pos="426"/>
        </w:tabs>
        <w:rPr>
          <w:b/>
          <w:highlight w:val="none"/>
        </w:rPr>
      </w:pPr>
      <w:r>
        <w:rPr>
          <w:rFonts w:hint="eastAsia"/>
          <w:b/>
          <w:highlight w:val="none"/>
        </w:rPr>
        <w:t>三、获取招标文件的时间、地点、方式及招标文件售价</w:t>
      </w:r>
    </w:p>
    <w:p>
      <w:pPr>
        <w:tabs>
          <w:tab w:val="clear" w:pos="426"/>
        </w:tabs>
        <w:ind w:firstLine="424" w:firstLineChars="202"/>
        <w:rPr>
          <w:color w:val="FF0000"/>
          <w:highlight w:val="none"/>
        </w:rPr>
      </w:pPr>
      <w:r>
        <w:rPr>
          <w:color w:val="FF0000"/>
          <w:highlight w:val="none"/>
        </w:rPr>
        <w:t>1</w:t>
      </w:r>
      <w:r>
        <w:rPr>
          <w:rFonts w:hint="eastAsia"/>
          <w:color w:val="FF0000"/>
          <w:highlight w:val="none"/>
        </w:rPr>
        <w:t>.获取招标文件时间：</w:t>
      </w:r>
      <w:r>
        <w:rPr>
          <w:rFonts w:hint="eastAsia"/>
          <w:color w:val="FF0000"/>
          <w:highlight w:val="none"/>
          <w:u w:val="single"/>
        </w:rPr>
        <w:t>2019</w:t>
      </w:r>
      <w:r>
        <w:rPr>
          <w:rFonts w:hint="eastAsia"/>
          <w:color w:val="FF0000"/>
          <w:highlight w:val="none"/>
        </w:rPr>
        <w:t>年</w:t>
      </w:r>
      <w:r>
        <w:rPr>
          <w:rFonts w:hint="eastAsia"/>
          <w:color w:val="FF0000"/>
          <w:highlight w:val="none"/>
          <w:lang w:val="en-US" w:eastAsia="zh-CN"/>
        </w:rPr>
        <w:t>8</w:t>
      </w:r>
      <w:r>
        <w:rPr>
          <w:rFonts w:hint="eastAsia"/>
          <w:color w:val="FF0000"/>
          <w:highlight w:val="none"/>
          <w:u w:val="single"/>
        </w:rPr>
        <w:t xml:space="preserve"> </w:t>
      </w:r>
      <w:r>
        <w:rPr>
          <w:rFonts w:hint="eastAsia"/>
          <w:color w:val="FF0000"/>
          <w:highlight w:val="none"/>
        </w:rPr>
        <w:t>月</w:t>
      </w:r>
      <w:r>
        <w:rPr>
          <w:rFonts w:hint="eastAsia"/>
          <w:color w:val="FF0000"/>
          <w:highlight w:val="none"/>
          <w:u w:val="single"/>
        </w:rPr>
        <w:t xml:space="preserve"> </w:t>
      </w:r>
      <w:r>
        <w:rPr>
          <w:rFonts w:hint="eastAsia"/>
          <w:color w:val="FF0000"/>
          <w:highlight w:val="none"/>
          <w:u w:val="single"/>
          <w:lang w:val="en-US" w:eastAsia="zh-CN"/>
        </w:rPr>
        <w:t>20</w:t>
      </w:r>
      <w:r>
        <w:rPr>
          <w:rFonts w:hint="eastAsia"/>
          <w:color w:val="FF0000"/>
          <w:highlight w:val="none"/>
        </w:rPr>
        <w:t>日起至</w:t>
      </w:r>
      <w:r>
        <w:rPr>
          <w:rFonts w:hint="eastAsia"/>
          <w:color w:val="FF0000"/>
          <w:highlight w:val="none"/>
          <w:u w:val="single"/>
        </w:rPr>
        <w:t>2019</w:t>
      </w:r>
      <w:r>
        <w:rPr>
          <w:rFonts w:hint="eastAsia"/>
          <w:color w:val="FF0000"/>
          <w:highlight w:val="none"/>
        </w:rPr>
        <w:t>年</w:t>
      </w:r>
      <w:r>
        <w:rPr>
          <w:rFonts w:hint="eastAsia"/>
          <w:color w:val="FF0000"/>
          <w:highlight w:val="none"/>
          <w:u w:val="single"/>
        </w:rPr>
        <w:t xml:space="preserve"> </w:t>
      </w:r>
      <w:r>
        <w:rPr>
          <w:rFonts w:hint="eastAsia"/>
          <w:color w:val="FF0000"/>
          <w:highlight w:val="none"/>
          <w:u w:val="single"/>
          <w:lang w:val="en-US" w:eastAsia="zh-CN"/>
        </w:rPr>
        <w:t>8</w:t>
      </w:r>
      <w:r>
        <w:rPr>
          <w:rFonts w:hint="eastAsia"/>
          <w:color w:val="FF0000"/>
          <w:highlight w:val="none"/>
        </w:rPr>
        <w:t>月</w:t>
      </w:r>
      <w:r>
        <w:rPr>
          <w:rFonts w:hint="eastAsia"/>
          <w:color w:val="FF0000"/>
          <w:highlight w:val="none"/>
          <w:u w:val="single"/>
        </w:rPr>
        <w:t xml:space="preserve"> </w:t>
      </w:r>
      <w:r>
        <w:rPr>
          <w:rFonts w:hint="eastAsia"/>
          <w:color w:val="FF0000"/>
          <w:highlight w:val="none"/>
          <w:u w:val="single"/>
          <w:lang w:val="en-US" w:eastAsia="zh-CN"/>
        </w:rPr>
        <w:t>26</w:t>
      </w:r>
      <w:r>
        <w:rPr>
          <w:rFonts w:hint="eastAsia"/>
          <w:color w:val="FF0000"/>
          <w:highlight w:val="none"/>
        </w:rPr>
        <w:t>日（节假日除外），上午</w:t>
      </w:r>
      <w:r>
        <w:rPr>
          <w:rFonts w:hint="eastAsia"/>
          <w:color w:val="FF0000"/>
          <w:highlight w:val="none"/>
          <w:u w:val="single"/>
        </w:rPr>
        <w:t xml:space="preserve"> 09:00</w:t>
      </w:r>
      <w:r>
        <w:rPr>
          <w:rFonts w:hint="eastAsia"/>
          <w:color w:val="FF0000"/>
          <w:highlight w:val="none"/>
        </w:rPr>
        <w:t>～</w:t>
      </w:r>
      <w:r>
        <w:rPr>
          <w:rFonts w:hint="eastAsia"/>
          <w:color w:val="FF0000"/>
          <w:highlight w:val="none"/>
          <w:u w:val="single"/>
        </w:rPr>
        <w:t xml:space="preserve">11:30  </w:t>
      </w:r>
      <w:r>
        <w:rPr>
          <w:rFonts w:hint="eastAsia"/>
          <w:color w:val="FF0000"/>
          <w:highlight w:val="none"/>
        </w:rPr>
        <w:t>，下午</w:t>
      </w:r>
      <w:r>
        <w:rPr>
          <w:rFonts w:hint="eastAsia"/>
          <w:color w:val="FF0000"/>
          <w:highlight w:val="none"/>
          <w:u w:val="single"/>
        </w:rPr>
        <w:t>14:00</w:t>
      </w:r>
      <w:r>
        <w:rPr>
          <w:rFonts w:hint="eastAsia"/>
          <w:color w:val="FF0000"/>
          <w:highlight w:val="none"/>
        </w:rPr>
        <w:t>～</w:t>
      </w:r>
      <w:r>
        <w:rPr>
          <w:rFonts w:hint="eastAsia"/>
          <w:color w:val="FF0000"/>
          <w:highlight w:val="none"/>
          <w:u w:val="single"/>
        </w:rPr>
        <w:t>17:30（</w:t>
      </w:r>
      <w:r>
        <w:rPr>
          <w:rFonts w:hint="eastAsia"/>
          <w:color w:val="FF0000"/>
          <w:highlight w:val="none"/>
        </w:rPr>
        <w:t>北京时间）。</w:t>
      </w:r>
    </w:p>
    <w:p>
      <w:pPr>
        <w:tabs>
          <w:tab w:val="clear" w:pos="426"/>
        </w:tabs>
        <w:ind w:firstLine="424" w:firstLineChars="202"/>
        <w:rPr>
          <w:highlight w:val="none"/>
        </w:rPr>
      </w:pPr>
      <w:r>
        <w:rPr>
          <w:highlight w:val="none"/>
        </w:rPr>
        <w:t>2</w:t>
      </w:r>
      <w:r>
        <w:rPr>
          <w:rFonts w:hint="eastAsia"/>
          <w:highlight w:val="none"/>
        </w:rPr>
        <w:t>.获取招标文件地点：深圳市罗湖区布吉路1028号中设广场B座307。</w:t>
      </w:r>
    </w:p>
    <w:p>
      <w:pPr>
        <w:tabs>
          <w:tab w:val="clear" w:pos="426"/>
        </w:tabs>
        <w:ind w:firstLine="424" w:firstLineChars="202"/>
        <w:rPr>
          <w:highlight w:val="none"/>
        </w:rPr>
      </w:pPr>
      <w:r>
        <w:rPr>
          <w:highlight w:val="none"/>
        </w:rPr>
        <w:t>3</w:t>
      </w:r>
      <w:r>
        <w:rPr>
          <w:rFonts w:hint="eastAsia"/>
          <w:highlight w:val="none"/>
        </w:rPr>
        <w:t>.获取招标文件方式：现场购买或邮购。</w:t>
      </w:r>
    </w:p>
    <w:p>
      <w:pPr>
        <w:tabs>
          <w:tab w:val="clear" w:pos="426"/>
        </w:tabs>
        <w:ind w:firstLine="424" w:firstLineChars="202"/>
        <w:rPr>
          <w:highlight w:val="none"/>
        </w:rPr>
      </w:pPr>
      <w:r>
        <w:rPr>
          <w:highlight w:val="none"/>
        </w:rPr>
        <w:t>4</w:t>
      </w:r>
      <w:r>
        <w:rPr>
          <w:rFonts w:hint="eastAsia"/>
          <w:highlight w:val="none"/>
        </w:rPr>
        <w:t>.招标文件售价：每套人民币5</w:t>
      </w:r>
      <w:r>
        <w:rPr>
          <w:highlight w:val="none"/>
        </w:rPr>
        <w:t>00</w:t>
      </w:r>
      <w:r>
        <w:rPr>
          <w:rFonts w:hint="eastAsia"/>
          <w:highlight w:val="none"/>
        </w:rPr>
        <w:t>元</w:t>
      </w:r>
      <w:r>
        <w:rPr>
          <w:rFonts w:hint="eastAsia"/>
          <w:b/>
          <w:highlight w:val="none"/>
        </w:rPr>
        <w:t>（现金）</w:t>
      </w:r>
      <w:r>
        <w:rPr>
          <w:rFonts w:hint="eastAsia"/>
          <w:highlight w:val="none"/>
        </w:rPr>
        <w:t>；若邮购，每份加收人民币</w:t>
      </w:r>
      <w:r>
        <w:rPr>
          <w:highlight w:val="none"/>
        </w:rPr>
        <w:t>50元</w:t>
      </w:r>
      <w:r>
        <w:rPr>
          <w:rFonts w:hint="eastAsia"/>
          <w:highlight w:val="none"/>
        </w:rPr>
        <w:t>。招标文件售后不退。</w:t>
      </w:r>
    </w:p>
    <w:p>
      <w:pPr>
        <w:tabs>
          <w:tab w:val="clear" w:pos="426"/>
        </w:tabs>
        <w:ind w:firstLine="424" w:firstLineChars="202"/>
        <w:rPr>
          <w:highlight w:val="none"/>
        </w:rPr>
      </w:pPr>
      <w:r>
        <w:rPr>
          <w:rFonts w:hint="eastAsia"/>
          <w:highlight w:val="none"/>
        </w:rPr>
        <w:t>5.现场报名时提交以下资料：</w:t>
      </w:r>
    </w:p>
    <w:p>
      <w:pPr>
        <w:tabs>
          <w:tab w:val="clear" w:pos="426"/>
        </w:tabs>
        <w:ind w:firstLine="424" w:firstLineChars="202"/>
        <w:rPr>
          <w:highlight w:val="none"/>
        </w:rPr>
      </w:pPr>
      <w:r>
        <w:rPr>
          <w:rFonts w:hint="eastAsia"/>
          <w:highlight w:val="none"/>
        </w:rPr>
        <w:t>（1）投标人的营业执照复印件；</w:t>
      </w:r>
    </w:p>
    <w:p>
      <w:pPr>
        <w:tabs>
          <w:tab w:val="clear" w:pos="426"/>
        </w:tabs>
        <w:ind w:firstLine="424" w:firstLineChars="202"/>
        <w:rPr>
          <w:highlight w:val="none"/>
        </w:rPr>
      </w:pPr>
      <w:r>
        <w:rPr>
          <w:rFonts w:hint="eastAsia"/>
          <w:highlight w:val="none"/>
        </w:rPr>
        <w:t>（2）法人代表证明书原件、授权委托书原件、被授权委托人身份证复印件、被授权委托人联系方式</w:t>
      </w:r>
      <w:r>
        <w:rPr>
          <w:rFonts w:hint="eastAsia"/>
          <w:b/>
          <w:highlight w:val="none"/>
        </w:rPr>
        <w:t>（电话、邮箱）</w:t>
      </w:r>
      <w:r>
        <w:rPr>
          <w:rFonts w:hint="eastAsia"/>
          <w:highlight w:val="none"/>
        </w:rPr>
        <w:t>；</w:t>
      </w:r>
    </w:p>
    <w:p>
      <w:pPr>
        <w:tabs>
          <w:tab w:val="clear" w:pos="426"/>
        </w:tabs>
        <w:ind w:firstLine="424" w:firstLineChars="202"/>
        <w:rPr>
          <w:highlight w:val="none"/>
        </w:rPr>
      </w:pPr>
      <w:r>
        <w:rPr>
          <w:rFonts w:hint="eastAsia"/>
          <w:highlight w:val="none"/>
        </w:rPr>
        <w:t>（</w:t>
      </w:r>
      <w:r>
        <w:rPr>
          <w:highlight w:val="none"/>
        </w:rPr>
        <w:t>3）投标人的增值税发票开票（信息）资料；</w:t>
      </w:r>
    </w:p>
    <w:p>
      <w:pPr>
        <w:tabs>
          <w:tab w:val="clear" w:pos="426"/>
        </w:tabs>
        <w:ind w:firstLine="424" w:firstLineChars="202"/>
        <w:rPr>
          <w:highlight w:val="none"/>
        </w:rPr>
      </w:pPr>
      <w:r>
        <w:rPr>
          <w:rFonts w:hint="eastAsia"/>
          <w:highlight w:val="none"/>
        </w:rPr>
        <w:t>以上资料均需加盖公章。</w:t>
      </w:r>
    </w:p>
    <w:p>
      <w:pPr>
        <w:tabs>
          <w:tab w:val="clear" w:pos="426"/>
        </w:tabs>
        <w:ind w:firstLine="424" w:firstLineChars="202"/>
        <w:rPr>
          <w:highlight w:val="none"/>
        </w:rPr>
      </w:pPr>
      <w:r>
        <w:rPr>
          <w:rFonts w:hint="eastAsia"/>
          <w:highlight w:val="none"/>
        </w:rPr>
        <w:t>如需邮购，请于办理汇款手续后，快递上述报名资料、汇款凭证至采购代理机构。</w:t>
      </w:r>
    </w:p>
    <w:p>
      <w:pPr>
        <w:widowControl w:val="0"/>
        <w:shd w:val="clear" w:color="auto" w:fill="auto"/>
        <w:tabs>
          <w:tab w:val="clear" w:pos="426"/>
        </w:tabs>
        <w:adjustRightInd/>
        <w:snapToGrid/>
        <w:rPr>
          <w:rFonts w:ascii="Times New Roman" w:hAnsi="Times New Roman" w:cs="Times New Roman"/>
          <w:b/>
          <w:kern w:val="2"/>
          <w:szCs w:val="21"/>
          <w:highlight w:val="none"/>
        </w:rPr>
      </w:pPr>
      <w:r>
        <w:rPr>
          <w:rFonts w:hint="eastAsia" w:ascii="Times New Roman" w:hAnsi="Times New Roman" w:cs="Times New Roman"/>
          <w:b/>
          <w:kern w:val="2"/>
          <w:szCs w:val="21"/>
          <w:highlight w:val="none"/>
        </w:rPr>
        <w:t>四、投标截止时间、开标时间及地点</w:t>
      </w:r>
    </w:p>
    <w:p>
      <w:pPr>
        <w:tabs>
          <w:tab w:val="clear" w:pos="426"/>
        </w:tabs>
        <w:ind w:firstLine="424" w:firstLineChars="202"/>
        <w:rPr>
          <w:color w:val="FF0000"/>
          <w:highlight w:val="none"/>
        </w:rPr>
      </w:pPr>
      <w:r>
        <w:rPr>
          <w:color w:val="FF0000"/>
          <w:highlight w:val="none"/>
        </w:rPr>
        <w:t>1</w:t>
      </w:r>
      <w:r>
        <w:rPr>
          <w:rFonts w:hint="eastAsia"/>
          <w:color w:val="FF0000"/>
          <w:highlight w:val="none"/>
        </w:rPr>
        <w:t>.递交投标文件时间：</w:t>
      </w:r>
      <w:r>
        <w:rPr>
          <w:rFonts w:hint="eastAsia"/>
          <w:color w:val="FF0000"/>
          <w:highlight w:val="none"/>
          <w:u w:val="single"/>
        </w:rPr>
        <w:t>2019</w:t>
      </w:r>
      <w:r>
        <w:rPr>
          <w:rFonts w:hint="eastAsia"/>
          <w:color w:val="FF0000"/>
          <w:highlight w:val="none"/>
        </w:rPr>
        <w:t>年</w:t>
      </w:r>
      <w:r>
        <w:rPr>
          <w:rFonts w:hint="eastAsia"/>
          <w:color w:val="FF0000"/>
          <w:highlight w:val="none"/>
          <w:u w:val="single"/>
          <w:lang w:val="en-US" w:eastAsia="zh-CN"/>
        </w:rPr>
        <w:t>9</w:t>
      </w:r>
      <w:r>
        <w:rPr>
          <w:rFonts w:hint="eastAsia"/>
          <w:color w:val="FF0000"/>
          <w:highlight w:val="none"/>
        </w:rPr>
        <w:t>月</w:t>
      </w:r>
      <w:r>
        <w:rPr>
          <w:rFonts w:hint="eastAsia"/>
          <w:color w:val="FF0000"/>
          <w:highlight w:val="none"/>
          <w:u w:val="single"/>
          <w:lang w:val="en-US" w:eastAsia="zh-CN"/>
        </w:rPr>
        <w:t>2</w:t>
      </w:r>
      <w:r>
        <w:rPr>
          <w:rFonts w:hint="eastAsia"/>
          <w:color w:val="FF0000"/>
          <w:highlight w:val="none"/>
        </w:rPr>
        <w:t xml:space="preserve">日 </w:t>
      </w:r>
      <w:r>
        <w:rPr>
          <w:rFonts w:hint="eastAsia"/>
          <w:color w:val="FF0000"/>
          <w:highlight w:val="none"/>
          <w:u w:val="single"/>
        </w:rPr>
        <w:t>09:00</w:t>
      </w:r>
      <w:r>
        <w:rPr>
          <w:rFonts w:hint="eastAsia"/>
          <w:color w:val="FF0000"/>
          <w:highlight w:val="none"/>
        </w:rPr>
        <w:t>～</w:t>
      </w:r>
      <w:r>
        <w:rPr>
          <w:rFonts w:hint="eastAsia"/>
          <w:color w:val="FF0000"/>
          <w:highlight w:val="none"/>
          <w:u w:val="single"/>
        </w:rPr>
        <w:t>09:30</w:t>
      </w:r>
      <w:r>
        <w:rPr>
          <w:rFonts w:hint="eastAsia"/>
          <w:color w:val="FF0000"/>
          <w:highlight w:val="none"/>
        </w:rPr>
        <w:t>。</w:t>
      </w:r>
    </w:p>
    <w:p>
      <w:pPr>
        <w:tabs>
          <w:tab w:val="clear" w:pos="426"/>
        </w:tabs>
        <w:ind w:firstLine="424" w:firstLineChars="202"/>
        <w:rPr>
          <w:color w:val="FF0000"/>
          <w:highlight w:val="none"/>
        </w:rPr>
      </w:pPr>
      <w:r>
        <w:rPr>
          <w:color w:val="FF0000"/>
          <w:highlight w:val="none"/>
        </w:rPr>
        <w:t>2</w:t>
      </w:r>
      <w:r>
        <w:rPr>
          <w:rFonts w:hint="eastAsia"/>
          <w:color w:val="FF0000"/>
          <w:highlight w:val="none"/>
        </w:rPr>
        <w:t>.投标截止及开标时间：</w:t>
      </w:r>
      <w:r>
        <w:rPr>
          <w:rFonts w:hint="eastAsia"/>
          <w:color w:val="FF0000"/>
          <w:highlight w:val="none"/>
          <w:u w:val="single"/>
        </w:rPr>
        <w:t>2019</w:t>
      </w:r>
      <w:r>
        <w:rPr>
          <w:rFonts w:hint="eastAsia"/>
          <w:color w:val="FF0000"/>
          <w:highlight w:val="none"/>
        </w:rPr>
        <w:t>年</w:t>
      </w:r>
      <w:r>
        <w:rPr>
          <w:rFonts w:hint="eastAsia"/>
          <w:color w:val="FF0000"/>
          <w:highlight w:val="none"/>
          <w:u w:val="single"/>
          <w:lang w:val="en-US" w:eastAsia="zh-CN"/>
        </w:rPr>
        <w:t>9</w:t>
      </w:r>
      <w:r>
        <w:rPr>
          <w:rFonts w:hint="eastAsia"/>
          <w:color w:val="FF0000"/>
          <w:highlight w:val="none"/>
        </w:rPr>
        <w:t>月</w:t>
      </w:r>
      <w:r>
        <w:rPr>
          <w:rFonts w:hint="eastAsia"/>
          <w:color w:val="FF0000"/>
          <w:highlight w:val="none"/>
          <w:u w:val="single"/>
          <w:lang w:val="en-US" w:eastAsia="zh-CN"/>
        </w:rPr>
        <w:t>2</w:t>
      </w:r>
      <w:r>
        <w:rPr>
          <w:rFonts w:hint="eastAsia"/>
          <w:color w:val="FF0000"/>
          <w:highlight w:val="none"/>
        </w:rPr>
        <w:t xml:space="preserve">日 </w:t>
      </w:r>
      <w:r>
        <w:rPr>
          <w:rFonts w:hint="eastAsia"/>
          <w:color w:val="FF0000"/>
          <w:highlight w:val="none"/>
          <w:u w:val="single"/>
        </w:rPr>
        <w:t>09</w:t>
      </w:r>
      <w:r>
        <w:rPr>
          <w:rFonts w:hint="eastAsia"/>
          <w:color w:val="FF0000"/>
          <w:highlight w:val="none"/>
        </w:rPr>
        <w:t>时</w:t>
      </w:r>
      <w:r>
        <w:rPr>
          <w:rFonts w:hint="eastAsia"/>
          <w:color w:val="FF0000"/>
          <w:highlight w:val="none"/>
          <w:u w:val="single"/>
        </w:rPr>
        <w:t xml:space="preserve"> 30 </w:t>
      </w:r>
      <w:r>
        <w:rPr>
          <w:rFonts w:hint="eastAsia"/>
          <w:color w:val="FF0000"/>
          <w:highlight w:val="none"/>
        </w:rPr>
        <w:t>分。</w:t>
      </w:r>
    </w:p>
    <w:p>
      <w:pPr>
        <w:tabs>
          <w:tab w:val="clear" w:pos="426"/>
        </w:tabs>
        <w:ind w:firstLine="424" w:firstLineChars="202"/>
        <w:rPr>
          <w:highlight w:val="none"/>
        </w:rPr>
      </w:pPr>
      <w:r>
        <w:rPr>
          <w:highlight w:val="none"/>
        </w:rPr>
        <w:t>3</w:t>
      </w:r>
      <w:r>
        <w:rPr>
          <w:rFonts w:hint="eastAsia"/>
          <w:highlight w:val="none"/>
        </w:rPr>
        <w:t>.开标地点：深圳市罗湖区布吉路1028号中设广场B座307开标室。</w:t>
      </w:r>
    </w:p>
    <w:p>
      <w:pPr>
        <w:widowControl w:val="0"/>
        <w:shd w:val="clear" w:color="auto" w:fill="auto"/>
        <w:tabs>
          <w:tab w:val="clear" w:pos="426"/>
        </w:tabs>
        <w:adjustRightInd/>
        <w:snapToGrid/>
        <w:rPr>
          <w:rFonts w:ascii="Times New Roman" w:hAnsi="Times New Roman" w:cs="Times New Roman"/>
          <w:b/>
          <w:kern w:val="2"/>
          <w:szCs w:val="21"/>
          <w:highlight w:val="none"/>
        </w:rPr>
      </w:pPr>
      <w:r>
        <w:rPr>
          <w:rFonts w:hint="eastAsia" w:ascii="Times New Roman" w:hAnsi="Times New Roman" w:cs="Times New Roman"/>
          <w:b/>
          <w:kern w:val="2"/>
          <w:szCs w:val="21"/>
          <w:highlight w:val="none"/>
        </w:rPr>
        <w:t>五、答疑事项</w:t>
      </w:r>
    </w:p>
    <w:p>
      <w:pPr>
        <w:tabs>
          <w:tab w:val="clear" w:pos="426"/>
        </w:tabs>
        <w:ind w:firstLine="424" w:firstLineChars="202"/>
        <w:rPr>
          <w:szCs w:val="21"/>
          <w:highlight w:val="none"/>
        </w:rPr>
      </w:pPr>
      <w:r>
        <w:rPr>
          <w:szCs w:val="21"/>
          <w:highlight w:val="none"/>
        </w:rPr>
        <w:t>1.本项目实行网下纸质答疑，凡对招标文件有任何疑问的（包括认为招标文件的技术指标或参数存在排他性或歧视性条款），请投标人于</w:t>
      </w:r>
      <w:r>
        <w:rPr>
          <w:rFonts w:hint="eastAsia"/>
          <w:szCs w:val="21"/>
          <w:highlight w:val="none"/>
          <w:u w:val="single"/>
          <w:lang w:val="en-US" w:eastAsia="zh-CN"/>
        </w:rPr>
        <w:t>2019</w:t>
      </w:r>
      <w:r>
        <w:rPr>
          <w:szCs w:val="21"/>
          <w:highlight w:val="none"/>
        </w:rPr>
        <w:t>年</w:t>
      </w:r>
      <w:r>
        <w:rPr>
          <w:rFonts w:hint="eastAsia"/>
          <w:szCs w:val="21"/>
          <w:highlight w:val="none"/>
          <w:u w:val="single"/>
        </w:rPr>
        <w:t xml:space="preserve"> </w:t>
      </w:r>
      <w:r>
        <w:rPr>
          <w:rFonts w:hint="eastAsia"/>
          <w:szCs w:val="21"/>
          <w:highlight w:val="none"/>
          <w:u w:val="single"/>
          <w:lang w:val="en-US" w:eastAsia="zh-CN"/>
        </w:rPr>
        <w:t>8</w:t>
      </w:r>
      <w:r>
        <w:rPr>
          <w:rFonts w:hint="eastAsia"/>
          <w:szCs w:val="21"/>
          <w:highlight w:val="none"/>
          <w:u w:val="single"/>
        </w:rPr>
        <w:t xml:space="preserve"> </w:t>
      </w:r>
      <w:r>
        <w:rPr>
          <w:szCs w:val="21"/>
          <w:highlight w:val="none"/>
        </w:rPr>
        <w:t>月</w:t>
      </w:r>
      <w:r>
        <w:rPr>
          <w:rFonts w:hint="eastAsia"/>
          <w:szCs w:val="21"/>
          <w:highlight w:val="none"/>
          <w:u w:val="single"/>
        </w:rPr>
        <w:t xml:space="preserve"> </w:t>
      </w:r>
      <w:r>
        <w:rPr>
          <w:rFonts w:hint="eastAsia"/>
          <w:szCs w:val="21"/>
          <w:highlight w:val="none"/>
          <w:u w:val="single"/>
          <w:lang w:val="en-US" w:eastAsia="zh-CN"/>
        </w:rPr>
        <w:t>28</w:t>
      </w:r>
      <w:r>
        <w:rPr>
          <w:rFonts w:hint="eastAsia"/>
          <w:szCs w:val="21"/>
          <w:highlight w:val="none"/>
          <w:u w:val="single"/>
        </w:rPr>
        <w:t xml:space="preserve"> </w:t>
      </w:r>
      <w:r>
        <w:rPr>
          <w:szCs w:val="21"/>
          <w:highlight w:val="none"/>
        </w:rPr>
        <w:t>日 下午17:30前，根据《深圳经济特区政府采购条例》第六章、《深圳市经济特区政府采购条例实施细则》第六章及深圳市政府采购中心网页http://www.cgzx.sz.gov.cn/zxfw/</w:t>
      </w:r>
      <w:r>
        <w:rPr>
          <w:rFonts w:hint="eastAsia"/>
          <w:szCs w:val="21"/>
          <w:highlight w:val="none"/>
        </w:rPr>
        <w:t>mx</w:t>
      </w:r>
      <w:r>
        <w:rPr>
          <w:szCs w:val="21"/>
          <w:highlight w:val="none"/>
        </w:rPr>
        <w:t>gys/zyzn/所发布的有关质疑的指引及要求填写质疑函件，并将质疑函件以及相关质疑内容的证明材料原件送达深圳市深水水务咨询有限公司，逾期不受理。</w:t>
      </w:r>
    </w:p>
    <w:p>
      <w:pPr>
        <w:tabs>
          <w:tab w:val="clear" w:pos="426"/>
        </w:tabs>
        <w:ind w:firstLine="424" w:firstLineChars="202"/>
        <w:rPr>
          <w:highlight w:val="none"/>
        </w:rPr>
      </w:pPr>
      <w:r>
        <w:rPr>
          <w:szCs w:val="21"/>
          <w:highlight w:val="none"/>
        </w:rPr>
        <w:t>2.投标人有义务在招标活动期间浏览本公告“六、相关信息”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pPr>
        <w:tabs>
          <w:tab w:val="clear" w:pos="426"/>
        </w:tabs>
        <w:rPr>
          <w:b/>
          <w:highlight w:val="none"/>
        </w:rPr>
      </w:pPr>
      <w:r>
        <w:rPr>
          <w:rFonts w:hint="eastAsia"/>
          <w:b/>
          <w:highlight w:val="none"/>
        </w:rPr>
        <w:t>六、相关信息</w:t>
      </w:r>
    </w:p>
    <w:p>
      <w:pPr>
        <w:tabs>
          <w:tab w:val="clear" w:pos="426"/>
        </w:tabs>
        <w:ind w:firstLine="424" w:firstLineChars="202"/>
        <w:rPr>
          <w:highlight w:val="none"/>
        </w:rPr>
      </w:pPr>
      <w:r>
        <w:rPr>
          <w:rFonts w:hint="eastAsia"/>
          <w:highlight w:val="none"/>
        </w:rPr>
        <w:t>深圳市深水水务咨询有限公司</w:t>
      </w:r>
      <w:r>
        <w:rPr>
          <w:rFonts w:hint="eastAsia"/>
          <w:highlight w:val="none"/>
          <w:lang w:eastAsia="zh-CN"/>
        </w:rPr>
        <w:t>（招标文件下载）</w:t>
      </w:r>
      <w:r>
        <w:rPr>
          <w:rFonts w:hint="eastAsia"/>
          <w:highlight w:val="none"/>
        </w:rPr>
        <w:t xml:space="preserve">  </w:t>
      </w:r>
      <w:r>
        <w:rPr>
          <w:highlight w:val="none"/>
        </w:rPr>
        <w:fldChar w:fldCharType="begin"/>
      </w:r>
      <w:r>
        <w:rPr>
          <w:highlight w:val="none"/>
        </w:rPr>
        <w:instrText xml:space="preserve"> HYPERLINK "http://www.szsszx.com" </w:instrText>
      </w:r>
      <w:r>
        <w:rPr>
          <w:highlight w:val="none"/>
        </w:rPr>
        <w:fldChar w:fldCharType="separate"/>
      </w:r>
      <w:r>
        <w:rPr>
          <w:rStyle w:val="52"/>
          <w:highlight w:val="none"/>
        </w:rPr>
        <w:t>http://www.szsszx.com</w:t>
      </w:r>
      <w:r>
        <w:rPr>
          <w:rStyle w:val="52"/>
          <w:highlight w:val="none"/>
        </w:rPr>
        <w:fldChar w:fldCharType="end"/>
      </w:r>
    </w:p>
    <w:p>
      <w:pPr>
        <w:tabs>
          <w:tab w:val="clear" w:pos="426"/>
        </w:tabs>
        <w:ind w:firstLine="424" w:firstLineChars="202"/>
        <w:rPr>
          <w:highlight w:val="none"/>
        </w:rPr>
      </w:pPr>
      <w:r>
        <w:rPr>
          <w:rFonts w:hint="eastAsia"/>
          <w:highlight w:val="none"/>
        </w:rPr>
        <w:t>采购人联系方式</w:t>
      </w:r>
    </w:p>
    <w:p>
      <w:pPr>
        <w:tabs>
          <w:tab w:val="clear" w:pos="426"/>
        </w:tabs>
        <w:ind w:firstLine="424" w:firstLineChars="202"/>
        <w:rPr>
          <w:rFonts w:hint="eastAsia" w:eastAsia="宋体"/>
          <w:highlight w:val="none"/>
          <w:lang w:eastAsia="zh-CN"/>
        </w:rPr>
      </w:pPr>
      <w:r>
        <w:rPr>
          <w:highlight w:val="none"/>
        </w:rPr>
        <w:t>单位名称</w:t>
      </w:r>
      <w:r>
        <w:rPr>
          <w:rFonts w:hint="eastAsia"/>
          <w:highlight w:val="none"/>
        </w:rPr>
        <w:t>：</w:t>
      </w:r>
      <w:r>
        <w:rPr>
          <w:rFonts w:hint="eastAsia"/>
          <w:highlight w:val="none"/>
          <w:lang w:eastAsia="zh-CN"/>
        </w:rPr>
        <w:t>深圳市坪山区城市管理和综合执法局</w:t>
      </w:r>
    </w:p>
    <w:p>
      <w:pPr>
        <w:tabs>
          <w:tab w:val="clear" w:pos="426"/>
        </w:tabs>
        <w:ind w:firstLine="424" w:firstLineChars="202"/>
        <w:rPr>
          <w:rFonts w:hint="eastAsia" w:eastAsia="宋体"/>
          <w:highlight w:val="none"/>
          <w:lang w:eastAsia="zh-CN"/>
        </w:rPr>
      </w:pPr>
      <w:r>
        <w:rPr>
          <w:rFonts w:hint="eastAsia"/>
          <w:highlight w:val="none"/>
        </w:rPr>
        <w:t>联</w:t>
      </w:r>
      <w:r>
        <w:rPr>
          <w:highlight w:val="none"/>
        </w:rPr>
        <w:t xml:space="preserve"> 系 人：</w:t>
      </w:r>
      <w:r>
        <w:rPr>
          <w:rFonts w:hint="eastAsia"/>
          <w:highlight w:val="none"/>
          <w:lang w:eastAsia="zh-CN"/>
        </w:rPr>
        <w:t>卢工</w:t>
      </w:r>
    </w:p>
    <w:p>
      <w:pPr>
        <w:tabs>
          <w:tab w:val="clear" w:pos="426"/>
        </w:tabs>
        <w:ind w:firstLine="424" w:firstLineChars="202"/>
        <w:rPr>
          <w:highlight w:val="none"/>
        </w:rPr>
      </w:pPr>
      <w:r>
        <w:rPr>
          <w:rFonts w:hint="eastAsia"/>
          <w:highlight w:val="none"/>
        </w:rPr>
        <w:t>电    话：0755-84622820</w:t>
      </w:r>
    </w:p>
    <w:p>
      <w:pPr>
        <w:tabs>
          <w:tab w:val="clear" w:pos="426"/>
        </w:tabs>
        <w:ind w:firstLine="424" w:firstLineChars="202"/>
        <w:rPr>
          <w:rFonts w:hint="eastAsia" w:eastAsia="宋体"/>
          <w:highlight w:val="none"/>
          <w:lang w:eastAsia="zh-CN"/>
        </w:rPr>
      </w:pPr>
      <w:r>
        <w:rPr>
          <w:rFonts w:hint="eastAsia"/>
          <w:highlight w:val="none"/>
        </w:rPr>
        <w:t>地</w:t>
      </w:r>
      <w:r>
        <w:rPr>
          <w:highlight w:val="none"/>
        </w:rPr>
        <w:t xml:space="preserve">    址：</w:t>
      </w:r>
      <w:r>
        <w:rPr>
          <w:rFonts w:hint="eastAsia"/>
          <w:highlight w:val="none"/>
          <w:lang w:eastAsia="zh-CN"/>
        </w:rPr>
        <w:t>深圳市坪山区</w:t>
      </w:r>
    </w:p>
    <w:p>
      <w:pPr>
        <w:tabs>
          <w:tab w:val="clear" w:pos="426"/>
        </w:tabs>
        <w:ind w:firstLine="424" w:firstLineChars="202"/>
        <w:rPr>
          <w:highlight w:val="none"/>
        </w:rPr>
      </w:pPr>
      <w:r>
        <w:rPr>
          <w:rFonts w:hint="eastAsia"/>
          <w:highlight w:val="none"/>
        </w:rPr>
        <w:t>采购代理机构联系方式</w:t>
      </w:r>
    </w:p>
    <w:p>
      <w:pPr>
        <w:tabs>
          <w:tab w:val="clear" w:pos="426"/>
        </w:tabs>
        <w:ind w:firstLine="424" w:firstLineChars="202"/>
        <w:rPr>
          <w:highlight w:val="none"/>
        </w:rPr>
      </w:pPr>
      <w:r>
        <w:rPr>
          <w:rFonts w:hint="eastAsia"/>
          <w:highlight w:val="none"/>
        </w:rPr>
        <w:t>单位名称：深圳市深水水务咨询有限公司</w:t>
      </w:r>
    </w:p>
    <w:p>
      <w:pPr>
        <w:tabs>
          <w:tab w:val="clear" w:pos="426"/>
        </w:tabs>
        <w:ind w:firstLine="424" w:firstLineChars="202"/>
        <w:rPr>
          <w:rFonts w:hint="eastAsia" w:eastAsia="宋体"/>
          <w:highlight w:val="none"/>
          <w:lang w:eastAsia="zh-CN"/>
        </w:rPr>
      </w:pPr>
      <w:r>
        <w:rPr>
          <w:rFonts w:hint="eastAsia"/>
          <w:highlight w:val="none"/>
        </w:rPr>
        <w:t>联</w:t>
      </w:r>
      <w:r>
        <w:rPr>
          <w:highlight w:val="none"/>
        </w:rPr>
        <w:t xml:space="preserve"> </w:t>
      </w:r>
      <w:r>
        <w:rPr>
          <w:rFonts w:hint="eastAsia"/>
          <w:highlight w:val="none"/>
        </w:rPr>
        <w:t>系</w:t>
      </w:r>
      <w:r>
        <w:rPr>
          <w:highlight w:val="none"/>
        </w:rPr>
        <w:t xml:space="preserve"> </w:t>
      </w:r>
      <w:r>
        <w:rPr>
          <w:rFonts w:hint="eastAsia"/>
          <w:highlight w:val="none"/>
        </w:rPr>
        <w:t>人：</w:t>
      </w:r>
      <w:r>
        <w:rPr>
          <w:rFonts w:hint="eastAsia"/>
          <w:highlight w:val="none"/>
          <w:lang w:eastAsia="zh-CN"/>
        </w:rPr>
        <w:t>蒋晋</w:t>
      </w:r>
    </w:p>
    <w:p>
      <w:pPr>
        <w:tabs>
          <w:tab w:val="clear" w:pos="426"/>
        </w:tabs>
        <w:ind w:firstLine="424" w:firstLineChars="202"/>
        <w:rPr>
          <w:rFonts w:hint="default" w:eastAsia="宋体"/>
          <w:highlight w:val="none"/>
          <w:lang w:val="en-US" w:eastAsia="zh-CN"/>
        </w:rPr>
      </w:pPr>
      <w:r>
        <w:rPr>
          <w:rFonts w:hint="eastAsia"/>
          <w:highlight w:val="none"/>
        </w:rPr>
        <w:t>电    话：0755-</w:t>
      </w:r>
      <w:r>
        <w:rPr>
          <w:highlight w:val="none"/>
        </w:rPr>
        <w:t>2516</w:t>
      </w:r>
      <w:r>
        <w:rPr>
          <w:rFonts w:hint="eastAsia"/>
          <w:highlight w:val="none"/>
          <w:lang w:val="en-US" w:eastAsia="zh-CN"/>
        </w:rPr>
        <w:t>0321</w:t>
      </w:r>
      <w:r>
        <w:rPr>
          <w:rFonts w:hint="eastAsia"/>
          <w:highlight w:val="none"/>
        </w:rPr>
        <w:t xml:space="preserve">  手  机：</w:t>
      </w:r>
      <w:r>
        <w:rPr>
          <w:rFonts w:hint="eastAsia"/>
          <w:highlight w:val="none"/>
          <w:lang w:val="en-US" w:eastAsia="zh-CN"/>
        </w:rPr>
        <w:t>13925205100</w:t>
      </w:r>
    </w:p>
    <w:p>
      <w:pPr>
        <w:tabs>
          <w:tab w:val="clear" w:pos="426"/>
        </w:tabs>
        <w:ind w:firstLine="424" w:firstLineChars="202"/>
        <w:rPr>
          <w:highlight w:val="none"/>
        </w:rPr>
      </w:pPr>
      <w:r>
        <w:rPr>
          <w:rFonts w:hint="eastAsia"/>
          <w:highlight w:val="none"/>
        </w:rPr>
        <w:t>地    址：深圳市罗湖区布吉路1028号中设广场B座307</w:t>
      </w:r>
    </w:p>
    <w:p>
      <w:pPr>
        <w:tabs>
          <w:tab w:val="clear" w:pos="426"/>
        </w:tabs>
        <w:ind w:firstLine="424" w:firstLineChars="202"/>
        <w:rPr>
          <w:highlight w:val="none"/>
        </w:rPr>
      </w:pPr>
      <w:r>
        <w:rPr>
          <w:highlight w:val="none"/>
        </w:rPr>
        <w:t>Email</w:t>
      </w:r>
      <w:r>
        <w:rPr>
          <w:rFonts w:hint="eastAsia"/>
          <w:highlight w:val="none"/>
        </w:rPr>
        <w:t>：</w:t>
      </w:r>
      <w:r>
        <w:rPr>
          <w:rStyle w:val="52"/>
          <w:rFonts w:hint="eastAsia"/>
          <w:color w:val="auto"/>
          <w:highlight w:val="none"/>
          <w:u w:val="none"/>
          <w:lang w:val="en-US" w:eastAsia="zh-CN"/>
        </w:rPr>
        <w:t>244868795</w:t>
      </w:r>
      <w:r>
        <w:rPr>
          <w:rStyle w:val="52"/>
          <w:rFonts w:hint="eastAsia"/>
          <w:color w:val="auto"/>
          <w:highlight w:val="none"/>
          <w:u w:val="none"/>
        </w:rPr>
        <w:t>@qq.com</w:t>
      </w:r>
    </w:p>
    <w:p>
      <w:pPr>
        <w:widowControl w:val="0"/>
        <w:shd w:val="clear" w:color="auto" w:fill="auto"/>
        <w:tabs>
          <w:tab w:val="clear" w:pos="426"/>
        </w:tabs>
        <w:adjustRightInd/>
        <w:snapToGrid/>
        <w:rPr>
          <w:rFonts w:ascii="Times New Roman" w:hAnsi="Times New Roman" w:cs="Times New Roman"/>
          <w:b/>
          <w:kern w:val="2"/>
          <w:szCs w:val="21"/>
          <w:highlight w:val="none"/>
        </w:rPr>
      </w:pPr>
      <w:r>
        <w:rPr>
          <w:rFonts w:hint="eastAsia" w:ascii="Times New Roman" w:hAnsi="Times New Roman" w:cs="Times New Roman"/>
          <w:b/>
          <w:kern w:val="2"/>
          <w:szCs w:val="21"/>
          <w:highlight w:val="none"/>
        </w:rPr>
        <w:t>七、采购文件</w:t>
      </w:r>
    </w:p>
    <w:p>
      <w:pPr>
        <w:tabs>
          <w:tab w:val="clear" w:pos="426"/>
        </w:tabs>
        <w:ind w:firstLine="424" w:firstLineChars="202"/>
        <w:rPr>
          <w:rStyle w:val="52"/>
          <w:highlight w:val="none"/>
        </w:rPr>
      </w:pPr>
      <w:r>
        <w:rPr>
          <w:rStyle w:val="52"/>
          <w:rFonts w:hint="eastAsia"/>
          <w:highlight w:val="none"/>
        </w:rPr>
        <w:t>-点此下载-</w:t>
      </w:r>
    </w:p>
    <w:p>
      <w:pPr>
        <w:tabs>
          <w:tab w:val="clear" w:pos="426"/>
        </w:tabs>
        <w:ind w:firstLine="424" w:firstLineChars="202"/>
        <w:rPr>
          <w:highlight w:val="none"/>
        </w:rPr>
      </w:pPr>
    </w:p>
    <w:p>
      <w:pPr>
        <w:tabs>
          <w:tab w:val="clear" w:pos="426"/>
        </w:tabs>
        <w:rPr>
          <w:strike/>
          <w:highlight w:val="none"/>
        </w:rPr>
      </w:pPr>
    </w:p>
    <w:p>
      <w:pPr>
        <w:pStyle w:val="33"/>
        <w:tabs>
          <w:tab w:val="clear" w:pos="426"/>
        </w:tabs>
        <w:rPr>
          <w:highlight w:val="none"/>
        </w:rPr>
        <w:sectPr>
          <w:headerReference r:id="rId5" w:type="first"/>
          <w:footerReference r:id="rId7" w:type="first"/>
          <w:headerReference r:id="rId4" w:type="default"/>
          <w:footerReference r:id="rId6" w:type="default"/>
          <w:pgSz w:w="11906" w:h="16838"/>
          <w:pgMar w:top="1440" w:right="1797" w:bottom="1440" w:left="1797" w:header="851" w:footer="992" w:gutter="0"/>
          <w:pgNumType w:start="1"/>
          <w:cols w:space="425" w:num="1"/>
          <w:titlePg/>
          <w:docGrid w:linePitch="462" w:charSpace="0"/>
        </w:sectPr>
      </w:pPr>
      <w:bookmarkStart w:id="31" w:name="_Toc432592814"/>
    </w:p>
    <w:p>
      <w:pPr>
        <w:pStyle w:val="33"/>
        <w:tabs>
          <w:tab w:val="clear" w:pos="426"/>
        </w:tabs>
        <w:rPr>
          <w:highlight w:val="none"/>
        </w:rPr>
      </w:pPr>
      <w:bookmarkStart w:id="32" w:name="_Toc1406"/>
      <w:r>
        <w:rPr>
          <w:rFonts w:hint="eastAsia"/>
          <w:highlight w:val="none"/>
        </w:rPr>
        <w:t xml:space="preserve">第二章 </w:t>
      </w:r>
      <w:bookmarkEnd w:id="31"/>
      <w:r>
        <w:rPr>
          <w:rFonts w:hint="eastAsia"/>
          <w:highlight w:val="none"/>
        </w:rPr>
        <w:t>投标须知前附表</w:t>
      </w:r>
      <w:bookmarkEnd w:id="32"/>
    </w:p>
    <w:p>
      <w:pPr>
        <w:tabs>
          <w:tab w:val="clear" w:pos="426"/>
        </w:tabs>
        <w:spacing w:line="240" w:lineRule="auto"/>
        <w:ind w:right="-174" w:rightChars="-83"/>
        <w:rPr>
          <w:highlight w:val="none"/>
        </w:rPr>
      </w:pPr>
      <w:r>
        <w:rPr>
          <w:rFonts w:hint="eastAsia"/>
          <w:highlight w:val="none"/>
        </w:rPr>
        <w:t>说明：本表是对通用条款《投标人须知》条款的补充、修改和完善，如果有矛盾，应以本表为准。</w:t>
      </w:r>
    </w:p>
    <w:tbl>
      <w:tblPr>
        <w:tblStyle w:val="44"/>
        <w:tblW w:w="9570"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9"/>
        <w:gridCol w:w="693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序号</w:t>
            </w:r>
          </w:p>
        </w:tc>
        <w:tc>
          <w:tcPr>
            <w:tcW w:w="1889" w:type="dxa"/>
            <w:vAlign w:val="center"/>
          </w:tcPr>
          <w:p>
            <w:pPr>
              <w:tabs>
                <w:tab w:val="clear" w:pos="426"/>
              </w:tabs>
              <w:adjustRightInd/>
              <w:snapToGrid/>
              <w:spacing w:line="240" w:lineRule="exact"/>
              <w:jc w:val="center"/>
              <w:rPr>
                <w:highlight w:val="none"/>
              </w:rPr>
            </w:pPr>
            <w:r>
              <w:rPr>
                <w:rFonts w:hint="eastAsia"/>
                <w:highlight w:val="none"/>
              </w:rPr>
              <w:t>内容</w:t>
            </w:r>
          </w:p>
        </w:tc>
        <w:tc>
          <w:tcPr>
            <w:tcW w:w="6931" w:type="dxa"/>
            <w:vAlign w:val="center"/>
          </w:tcPr>
          <w:p>
            <w:pPr>
              <w:tabs>
                <w:tab w:val="clear" w:pos="426"/>
              </w:tabs>
              <w:adjustRightInd/>
              <w:snapToGrid/>
              <w:spacing w:line="240" w:lineRule="exact"/>
              <w:jc w:val="center"/>
              <w:rPr>
                <w:highlight w:val="none"/>
              </w:rPr>
            </w:pPr>
            <w:r>
              <w:rPr>
                <w:rFonts w:hint="eastAsia"/>
                <w:highlight w:val="none"/>
              </w:rPr>
              <w:t>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1</w:t>
            </w:r>
          </w:p>
        </w:tc>
        <w:tc>
          <w:tcPr>
            <w:tcW w:w="1889" w:type="dxa"/>
            <w:vAlign w:val="center"/>
          </w:tcPr>
          <w:p>
            <w:pPr>
              <w:tabs>
                <w:tab w:val="clear" w:pos="426"/>
              </w:tabs>
              <w:adjustRightInd/>
              <w:snapToGrid/>
              <w:spacing w:line="240" w:lineRule="exact"/>
              <w:rPr>
                <w:highlight w:val="none"/>
              </w:rPr>
            </w:pPr>
            <w:r>
              <w:rPr>
                <w:rFonts w:hint="eastAsia"/>
                <w:highlight w:val="none"/>
              </w:rPr>
              <w:t>联合体投标</w:t>
            </w:r>
          </w:p>
        </w:tc>
        <w:tc>
          <w:tcPr>
            <w:tcW w:w="6931" w:type="dxa"/>
            <w:vAlign w:val="center"/>
          </w:tcPr>
          <w:p>
            <w:pPr>
              <w:tabs>
                <w:tab w:val="clear" w:pos="426"/>
              </w:tabs>
              <w:adjustRightInd/>
              <w:snapToGrid/>
              <w:spacing w:line="240" w:lineRule="exact"/>
              <w:rPr>
                <w:highlight w:val="none"/>
              </w:rPr>
            </w:pPr>
            <w:r>
              <w:rPr>
                <w:rFonts w:hint="eastAsia"/>
                <w:highlight w:val="none"/>
              </w:rPr>
              <w:t>■不接受（招标文件中相关联合体规定均不适用）   □接受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2</w:t>
            </w:r>
          </w:p>
        </w:tc>
        <w:tc>
          <w:tcPr>
            <w:tcW w:w="1889" w:type="dxa"/>
            <w:vAlign w:val="center"/>
          </w:tcPr>
          <w:p>
            <w:pPr>
              <w:tabs>
                <w:tab w:val="clear" w:pos="426"/>
              </w:tabs>
              <w:adjustRightInd/>
              <w:snapToGrid/>
              <w:spacing w:line="240" w:lineRule="exact"/>
              <w:rPr>
                <w:highlight w:val="none"/>
              </w:rPr>
            </w:pPr>
            <w:r>
              <w:rPr>
                <w:highlight w:val="none"/>
              </w:rPr>
              <w:t>踏勘现场</w:t>
            </w:r>
          </w:p>
        </w:tc>
        <w:tc>
          <w:tcPr>
            <w:tcW w:w="6931" w:type="dxa"/>
            <w:vAlign w:val="center"/>
          </w:tcPr>
          <w:p>
            <w:pPr>
              <w:tabs>
                <w:tab w:val="clear" w:pos="426"/>
              </w:tabs>
              <w:adjustRightInd/>
              <w:snapToGrid/>
              <w:spacing w:line="240" w:lineRule="exact"/>
              <w:rPr>
                <w:highlight w:val="none"/>
              </w:rPr>
            </w:pPr>
            <w:r>
              <w:rPr>
                <w:rFonts w:hint="eastAsia"/>
                <w:highlight w:val="none"/>
              </w:rPr>
              <w:t>■不组织。</w:t>
            </w:r>
          </w:p>
          <w:p>
            <w:pPr>
              <w:tabs>
                <w:tab w:val="clear" w:pos="426"/>
              </w:tabs>
              <w:adjustRightInd/>
              <w:snapToGrid/>
              <w:spacing w:line="240" w:lineRule="exact"/>
              <w:rPr>
                <w:highlight w:val="none"/>
              </w:rPr>
            </w:pPr>
            <w:r>
              <w:rPr>
                <w:rFonts w:hint="eastAsia"/>
                <w:highlight w:val="none"/>
              </w:rPr>
              <w:t>□组织。踏勘时间：</w:t>
            </w:r>
            <w:r>
              <w:rPr>
                <w:rFonts w:hint="eastAsia"/>
                <w:highlight w:val="none"/>
                <w:u w:val="single"/>
              </w:rPr>
              <w:t xml:space="preserve">      年    月   日    时    分</w:t>
            </w:r>
          </w:p>
          <w:p>
            <w:pPr>
              <w:tabs>
                <w:tab w:val="clear" w:pos="426"/>
              </w:tabs>
              <w:adjustRightInd/>
              <w:snapToGrid/>
              <w:spacing w:line="240" w:lineRule="exact"/>
              <w:rPr>
                <w:highlight w:val="none"/>
              </w:rPr>
            </w:pPr>
            <w:r>
              <w:rPr>
                <w:rFonts w:hint="eastAsia"/>
                <w:highlight w:val="none"/>
              </w:rPr>
              <w:t xml:space="preserve">        集合地点：</w:t>
            </w:r>
            <w:r>
              <w:rPr>
                <w:rFonts w:hint="eastAsia"/>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3</w:t>
            </w:r>
          </w:p>
        </w:tc>
        <w:tc>
          <w:tcPr>
            <w:tcW w:w="1889" w:type="dxa"/>
            <w:vAlign w:val="center"/>
          </w:tcPr>
          <w:p>
            <w:pPr>
              <w:tabs>
                <w:tab w:val="clear" w:pos="426"/>
              </w:tabs>
              <w:adjustRightInd/>
              <w:snapToGrid/>
              <w:spacing w:line="240" w:lineRule="exact"/>
              <w:rPr>
                <w:highlight w:val="none"/>
              </w:rPr>
            </w:pPr>
            <w:r>
              <w:rPr>
                <w:rFonts w:hint="eastAsia"/>
                <w:highlight w:val="none"/>
              </w:rPr>
              <w:t>投标人提出疑问截止时间</w:t>
            </w:r>
          </w:p>
        </w:tc>
        <w:tc>
          <w:tcPr>
            <w:tcW w:w="6931" w:type="dxa"/>
            <w:vAlign w:val="center"/>
          </w:tcPr>
          <w:p>
            <w:pPr>
              <w:tabs>
                <w:tab w:val="clear" w:pos="426"/>
              </w:tabs>
              <w:adjustRightInd/>
              <w:snapToGrid/>
              <w:spacing w:line="240" w:lineRule="exact"/>
              <w:rPr>
                <w:highlight w:val="none"/>
              </w:rPr>
            </w:pPr>
            <w:r>
              <w:rPr>
                <w:rFonts w:hint="eastAsia"/>
                <w:highlight w:val="none"/>
              </w:rPr>
              <w:t>采购文件发布之日起第</w:t>
            </w:r>
            <w:r>
              <w:rPr>
                <w:rFonts w:hint="eastAsia"/>
                <w:highlight w:val="none"/>
                <w:lang w:val="en-US" w:eastAsia="zh-CN"/>
              </w:rPr>
              <w:t>7</w:t>
            </w:r>
            <w:r>
              <w:rPr>
                <w:highlight w:val="none"/>
              </w:rPr>
              <w:t>个工作日17：</w:t>
            </w:r>
            <w:r>
              <w:rPr>
                <w:rFonts w:hint="eastAsia"/>
                <w:highlight w:val="none"/>
              </w:rPr>
              <w:t>3</w:t>
            </w:r>
            <w:r>
              <w:rPr>
                <w:highlight w:val="none"/>
              </w:rPr>
              <w:t>0点前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4</w:t>
            </w:r>
          </w:p>
        </w:tc>
        <w:tc>
          <w:tcPr>
            <w:tcW w:w="1889" w:type="dxa"/>
            <w:vAlign w:val="center"/>
          </w:tcPr>
          <w:p>
            <w:pPr>
              <w:tabs>
                <w:tab w:val="clear" w:pos="426"/>
              </w:tabs>
              <w:adjustRightInd/>
              <w:snapToGrid/>
              <w:spacing w:line="240" w:lineRule="exact"/>
              <w:rPr>
                <w:highlight w:val="none"/>
              </w:rPr>
            </w:pPr>
            <w:r>
              <w:rPr>
                <w:rFonts w:hint="eastAsia"/>
                <w:highlight w:val="none"/>
              </w:rPr>
              <w:t>澄清或修补、答疑的期限</w:t>
            </w:r>
          </w:p>
        </w:tc>
        <w:tc>
          <w:tcPr>
            <w:tcW w:w="6931" w:type="dxa"/>
            <w:vAlign w:val="center"/>
          </w:tcPr>
          <w:p>
            <w:pPr>
              <w:tabs>
                <w:tab w:val="clear" w:pos="426"/>
              </w:tabs>
              <w:adjustRightInd/>
              <w:snapToGrid/>
              <w:spacing w:line="240" w:lineRule="exact"/>
              <w:rPr>
                <w:highlight w:val="none"/>
              </w:rPr>
            </w:pPr>
            <w:r>
              <w:rPr>
                <w:rFonts w:hint="eastAsia"/>
                <w:highlight w:val="none"/>
              </w:rPr>
              <w:t>截标3</w:t>
            </w:r>
            <w:r>
              <w:rPr>
                <w:highlight w:val="none"/>
              </w:rPr>
              <w:t>日</w:t>
            </w:r>
            <w:r>
              <w:rPr>
                <w:rFonts w:hint="eastAsia"/>
                <w:highlight w:val="none"/>
              </w:rPr>
              <w:t>前</w:t>
            </w:r>
            <w:r>
              <w:rPr>
                <w:rFonts w:hint="eastAsia"/>
                <w:highlight w:val="none"/>
                <w:u w:val="single"/>
              </w:rPr>
              <w:t>17：30</w:t>
            </w:r>
            <w:r>
              <w:rPr>
                <w:rFonts w:hint="eastAsia"/>
                <w:highlight w:val="none"/>
              </w:rPr>
              <w:t>点前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5</w:t>
            </w:r>
          </w:p>
        </w:tc>
        <w:tc>
          <w:tcPr>
            <w:tcW w:w="1889" w:type="dxa"/>
            <w:vAlign w:val="center"/>
          </w:tcPr>
          <w:p>
            <w:pPr>
              <w:tabs>
                <w:tab w:val="clear" w:pos="426"/>
              </w:tabs>
              <w:adjustRightInd/>
              <w:snapToGrid/>
              <w:spacing w:line="240" w:lineRule="exact"/>
              <w:rPr>
                <w:highlight w:val="none"/>
              </w:rPr>
            </w:pPr>
            <w:r>
              <w:rPr>
                <w:rFonts w:hint="eastAsia"/>
                <w:highlight w:val="none"/>
              </w:rPr>
              <w:t>招标代理</w:t>
            </w:r>
            <w:r>
              <w:rPr>
                <w:highlight w:val="none"/>
              </w:rPr>
              <w:t>服务费</w:t>
            </w:r>
          </w:p>
        </w:tc>
        <w:tc>
          <w:tcPr>
            <w:tcW w:w="6931" w:type="dxa"/>
            <w:vAlign w:val="center"/>
          </w:tcPr>
          <w:p>
            <w:pPr>
              <w:tabs>
                <w:tab w:val="clear" w:pos="426"/>
              </w:tabs>
              <w:adjustRightInd/>
              <w:snapToGrid/>
              <w:spacing w:line="240" w:lineRule="exact"/>
              <w:rPr>
                <w:highlight w:val="none"/>
              </w:rPr>
            </w:pPr>
            <w:r>
              <w:rPr>
                <w:rFonts w:hint="eastAsia"/>
                <w:highlight w:val="none"/>
                <w:lang w:eastAsia="zh-CN"/>
              </w:rPr>
              <w:t>本项目招标代理费共计</w:t>
            </w:r>
            <w:r>
              <w:rPr>
                <w:rFonts w:hint="eastAsia"/>
                <w:highlight w:val="none"/>
                <w:lang w:val="en-US" w:eastAsia="zh-CN"/>
              </w:rPr>
              <w:t>6万元，由正选单位平均分摊支付</w:t>
            </w:r>
            <w:r>
              <w:rPr>
                <w:highlight w:val="none"/>
              </w:rPr>
              <w:t>。</w:t>
            </w:r>
            <w:r>
              <w:rPr>
                <w:rFonts w:hint="eastAsia"/>
                <w:highlight w:val="none"/>
                <w:lang w:eastAsia="zh-CN"/>
              </w:rPr>
              <w:t>招标代理费</w:t>
            </w:r>
            <w:r>
              <w:rPr>
                <w:rFonts w:hint="eastAsia"/>
                <w:highlight w:val="none"/>
              </w:rPr>
              <w:t>采用转账的方式，账户信息如下：</w:t>
            </w:r>
          </w:p>
          <w:p>
            <w:pPr>
              <w:tabs>
                <w:tab w:val="clear" w:pos="426"/>
              </w:tabs>
              <w:adjustRightInd/>
              <w:snapToGrid/>
              <w:spacing w:line="240" w:lineRule="exact"/>
              <w:rPr>
                <w:highlight w:val="none"/>
              </w:rPr>
            </w:pPr>
            <w:r>
              <w:rPr>
                <w:rFonts w:hint="eastAsia"/>
                <w:highlight w:val="none"/>
              </w:rPr>
              <w:t>户名：深圳市深水水务咨询有限公司</w:t>
            </w:r>
          </w:p>
          <w:p>
            <w:pPr>
              <w:tabs>
                <w:tab w:val="clear" w:pos="426"/>
              </w:tabs>
              <w:adjustRightInd/>
              <w:snapToGrid/>
              <w:spacing w:line="240" w:lineRule="exact"/>
              <w:rPr>
                <w:highlight w:val="none"/>
              </w:rPr>
            </w:pPr>
            <w:r>
              <w:rPr>
                <w:rFonts w:hint="eastAsia"/>
                <w:highlight w:val="none"/>
              </w:rPr>
              <w:t>账号：</w:t>
            </w:r>
            <w:r>
              <w:rPr>
                <w:highlight w:val="none"/>
              </w:rPr>
              <w:t>4000021219200366130</w:t>
            </w:r>
          </w:p>
          <w:p>
            <w:pPr>
              <w:tabs>
                <w:tab w:val="clear" w:pos="426"/>
              </w:tabs>
              <w:adjustRightInd/>
              <w:snapToGrid/>
              <w:spacing w:line="240" w:lineRule="exact"/>
              <w:rPr>
                <w:highlight w:val="none"/>
              </w:rPr>
            </w:pPr>
            <w:r>
              <w:rPr>
                <w:rFonts w:hint="eastAsia"/>
                <w:highlight w:val="none"/>
              </w:rPr>
              <w:t>开户行：中国工商银行深圳红围支行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6</w:t>
            </w:r>
          </w:p>
        </w:tc>
        <w:tc>
          <w:tcPr>
            <w:tcW w:w="1889" w:type="dxa"/>
            <w:vAlign w:val="center"/>
          </w:tcPr>
          <w:p>
            <w:pPr>
              <w:tabs>
                <w:tab w:val="clear" w:pos="426"/>
              </w:tabs>
              <w:adjustRightInd/>
              <w:snapToGrid/>
              <w:spacing w:line="240" w:lineRule="exact"/>
              <w:rPr>
                <w:highlight w:val="none"/>
              </w:rPr>
            </w:pPr>
            <w:r>
              <w:rPr>
                <w:highlight w:val="none"/>
              </w:rPr>
              <w:t>投标</w:t>
            </w:r>
            <w:r>
              <w:rPr>
                <w:rFonts w:hint="eastAsia"/>
                <w:highlight w:val="none"/>
              </w:rPr>
              <w:t>担保</w:t>
            </w:r>
          </w:p>
        </w:tc>
        <w:tc>
          <w:tcPr>
            <w:tcW w:w="6931" w:type="dxa"/>
            <w:vAlign w:val="center"/>
          </w:tcPr>
          <w:p>
            <w:pPr>
              <w:spacing w:line="240" w:lineRule="exact"/>
              <w:rPr>
                <w:highlight w:val="none"/>
              </w:rPr>
            </w:pPr>
            <w:r>
              <w:rPr>
                <w:rFonts w:hint="eastAsia"/>
                <w:highlight w:val="none"/>
              </w:rPr>
              <w:t>根据《</w:t>
            </w:r>
            <w:r>
              <w:rPr>
                <w:rFonts w:hint="eastAsia"/>
                <w:highlight w:val="none"/>
                <w:lang w:eastAsia="zh-CN"/>
              </w:rPr>
              <w:t>深圳市财政局关于明确政府采购保证金管理工作的通知</w:t>
            </w:r>
            <w:r>
              <w:rPr>
                <w:rFonts w:hint="eastAsia"/>
                <w:highlight w:val="none"/>
              </w:rPr>
              <w:t>》深财购﹝201</w:t>
            </w:r>
            <w:r>
              <w:rPr>
                <w:rFonts w:hint="eastAsia"/>
                <w:highlight w:val="none"/>
                <w:lang w:val="en-US" w:eastAsia="zh-CN"/>
              </w:rPr>
              <w:t>9</w:t>
            </w:r>
            <w:r>
              <w:rPr>
                <w:rFonts w:hint="eastAsia"/>
                <w:highlight w:val="none"/>
              </w:rPr>
              <w:t>﹞</w:t>
            </w:r>
            <w:r>
              <w:rPr>
                <w:rFonts w:hint="eastAsia"/>
                <w:highlight w:val="none"/>
                <w:lang w:val="en-US" w:eastAsia="zh-CN"/>
              </w:rPr>
              <w:t>42</w:t>
            </w:r>
            <w:r>
              <w:rPr>
                <w:rFonts w:hint="eastAsia"/>
                <w:highlight w:val="none"/>
              </w:rPr>
              <w:t>号文：</w:t>
            </w:r>
          </w:p>
          <w:p>
            <w:pPr>
              <w:numPr>
                <w:ilvl w:val="0"/>
                <w:numId w:val="25"/>
              </w:numPr>
              <w:tabs>
                <w:tab w:val="clear" w:pos="426"/>
              </w:tabs>
              <w:adjustRightInd/>
              <w:snapToGrid/>
              <w:spacing w:line="240" w:lineRule="exact"/>
              <w:rPr>
                <w:rFonts w:hint="eastAsia"/>
                <w:highlight w:val="none"/>
                <w:lang w:eastAsia="zh-CN"/>
              </w:rPr>
            </w:pPr>
            <w:r>
              <w:rPr>
                <w:rFonts w:hint="eastAsia"/>
                <w:highlight w:val="none"/>
                <w:lang w:eastAsia="zh-CN"/>
              </w:rPr>
              <w:t>本项目不收取投标保证金；</w:t>
            </w:r>
          </w:p>
          <w:p>
            <w:pPr>
              <w:shd w:val="clear" w:color="auto" w:fill="FFFFFF"/>
              <w:spacing w:line="240" w:lineRule="exact"/>
              <w:rPr>
                <w:rFonts w:hint="eastAsia"/>
                <w:highlight w:val="none"/>
              </w:rPr>
            </w:pPr>
            <w:r>
              <w:rPr>
                <w:rFonts w:hint="eastAsia" w:ascii="宋体" w:hAnsi="宋体" w:eastAsia="宋体" w:cs="宋体"/>
                <w:b w:val="0"/>
                <w:bCs w:val="0"/>
                <w:sz w:val="21"/>
                <w:szCs w:val="24"/>
                <w:highlight w:val="none"/>
                <w:lang w:val="en-US" w:eastAsia="zh-CN" w:bidi="ar-SA"/>
              </w:rPr>
              <w:t>（2）</w:t>
            </w:r>
            <w:r>
              <w:rPr>
                <w:rFonts w:hint="eastAsia"/>
                <w:highlight w:val="none"/>
                <w:lang w:val="en-US" w:eastAsia="zh-CN"/>
              </w:rPr>
              <w:t xml:space="preserve">若供应商在政府采购活动中出现《深圳经济特区政府采购条例实施细则》第八十四条规定情形的，采购人或招标机构可将有关情况报同级财 </w:t>
            </w:r>
          </w:p>
          <w:p>
            <w:pPr>
              <w:tabs>
                <w:tab w:val="clear" w:pos="426"/>
              </w:tabs>
              <w:adjustRightInd/>
              <w:snapToGrid/>
              <w:spacing w:line="240" w:lineRule="exact"/>
              <w:rPr>
                <w:highlight w:val="none"/>
              </w:rPr>
            </w:pPr>
            <w:r>
              <w:rPr>
                <w:rFonts w:hint="eastAsia"/>
                <w:highlight w:val="none"/>
                <w:lang w:val="en-US" w:eastAsia="zh-CN"/>
              </w:rPr>
              <w:t>政部门，由财政部门根据实际情况记入供应商诚信档案，予以通报。市、区财政部门将加大对违法违规供应商的惩戒力度，实施联合惩戒。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7</w:t>
            </w:r>
          </w:p>
        </w:tc>
        <w:tc>
          <w:tcPr>
            <w:tcW w:w="1889" w:type="dxa"/>
            <w:vAlign w:val="center"/>
          </w:tcPr>
          <w:p>
            <w:pPr>
              <w:tabs>
                <w:tab w:val="clear" w:pos="426"/>
              </w:tabs>
              <w:adjustRightInd/>
              <w:snapToGrid/>
              <w:spacing w:line="240" w:lineRule="exact"/>
              <w:rPr>
                <w:highlight w:val="none"/>
              </w:rPr>
            </w:pPr>
            <w:r>
              <w:rPr>
                <w:highlight w:val="none"/>
              </w:rPr>
              <w:t>投标有效期</w:t>
            </w:r>
          </w:p>
        </w:tc>
        <w:tc>
          <w:tcPr>
            <w:tcW w:w="6931" w:type="dxa"/>
            <w:vAlign w:val="center"/>
          </w:tcPr>
          <w:p>
            <w:pPr>
              <w:tabs>
                <w:tab w:val="clear" w:pos="426"/>
              </w:tabs>
              <w:adjustRightInd/>
              <w:snapToGrid/>
              <w:spacing w:line="240" w:lineRule="exact"/>
              <w:rPr>
                <w:highlight w:val="none"/>
              </w:rPr>
            </w:pPr>
            <w:r>
              <w:rPr>
                <w:rFonts w:hint="eastAsia"/>
                <w:highlight w:val="none"/>
              </w:rPr>
              <w:t>90</w:t>
            </w:r>
            <w:r>
              <w:rPr>
                <w:highlight w:val="none"/>
              </w:rPr>
              <w:t>日历天（</w:t>
            </w:r>
            <w:r>
              <w:rPr>
                <w:rFonts w:hint="eastAsia"/>
                <w:highlight w:val="none"/>
              </w:rPr>
              <w:t>从投标截止之日算起</w:t>
            </w:r>
            <w:r>
              <w:rPr>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8</w:t>
            </w:r>
          </w:p>
        </w:tc>
        <w:tc>
          <w:tcPr>
            <w:tcW w:w="1889" w:type="dxa"/>
            <w:vAlign w:val="center"/>
          </w:tcPr>
          <w:p>
            <w:pPr>
              <w:tabs>
                <w:tab w:val="clear" w:pos="426"/>
              </w:tabs>
              <w:adjustRightInd/>
              <w:snapToGrid/>
              <w:spacing w:line="240" w:lineRule="exact"/>
              <w:rPr>
                <w:highlight w:val="none"/>
              </w:rPr>
            </w:pPr>
            <w:r>
              <w:rPr>
                <w:rFonts w:hint="eastAsia"/>
                <w:highlight w:val="none"/>
              </w:rPr>
              <w:t>替代方案</w:t>
            </w:r>
          </w:p>
        </w:tc>
        <w:tc>
          <w:tcPr>
            <w:tcW w:w="6931" w:type="dxa"/>
            <w:vAlign w:val="center"/>
          </w:tcPr>
          <w:p>
            <w:pPr>
              <w:tabs>
                <w:tab w:val="clear" w:pos="426"/>
              </w:tabs>
              <w:adjustRightInd/>
              <w:snapToGrid/>
              <w:spacing w:line="240" w:lineRule="exact"/>
              <w:rPr>
                <w:highlight w:val="none"/>
              </w:rPr>
            </w:pPr>
            <w:r>
              <w:rPr>
                <w:rFonts w:hint="eastAsia"/>
                <w:highlight w:val="none"/>
              </w:rPr>
              <w:t>■不允许         □允许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9</w:t>
            </w:r>
          </w:p>
        </w:tc>
        <w:tc>
          <w:tcPr>
            <w:tcW w:w="1889" w:type="dxa"/>
            <w:vAlign w:val="center"/>
          </w:tcPr>
          <w:p>
            <w:pPr>
              <w:tabs>
                <w:tab w:val="clear" w:pos="426"/>
              </w:tabs>
              <w:adjustRightInd/>
              <w:snapToGrid/>
              <w:spacing w:line="240" w:lineRule="exact"/>
              <w:rPr>
                <w:highlight w:val="none"/>
              </w:rPr>
            </w:pPr>
            <w:r>
              <w:rPr>
                <w:rFonts w:hint="eastAsia"/>
                <w:highlight w:val="none"/>
              </w:rPr>
              <w:t>评定分离</w:t>
            </w:r>
          </w:p>
        </w:tc>
        <w:tc>
          <w:tcPr>
            <w:tcW w:w="6931" w:type="dxa"/>
            <w:vAlign w:val="center"/>
          </w:tcPr>
          <w:p>
            <w:pPr>
              <w:tabs>
                <w:tab w:val="clear" w:pos="426"/>
              </w:tabs>
              <w:adjustRightInd/>
              <w:snapToGrid/>
              <w:spacing w:line="240" w:lineRule="exact"/>
              <w:rPr>
                <w:highlight w:val="none"/>
              </w:rPr>
            </w:pPr>
            <w:r>
              <w:rPr>
                <w:rFonts w:hint="eastAsia"/>
                <w:highlight w:val="none"/>
              </w:rPr>
              <w:t xml:space="preserve">□是             </w:t>
            </w:r>
            <w:r>
              <w:rPr>
                <w:highlight w:val="none"/>
              </w:rPr>
              <w:t>■</w:t>
            </w:r>
            <w:r>
              <w:rPr>
                <w:rFonts w:hint="eastAsia"/>
                <w:highlight w:val="none"/>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10</w:t>
            </w:r>
          </w:p>
        </w:tc>
        <w:tc>
          <w:tcPr>
            <w:tcW w:w="1889" w:type="dxa"/>
            <w:vAlign w:val="center"/>
          </w:tcPr>
          <w:p>
            <w:pPr>
              <w:tabs>
                <w:tab w:val="clear" w:pos="426"/>
              </w:tabs>
              <w:adjustRightInd/>
              <w:snapToGrid/>
              <w:spacing w:line="240" w:lineRule="exact"/>
              <w:rPr>
                <w:highlight w:val="none"/>
              </w:rPr>
            </w:pPr>
            <w:r>
              <w:rPr>
                <w:highlight w:val="none"/>
              </w:rPr>
              <w:t>评标</w:t>
            </w:r>
            <w:r>
              <w:rPr>
                <w:rFonts w:hint="eastAsia"/>
                <w:highlight w:val="none"/>
              </w:rPr>
              <w:t>方</w:t>
            </w:r>
            <w:r>
              <w:rPr>
                <w:highlight w:val="none"/>
              </w:rPr>
              <w:t>法</w:t>
            </w:r>
          </w:p>
        </w:tc>
        <w:tc>
          <w:tcPr>
            <w:tcW w:w="6931" w:type="dxa"/>
            <w:vAlign w:val="center"/>
          </w:tcPr>
          <w:p>
            <w:pPr>
              <w:tabs>
                <w:tab w:val="clear" w:pos="426"/>
              </w:tabs>
              <w:adjustRightInd/>
              <w:snapToGrid/>
              <w:spacing w:line="240" w:lineRule="exact"/>
              <w:rPr>
                <w:color w:val="000000"/>
                <w:szCs w:val="21"/>
                <w:highlight w:val="none"/>
              </w:rPr>
            </w:pPr>
            <w:r>
              <w:rPr>
                <w:highlight w:val="none"/>
              </w:rPr>
              <w:t>■</w:t>
            </w:r>
            <w:r>
              <w:rPr>
                <w:rFonts w:hint="eastAsia"/>
                <w:color w:val="000000"/>
                <w:szCs w:val="21"/>
                <w:highlight w:val="none"/>
              </w:rPr>
              <w:t xml:space="preserve">综合评分法     </w:t>
            </w:r>
            <w:r>
              <w:rPr>
                <w:rFonts w:hint="eastAsia"/>
                <w:highlight w:val="none"/>
              </w:rPr>
              <w:t>□</w:t>
            </w:r>
            <w:r>
              <w:rPr>
                <w:rFonts w:hint="eastAsia"/>
                <w:color w:val="000000"/>
                <w:szCs w:val="21"/>
                <w:highlight w:val="none"/>
              </w:rPr>
              <w:t xml:space="preserve">定性评审法      </w:t>
            </w:r>
            <w:r>
              <w:rPr>
                <w:rFonts w:hint="eastAsia"/>
                <w:highlight w:val="none"/>
              </w:rPr>
              <w:t>□</w:t>
            </w:r>
            <w:r>
              <w:rPr>
                <w:rFonts w:hint="eastAsia"/>
                <w:color w:val="000000"/>
                <w:szCs w:val="21"/>
                <w:highlight w:val="none"/>
              </w:rPr>
              <w:t>最低价法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11</w:t>
            </w:r>
          </w:p>
        </w:tc>
        <w:tc>
          <w:tcPr>
            <w:tcW w:w="1889" w:type="dxa"/>
            <w:vAlign w:val="center"/>
          </w:tcPr>
          <w:p>
            <w:pPr>
              <w:tabs>
                <w:tab w:val="clear" w:pos="426"/>
              </w:tabs>
              <w:adjustRightInd/>
              <w:snapToGrid/>
              <w:spacing w:line="240" w:lineRule="exact"/>
              <w:rPr>
                <w:highlight w:val="none"/>
              </w:rPr>
            </w:pPr>
            <w:r>
              <w:rPr>
                <w:rFonts w:hint="eastAsia"/>
                <w:highlight w:val="none"/>
              </w:rPr>
              <w:t>定</w:t>
            </w:r>
            <w:r>
              <w:rPr>
                <w:highlight w:val="none"/>
              </w:rPr>
              <w:t>标</w:t>
            </w:r>
            <w:r>
              <w:rPr>
                <w:rFonts w:hint="eastAsia"/>
                <w:highlight w:val="none"/>
              </w:rPr>
              <w:t>方</w:t>
            </w:r>
            <w:r>
              <w:rPr>
                <w:highlight w:val="none"/>
              </w:rPr>
              <w:t>法</w:t>
            </w:r>
          </w:p>
        </w:tc>
        <w:tc>
          <w:tcPr>
            <w:tcW w:w="6931" w:type="dxa"/>
            <w:vAlign w:val="center"/>
          </w:tcPr>
          <w:p>
            <w:pPr>
              <w:tabs>
                <w:tab w:val="clear" w:pos="426"/>
              </w:tabs>
              <w:adjustRightInd/>
              <w:snapToGrid/>
              <w:spacing w:line="240" w:lineRule="exact"/>
              <w:rPr>
                <w:color w:val="000000"/>
                <w:szCs w:val="21"/>
                <w:highlight w:val="none"/>
              </w:rPr>
            </w:pPr>
            <w:r>
              <w:rPr>
                <w:rFonts w:hint="eastAsia"/>
                <w:highlight w:val="none"/>
              </w:rPr>
              <w:t>□</w:t>
            </w:r>
            <w:r>
              <w:rPr>
                <w:rFonts w:hint="eastAsia"/>
                <w:color w:val="000000"/>
                <w:szCs w:val="21"/>
                <w:highlight w:val="none"/>
              </w:rPr>
              <w:t xml:space="preserve">自定法         </w:t>
            </w:r>
            <w:r>
              <w:rPr>
                <w:rFonts w:hint="eastAsia"/>
                <w:highlight w:val="none"/>
              </w:rPr>
              <w:t>□</w:t>
            </w:r>
            <w:r>
              <w:rPr>
                <w:rFonts w:hint="eastAsia"/>
                <w:color w:val="000000"/>
                <w:szCs w:val="21"/>
                <w:highlight w:val="none"/>
              </w:rPr>
              <w:t xml:space="preserve">抽签法          </w:t>
            </w:r>
            <w:r>
              <w:rPr>
                <w:rFonts w:hint="eastAsia"/>
                <w:highlight w:val="none"/>
              </w:rPr>
              <w:t>□</w:t>
            </w:r>
            <w:r>
              <w:rPr>
                <w:rFonts w:hint="eastAsia"/>
                <w:color w:val="000000"/>
                <w:szCs w:val="21"/>
                <w:highlight w:val="none"/>
              </w:rPr>
              <w:t>竞价法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12</w:t>
            </w:r>
          </w:p>
        </w:tc>
        <w:tc>
          <w:tcPr>
            <w:tcW w:w="1889" w:type="dxa"/>
            <w:vAlign w:val="center"/>
          </w:tcPr>
          <w:p>
            <w:pPr>
              <w:tabs>
                <w:tab w:val="clear" w:pos="426"/>
              </w:tabs>
              <w:adjustRightInd/>
              <w:snapToGrid/>
              <w:spacing w:line="240" w:lineRule="exact"/>
              <w:rPr>
                <w:highlight w:val="none"/>
              </w:rPr>
            </w:pPr>
            <w:r>
              <w:rPr>
                <w:highlight w:val="none"/>
              </w:rPr>
              <w:t>履约保证金</w:t>
            </w:r>
          </w:p>
        </w:tc>
        <w:tc>
          <w:tcPr>
            <w:tcW w:w="6931" w:type="dxa"/>
            <w:vAlign w:val="center"/>
          </w:tcPr>
          <w:p>
            <w:pPr>
              <w:tabs>
                <w:tab w:val="clear" w:pos="426"/>
              </w:tabs>
              <w:adjustRightInd/>
              <w:snapToGrid/>
              <w:spacing w:line="240" w:lineRule="exact"/>
              <w:rPr>
                <w:highlight w:val="none"/>
              </w:rPr>
            </w:pPr>
            <w:r>
              <w:rPr>
                <w:rFonts w:hint="eastAsia"/>
                <w:highlight w:val="none"/>
              </w:rPr>
              <w:t>■不提交         □提交</w:t>
            </w:r>
          </w:p>
          <w:p>
            <w:pPr>
              <w:tabs>
                <w:tab w:val="clear" w:pos="426"/>
              </w:tabs>
              <w:adjustRightInd/>
              <w:snapToGrid/>
              <w:spacing w:line="240" w:lineRule="exact"/>
              <w:rPr>
                <w:highlight w:val="none"/>
              </w:rPr>
            </w:pPr>
            <w:r>
              <w:rPr>
                <w:rFonts w:hint="eastAsia"/>
                <w:highlight w:val="none"/>
              </w:rPr>
              <w:t>担保金额：为中标价的</w:t>
            </w:r>
            <w:r>
              <w:rPr>
                <w:rFonts w:hint="eastAsia"/>
                <w:highlight w:val="none"/>
                <w:u w:val="single"/>
              </w:rPr>
              <w:t xml:space="preserve"> / </w:t>
            </w:r>
            <w:r>
              <w:rPr>
                <w:rFonts w:hint="eastAsia"/>
                <w:highlight w:val="none"/>
              </w:rPr>
              <w:t>% 或</w:t>
            </w:r>
            <w:r>
              <w:rPr>
                <w:rFonts w:hint="eastAsia"/>
                <w:highlight w:val="none"/>
                <w:u w:val="single"/>
              </w:rPr>
              <w:t xml:space="preserve"> / </w:t>
            </w:r>
            <w:r>
              <w:rPr>
                <w:rFonts w:hint="eastAsia"/>
                <w:highlight w:val="none"/>
              </w:rPr>
              <w:t>万元</w:t>
            </w:r>
          </w:p>
          <w:p>
            <w:pPr>
              <w:tabs>
                <w:tab w:val="clear" w:pos="426"/>
              </w:tabs>
              <w:adjustRightInd/>
              <w:snapToGrid/>
              <w:spacing w:line="240" w:lineRule="exact"/>
              <w:rPr>
                <w:highlight w:val="none"/>
              </w:rPr>
            </w:pPr>
            <w:r>
              <w:rPr>
                <w:rFonts w:hint="eastAsia"/>
                <w:highlight w:val="none"/>
              </w:rPr>
              <w:t>担保提交时间：收到中标通知书后，并在签订合同前提交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13</w:t>
            </w:r>
          </w:p>
        </w:tc>
        <w:tc>
          <w:tcPr>
            <w:tcW w:w="1889" w:type="dxa"/>
            <w:vAlign w:val="center"/>
          </w:tcPr>
          <w:p>
            <w:pPr>
              <w:tabs>
                <w:tab w:val="clear" w:pos="426"/>
              </w:tabs>
              <w:adjustRightInd/>
              <w:snapToGrid/>
              <w:spacing w:line="240" w:lineRule="exact"/>
              <w:rPr>
                <w:highlight w:val="none"/>
              </w:rPr>
            </w:pPr>
            <w:r>
              <w:rPr>
                <w:highlight w:val="none"/>
              </w:rPr>
              <w:t>投标文件份数</w:t>
            </w:r>
          </w:p>
        </w:tc>
        <w:tc>
          <w:tcPr>
            <w:tcW w:w="6931" w:type="dxa"/>
            <w:vAlign w:val="center"/>
          </w:tcPr>
          <w:p>
            <w:pPr>
              <w:tabs>
                <w:tab w:val="clear" w:pos="426"/>
              </w:tabs>
              <w:adjustRightInd/>
              <w:snapToGrid/>
              <w:spacing w:line="240" w:lineRule="exact"/>
              <w:rPr>
                <w:highlight w:val="none"/>
              </w:rPr>
            </w:pPr>
            <w:r>
              <w:rPr>
                <w:rFonts w:hint="eastAsia"/>
                <w:highlight w:val="none"/>
              </w:rPr>
              <w:t>（1）开标信封一份；</w:t>
            </w:r>
          </w:p>
          <w:p>
            <w:pPr>
              <w:tabs>
                <w:tab w:val="clear" w:pos="426"/>
              </w:tabs>
              <w:adjustRightInd/>
              <w:snapToGrid/>
              <w:spacing w:line="240" w:lineRule="exact"/>
              <w:rPr>
                <w:highlight w:val="none"/>
              </w:rPr>
            </w:pPr>
            <w:r>
              <w:rPr>
                <w:rFonts w:hint="eastAsia"/>
                <w:highlight w:val="none"/>
              </w:rPr>
              <w:t>（2）纸质投标文件</w:t>
            </w:r>
            <w:r>
              <w:rPr>
                <w:highlight w:val="none"/>
                <w:u w:val="single"/>
              </w:rPr>
              <w:t xml:space="preserve">一 </w:t>
            </w:r>
            <w:r>
              <w:rPr>
                <w:highlight w:val="none"/>
              </w:rPr>
              <w:t xml:space="preserve">正本， </w:t>
            </w:r>
            <w:r>
              <w:rPr>
                <w:highlight w:val="none"/>
                <w:u w:val="single"/>
              </w:rPr>
              <w:t xml:space="preserve"> 四 </w:t>
            </w:r>
            <w:r>
              <w:rPr>
                <w:highlight w:val="none"/>
              </w:rPr>
              <w:t>副本</w:t>
            </w:r>
            <w:r>
              <w:rPr>
                <w:rFonts w:hint="eastAsia"/>
                <w:highlight w:val="none"/>
              </w:rPr>
              <w:t>，建议胶装，统一密封在一个外密封包里。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14</w:t>
            </w:r>
          </w:p>
        </w:tc>
        <w:tc>
          <w:tcPr>
            <w:tcW w:w="1889" w:type="dxa"/>
            <w:vAlign w:val="center"/>
          </w:tcPr>
          <w:p>
            <w:pPr>
              <w:tabs>
                <w:tab w:val="clear" w:pos="426"/>
              </w:tabs>
              <w:adjustRightInd/>
              <w:snapToGrid/>
              <w:spacing w:line="240" w:lineRule="exact"/>
              <w:rPr>
                <w:highlight w:val="none"/>
              </w:rPr>
            </w:pPr>
            <w:r>
              <w:rPr>
                <w:rFonts w:hint="eastAsia"/>
                <w:highlight w:val="none"/>
              </w:rPr>
              <w:t>投标文件电子版</w:t>
            </w:r>
          </w:p>
        </w:tc>
        <w:tc>
          <w:tcPr>
            <w:tcW w:w="6931" w:type="dxa"/>
            <w:vAlign w:val="center"/>
          </w:tcPr>
          <w:p>
            <w:pPr>
              <w:tabs>
                <w:tab w:val="clear" w:pos="426"/>
              </w:tabs>
              <w:adjustRightInd/>
              <w:snapToGrid/>
              <w:spacing w:line="240" w:lineRule="exact"/>
              <w:rPr>
                <w:highlight w:val="none"/>
              </w:rPr>
            </w:pPr>
            <w:r>
              <w:rPr>
                <w:rFonts w:hint="eastAsia"/>
                <w:highlight w:val="none"/>
              </w:rPr>
              <w:t>电子光盘一张（投标文件正本盖章后的彩色扫描件，</w:t>
            </w:r>
            <w:r>
              <w:rPr>
                <w:highlight w:val="none"/>
              </w:rPr>
              <w:t>PDF格式）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15</w:t>
            </w:r>
          </w:p>
        </w:tc>
        <w:tc>
          <w:tcPr>
            <w:tcW w:w="1889" w:type="dxa"/>
            <w:vAlign w:val="center"/>
          </w:tcPr>
          <w:p>
            <w:pPr>
              <w:tabs>
                <w:tab w:val="clear" w:pos="426"/>
              </w:tabs>
              <w:adjustRightInd/>
              <w:snapToGrid/>
              <w:spacing w:line="240" w:lineRule="exact"/>
              <w:rPr>
                <w:highlight w:val="none"/>
              </w:rPr>
            </w:pPr>
            <w:r>
              <w:rPr>
                <w:rFonts w:hint="eastAsia"/>
                <w:highlight w:val="none"/>
              </w:rPr>
              <w:t>财政预算限额</w:t>
            </w:r>
          </w:p>
        </w:tc>
        <w:tc>
          <w:tcPr>
            <w:tcW w:w="6931" w:type="dxa"/>
            <w:vAlign w:val="center"/>
          </w:tcPr>
          <w:p>
            <w:pPr>
              <w:tabs>
                <w:tab w:val="clear" w:pos="426"/>
              </w:tabs>
              <w:adjustRightInd/>
              <w:snapToGrid/>
              <w:spacing w:line="240" w:lineRule="exact"/>
              <w:rPr>
                <w:rFonts w:hint="eastAsia" w:eastAsia="宋体"/>
                <w:color w:val="FF0000"/>
                <w:highlight w:val="none"/>
                <w:lang w:eastAsia="zh-CN"/>
              </w:rPr>
            </w:pPr>
            <w:r>
              <w:rPr>
                <w:rFonts w:hint="eastAsia"/>
                <w:color w:val="FF0000"/>
                <w:highlight w:val="none"/>
                <w:lang w:eastAsia="zh-CN"/>
              </w:rPr>
              <w:t>本项目为预选招标，暂无具体采购限额</w:t>
            </w:r>
          </w:p>
        </w:tc>
      </w:tr>
    </w:tbl>
    <w:p>
      <w:pPr>
        <w:pStyle w:val="33"/>
        <w:tabs>
          <w:tab w:val="clear" w:pos="426"/>
        </w:tabs>
        <w:rPr>
          <w:highlight w:val="none"/>
        </w:rPr>
      </w:pPr>
      <w:r>
        <w:rPr>
          <w:highlight w:val="none"/>
        </w:rPr>
        <w:br w:type="page"/>
      </w:r>
      <w:bookmarkStart w:id="33" w:name="_Toc10783"/>
      <w:bookmarkStart w:id="34" w:name="_Toc432592816"/>
      <w:bookmarkStart w:id="35" w:name="_Toc398220525"/>
      <w:r>
        <w:rPr>
          <w:rFonts w:hint="eastAsia"/>
          <w:highlight w:val="none"/>
        </w:rPr>
        <w:t xml:space="preserve">第三章 </w:t>
      </w:r>
      <w:r>
        <w:rPr>
          <w:highlight w:val="none"/>
        </w:rPr>
        <w:t>项目</w:t>
      </w:r>
      <w:r>
        <w:rPr>
          <w:rFonts w:hint="eastAsia"/>
          <w:highlight w:val="none"/>
        </w:rPr>
        <w:t>需求</w:t>
      </w:r>
      <w:bookmarkEnd w:id="33"/>
    </w:p>
    <w:bookmarkEnd w:id="34"/>
    <w:bookmarkEnd w:id="35"/>
    <w:p>
      <w:pPr>
        <w:keepNext w:val="0"/>
        <w:keepLines w:val="0"/>
        <w:pageBreakBefore w:val="0"/>
        <w:numPr>
          <w:ilvl w:val="0"/>
          <w:numId w:val="26"/>
        </w:numPr>
        <w:topLinePunct w:val="0"/>
        <w:bidi w:val="0"/>
        <w:adjustRightInd/>
        <w:snapToGrid/>
        <w:spacing w:before="280" w:after="290" w:line="360" w:lineRule="auto"/>
        <w:ind w:left="420" w:leftChars="0" w:firstLine="0" w:firstLineChars="0"/>
        <w:textAlignment w:val="auto"/>
        <w:outlineLvl w:val="2"/>
        <w:rPr>
          <w:b/>
          <w:sz w:val="24"/>
          <w:highlight w:val="none"/>
        </w:rPr>
      </w:pPr>
      <w:r>
        <w:rPr>
          <w:rFonts w:hint="eastAsia"/>
          <w:b/>
          <w:sz w:val="24"/>
          <w:highlight w:val="none"/>
        </w:rPr>
        <w:t>招标项目概况</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rPr>
        <w:t>深圳市坪山区城市管理和综合执法局</w:t>
      </w:r>
      <w:r>
        <w:rPr>
          <w:rFonts w:hint="eastAsia" w:asciiTheme="minorEastAsia" w:hAnsiTheme="minorEastAsia" w:eastAsiaTheme="minorEastAsia" w:cstheme="minorEastAsia"/>
          <w:kern w:val="0"/>
          <w:sz w:val="21"/>
          <w:szCs w:val="21"/>
          <w:highlight w:val="none"/>
        </w:rPr>
        <w:t>业务范围广，市区考核项目较多，为减少审计风险，决定委托社会</w:t>
      </w:r>
      <w:r>
        <w:rPr>
          <w:rFonts w:hint="eastAsia" w:asciiTheme="minorEastAsia" w:hAnsiTheme="minorEastAsia" w:eastAsiaTheme="minorEastAsia" w:cstheme="minorEastAsia"/>
          <w:kern w:val="0"/>
          <w:sz w:val="21"/>
          <w:szCs w:val="21"/>
          <w:highlight w:val="none"/>
          <w:lang w:eastAsia="zh-CN"/>
        </w:rPr>
        <w:t>招标</w:t>
      </w:r>
      <w:r>
        <w:rPr>
          <w:rFonts w:hint="eastAsia" w:asciiTheme="minorEastAsia" w:hAnsiTheme="minorEastAsia" w:eastAsiaTheme="minorEastAsia" w:cstheme="minorEastAsia"/>
          <w:kern w:val="0"/>
          <w:sz w:val="21"/>
          <w:szCs w:val="21"/>
          <w:highlight w:val="none"/>
        </w:rPr>
        <w:t>代理机构</w:t>
      </w:r>
      <w:r>
        <w:rPr>
          <w:rFonts w:hint="eastAsia" w:asciiTheme="minorEastAsia" w:hAnsiTheme="minorEastAsia" w:eastAsiaTheme="minorEastAsia" w:cstheme="minorEastAsia"/>
          <w:kern w:val="0"/>
          <w:sz w:val="21"/>
          <w:szCs w:val="21"/>
          <w:highlight w:val="none"/>
          <w:lang w:eastAsia="zh-CN"/>
        </w:rPr>
        <w:t>为我局</w:t>
      </w:r>
      <w:r>
        <w:rPr>
          <w:rFonts w:hint="eastAsia" w:asciiTheme="minorEastAsia" w:hAnsiTheme="minorEastAsia" w:eastAsiaTheme="minorEastAsia" w:cstheme="minorEastAsia"/>
          <w:kern w:val="0"/>
          <w:sz w:val="21"/>
          <w:szCs w:val="21"/>
          <w:highlight w:val="none"/>
        </w:rPr>
        <w:t>组建</w:t>
      </w:r>
      <w:r>
        <w:rPr>
          <w:rFonts w:hint="eastAsia" w:asciiTheme="minorEastAsia" w:hAnsiTheme="minorEastAsia" w:eastAsiaTheme="minorEastAsia" w:cstheme="minorEastAsia"/>
          <w:sz w:val="21"/>
          <w:szCs w:val="21"/>
          <w:highlight w:val="none"/>
        </w:rPr>
        <w:t>深圳市坪山区城市管理和综合执法局建设</w:t>
      </w:r>
      <w:r>
        <w:rPr>
          <w:rFonts w:hint="eastAsia" w:asciiTheme="minorEastAsia" w:hAnsiTheme="minorEastAsia" w:eastAsiaTheme="minorEastAsia" w:cstheme="minorEastAsia"/>
          <w:sz w:val="21"/>
          <w:szCs w:val="21"/>
          <w:highlight w:val="none"/>
          <w:lang w:eastAsia="zh-CN"/>
        </w:rPr>
        <w:t>工程（园林绿化类）预选库</w:t>
      </w:r>
      <w:r>
        <w:rPr>
          <w:rFonts w:hint="eastAsia" w:asciiTheme="minorEastAsia" w:hAnsiTheme="minorEastAsia" w:eastAsiaTheme="minorEastAsia" w:cstheme="minorEastAsia"/>
          <w:kern w:val="0"/>
          <w:sz w:val="21"/>
          <w:szCs w:val="21"/>
          <w:highlight w:val="none"/>
        </w:rPr>
        <w:t>，该库由6家正选单位，2家候补单位组成。预选库淘汰、补录规定具体如下：</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（1）预选库设立后实行动态管理。动态管理的措施包括期中考核（具体考核办法由招标人在签订合后向</w:t>
      </w:r>
      <w:r>
        <w:rPr>
          <w:rFonts w:hint="eastAsia" w:asciiTheme="minorEastAsia" w:hAnsiTheme="minorEastAsia" w:eastAsiaTheme="minorEastAsia" w:cstheme="minorEastAsia"/>
          <w:kern w:val="0"/>
          <w:sz w:val="21"/>
          <w:szCs w:val="21"/>
          <w:highlight w:val="none"/>
          <w:lang w:eastAsia="zh-CN"/>
        </w:rPr>
        <w:t>正选</w:t>
      </w:r>
      <w:r>
        <w:rPr>
          <w:rFonts w:hint="eastAsia" w:asciiTheme="minorEastAsia" w:hAnsiTheme="minorEastAsia" w:eastAsiaTheme="minorEastAsia" w:cstheme="minorEastAsia"/>
          <w:kern w:val="0"/>
          <w:sz w:val="21"/>
          <w:szCs w:val="21"/>
          <w:highlight w:val="none"/>
        </w:rPr>
        <w:t>单位公布）、取消预选库资格、补录、期末排序及总体评价。</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（2）在预选库使用期内，招标人对</w:t>
      </w:r>
      <w:r>
        <w:rPr>
          <w:rFonts w:hint="eastAsia" w:asciiTheme="minorEastAsia" w:hAnsiTheme="minorEastAsia" w:eastAsiaTheme="minorEastAsia" w:cstheme="minorEastAsia"/>
          <w:kern w:val="0"/>
          <w:sz w:val="21"/>
          <w:szCs w:val="21"/>
          <w:highlight w:val="none"/>
          <w:lang w:eastAsia="zh-CN"/>
        </w:rPr>
        <w:t>正选</w:t>
      </w:r>
      <w:r>
        <w:rPr>
          <w:rFonts w:hint="eastAsia" w:asciiTheme="minorEastAsia" w:hAnsiTheme="minorEastAsia" w:eastAsiaTheme="minorEastAsia" w:cstheme="minorEastAsia"/>
          <w:kern w:val="0"/>
          <w:sz w:val="21"/>
          <w:szCs w:val="21"/>
          <w:highlight w:val="none"/>
        </w:rPr>
        <w:t>单位的履约情况进行考核，对考核不合格单位进行淘汰，由候补单位递补。</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w:t>
      </w:r>
      <w:r>
        <w:rPr>
          <w:rFonts w:hint="eastAsia" w:asciiTheme="minorEastAsia" w:hAnsiTheme="minorEastAsia" w:eastAsiaTheme="minorEastAsia" w:cstheme="minorEastAsia"/>
          <w:kern w:val="0"/>
          <w:sz w:val="21"/>
          <w:szCs w:val="21"/>
          <w:highlight w:val="none"/>
          <w:lang w:eastAsia="zh-CN"/>
        </w:rPr>
        <w:t>正选</w:t>
      </w:r>
      <w:r>
        <w:rPr>
          <w:rFonts w:hint="eastAsia" w:asciiTheme="minorEastAsia" w:hAnsiTheme="minorEastAsia" w:eastAsiaTheme="minorEastAsia" w:cstheme="minorEastAsia"/>
          <w:kern w:val="0"/>
          <w:sz w:val="21"/>
          <w:szCs w:val="21"/>
          <w:highlight w:val="none"/>
        </w:rPr>
        <w:t>单位、候补单位在预选库使用期内被查实发生下列情形的，将立即取消其预选库资格，并告知各</w:t>
      </w:r>
      <w:r>
        <w:rPr>
          <w:rFonts w:hint="eastAsia" w:asciiTheme="minorEastAsia" w:hAnsiTheme="minorEastAsia" w:eastAsiaTheme="minorEastAsia" w:cstheme="minorEastAsia"/>
          <w:kern w:val="0"/>
          <w:sz w:val="21"/>
          <w:szCs w:val="21"/>
          <w:highlight w:val="none"/>
          <w:lang w:eastAsia="zh-CN"/>
        </w:rPr>
        <w:t>正选</w:t>
      </w:r>
      <w:r>
        <w:rPr>
          <w:rFonts w:hint="eastAsia" w:asciiTheme="minorEastAsia" w:hAnsiTheme="minorEastAsia" w:eastAsiaTheme="minorEastAsia" w:cstheme="minorEastAsia"/>
          <w:kern w:val="0"/>
          <w:sz w:val="21"/>
          <w:szCs w:val="21"/>
          <w:highlight w:val="none"/>
        </w:rPr>
        <w:t>单位及候补单位：</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1）单位及其法定代表人有行贿犯罪记录的。</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2）因串通投标、转包、以他人名义投标或者违法分包等违法行为受到建设、交通或者财政等部门行政处罚的。</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3）相互间法定代表人或负责人相同，或具有控股、管理关系的不同单位，加入同一预选库的。</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4）承接的代建项目发生安全事故造成死亡一人及以上的。</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5）拒不参加政府部门组织的抢险救灾以及应急工作。</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6）拖欠工人工资被有关部门责令改正而不改正的、或不合理处理劳资关系导致群体事件及其他不良社会影响的。</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7）子项目中标单位放弃中标资格、拒不签订合同、拒不提供履约担保、除不可抗力原因外不履行合同的。</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8）候补单位拒绝轮候递补的。</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9）拒绝配合建库单位或用库单位进行考核管理工作的，或以不正当行为影响预选库考核管理工作的。</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10）其他预选库招标文件依法载明的、或其他违规行为经区建设主管部门认定不宜继续列入预选库的。</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（4）建库单位在预选库使用期间应按下列要求对预选库进行补录：</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1）必须补录的情形：建库单位在预选库使用期的期中对</w:t>
      </w:r>
      <w:r>
        <w:rPr>
          <w:rFonts w:hint="eastAsia" w:asciiTheme="minorEastAsia" w:hAnsiTheme="minorEastAsia" w:eastAsiaTheme="minorEastAsia" w:cstheme="minorEastAsia"/>
          <w:kern w:val="0"/>
          <w:sz w:val="21"/>
          <w:szCs w:val="21"/>
          <w:highlight w:val="none"/>
          <w:lang w:eastAsia="zh-CN"/>
        </w:rPr>
        <w:t>正选</w:t>
      </w:r>
      <w:r>
        <w:rPr>
          <w:rFonts w:hint="eastAsia" w:asciiTheme="minorEastAsia" w:hAnsiTheme="minorEastAsia" w:eastAsiaTheme="minorEastAsia" w:cstheme="minorEastAsia"/>
          <w:kern w:val="0"/>
          <w:sz w:val="21"/>
          <w:szCs w:val="21"/>
          <w:highlight w:val="none"/>
        </w:rPr>
        <w:t>单位进行考核，淘汰考核不合格者后，必须按照已设定的</w:t>
      </w:r>
      <w:r>
        <w:rPr>
          <w:rFonts w:hint="eastAsia" w:asciiTheme="minorEastAsia" w:hAnsiTheme="minorEastAsia" w:eastAsiaTheme="minorEastAsia" w:cstheme="minorEastAsia"/>
          <w:kern w:val="0"/>
          <w:sz w:val="21"/>
          <w:szCs w:val="21"/>
          <w:highlight w:val="none"/>
          <w:lang w:eastAsia="zh-CN"/>
        </w:rPr>
        <w:t>正选</w:t>
      </w:r>
      <w:r>
        <w:rPr>
          <w:rFonts w:hint="eastAsia" w:asciiTheme="minorEastAsia" w:hAnsiTheme="minorEastAsia" w:eastAsiaTheme="minorEastAsia" w:cstheme="minorEastAsia"/>
          <w:kern w:val="0"/>
          <w:sz w:val="21"/>
          <w:szCs w:val="21"/>
          <w:highlight w:val="none"/>
        </w:rPr>
        <w:t>单位数量补足。</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2）适量补录的情形：预选库使用期内</w:t>
      </w:r>
      <w:r>
        <w:rPr>
          <w:rFonts w:hint="eastAsia" w:asciiTheme="minorEastAsia" w:hAnsiTheme="minorEastAsia" w:eastAsiaTheme="minorEastAsia" w:cstheme="minorEastAsia"/>
          <w:kern w:val="0"/>
          <w:sz w:val="21"/>
          <w:szCs w:val="21"/>
          <w:highlight w:val="none"/>
          <w:lang w:eastAsia="zh-CN"/>
        </w:rPr>
        <w:t>正选</w:t>
      </w:r>
      <w:r>
        <w:rPr>
          <w:rFonts w:hint="eastAsia" w:asciiTheme="minorEastAsia" w:hAnsiTheme="minorEastAsia" w:eastAsiaTheme="minorEastAsia" w:cstheme="minorEastAsia"/>
          <w:kern w:val="0"/>
          <w:sz w:val="21"/>
          <w:szCs w:val="21"/>
          <w:highlight w:val="none"/>
        </w:rPr>
        <w:t>单位数量经认定不能满足工程建设需要的，或</w:t>
      </w:r>
      <w:r>
        <w:rPr>
          <w:rFonts w:hint="eastAsia" w:asciiTheme="minorEastAsia" w:hAnsiTheme="minorEastAsia" w:eastAsiaTheme="minorEastAsia" w:cstheme="minorEastAsia"/>
          <w:kern w:val="0"/>
          <w:sz w:val="21"/>
          <w:szCs w:val="21"/>
          <w:highlight w:val="none"/>
          <w:lang w:eastAsia="zh-CN"/>
        </w:rPr>
        <w:t>正选</w:t>
      </w:r>
      <w:r>
        <w:rPr>
          <w:rFonts w:hint="eastAsia" w:asciiTheme="minorEastAsia" w:hAnsiTheme="minorEastAsia" w:eastAsiaTheme="minorEastAsia" w:cstheme="minorEastAsia"/>
          <w:kern w:val="0"/>
          <w:sz w:val="21"/>
          <w:szCs w:val="21"/>
          <w:highlight w:val="none"/>
        </w:rPr>
        <w:t>单位被取消预选库资格的，适量予以补录。补录数量由招标人酌情确定。</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3）可不补录的情形：</w:t>
      </w:r>
      <w:r>
        <w:rPr>
          <w:rFonts w:hint="eastAsia" w:asciiTheme="minorEastAsia" w:hAnsiTheme="minorEastAsia" w:eastAsiaTheme="minorEastAsia" w:cstheme="minorEastAsia"/>
          <w:kern w:val="0"/>
          <w:sz w:val="21"/>
          <w:szCs w:val="21"/>
          <w:highlight w:val="none"/>
          <w:lang w:eastAsia="zh-CN"/>
        </w:rPr>
        <w:t>正选</w:t>
      </w:r>
      <w:r>
        <w:rPr>
          <w:rFonts w:hint="eastAsia" w:asciiTheme="minorEastAsia" w:hAnsiTheme="minorEastAsia" w:eastAsiaTheme="minorEastAsia" w:cstheme="minorEastAsia"/>
          <w:kern w:val="0"/>
          <w:sz w:val="21"/>
          <w:szCs w:val="21"/>
          <w:highlight w:val="none"/>
        </w:rPr>
        <w:t>单位被取消预选库资格后，导致预选库内正选单位与候补单位数量之和少于3家的，或预选库使用期不足2个月时出现必须补录或酌情补录情形的，是否再补录由建库单位决定。</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（5）补录后预选库的使用期限截至原预选库使用期限届满之日止。</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（6）预选库使用期满后，建库单位将对各</w:t>
      </w:r>
      <w:r>
        <w:rPr>
          <w:rFonts w:hint="eastAsia" w:asciiTheme="minorEastAsia" w:hAnsiTheme="minorEastAsia" w:eastAsiaTheme="minorEastAsia" w:cstheme="minorEastAsia"/>
          <w:kern w:val="0"/>
          <w:sz w:val="21"/>
          <w:szCs w:val="21"/>
          <w:highlight w:val="none"/>
          <w:lang w:eastAsia="zh-CN"/>
        </w:rPr>
        <w:t>正选</w:t>
      </w:r>
      <w:r>
        <w:rPr>
          <w:rFonts w:hint="eastAsia" w:asciiTheme="minorEastAsia" w:hAnsiTheme="minorEastAsia" w:eastAsiaTheme="minorEastAsia" w:cstheme="minorEastAsia"/>
          <w:kern w:val="0"/>
          <w:sz w:val="21"/>
          <w:szCs w:val="21"/>
          <w:highlight w:val="none"/>
        </w:rPr>
        <w:t>单位库内履约情况进行总体评价，作出“合格”或“不合格”的评价结论。</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评价应当实事求是，遵循公平、公开、公正、客观的原则。</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总体评价由建库单位告知各</w:t>
      </w:r>
      <w:r>
        <w:rPr>
          <w:rFonts w:hint="eastAsia" w:asciiTheme="minorEastAsia" w:hAnsiTheme="minorEastAsia" w:eastAsiaTheme="minorEastAsia" w:cstheme="minorEastAsia"/>
          <w:kern w:val="0"/>
          <w:sz w:val="21"/>
          <w:szCs w:val="21"/>
          <w:highlight w:val="none"/>
          <w:lang w:eastAsia="zh-CN"/>
        </w:rPr>
        <w:t>正选</w:t>
      </w:r>
      <w:r>
        <w:rPr>
          <w:rFonts w:hint="eastAsia" w:asciiTheme="minorEastAsia" w:hAnsiTheme="minorEastAsia" w:eastAsiaTheme="minorEastAsia" w:cstheme="minorEastAsia"/>
          <w:kern w:val="0"/>
          <w:sz w:val="21"/>
          <w:szCs w:val="21"/>
          <w:highlight w:val="none"/>
        </w:rPr>
        <w:t>单位及候补单位。</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（7）评价的依据包括：具体评价办法由招标人在签订合同后再定。</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rPr>
        <w:t>（8）</w:t>
      </w:r>
      <w:r>
        <w:rPr>
          <w:rFonts w:hint="eastAsia" w:asciiTheme="minorEastAsia" w:hAnsiTheme="minorEastAsia" w:eastAsiaTheme="minorEastAsia" w:cstheme="minorEastAsia"/>
          <w:kern w:val="0"/>
          <w:sz w:val="21"/>
          <w:szCs w:val="21"/>
          <w:highlight w:val="none"/>
          <w:lang w:eastAsia="zh-CN"/>
        </w:rPr>
        <w:t>正选</w:t>
      </w:r>
      <w:r>
        <w:rPr>
          <w:rFonts w:hint="eastAsia" w:asciiTheme="minorEastAsia" w:hAnsiTheme="minorEastAsia" w:eastAsiaTheme="minorEastAsia" w:cstheme="minorEastAsia"/>
          <w:kern w:val="0"/>
          <w:sz w:val="21"/>
          <w:szCs w:val="21"/>
          <w:highlight w:val="none"/>
        </w:rPr>
        <w:t>单位被取消预选库资格前已签订书面合同，或已部分履行合同的建设工程，可由其继续完成。法律法规另有规定的，从其规定。</w:t>
      </w:r>
    </w:p>
    <w:p>
      <w:pPr>
        <w:keepNext w:val="0"/>
        <w:keepLines w:val="0"/>
        <w:pageBreakBefore w:val="0"/>
        <w:numPr>
          <w:ilvl w:val="0"/>
          <w:numId w:val="0"/>
        </w:numPr>
        <w:shd w:val="clear" w:color="auto" w:fill="FFFFFF"/>
        <w:topLinePunct w:val="0"/>
        <w:bidi w:val="0"/>
        <w:adjustRightInd/>
        <w:snapToGrid/>
        <w:spacing w:before="280" w:after="290" w:line="360" w:lineRule="auto"/>
        <w:ind w:left="0" w:leftChars="0" w:firstLine="422" w:firstLineChars="175"/>
        <w:textAlignment w:val="auto"/>
        <w:outlineLvl w:val="2"/>
        <w:rPr>
          <w:rFonts w:hint="eastAsia" w:ascii="宋体" w:hAnsi="宋体" w:eastAsia="宋体" w:cs="宋体"/>
          <w:b/>
          <w:sz w:val="24"/>
          <w:highlight w:val="none"/>
        </w:rPr>
      </w:pPr>
      <w:r>
        <w:rPr>
          <w:rFonts w:hint="eastAsia" w:ascii="宋体" w:hAnsi="宋体" w:eastAsia="宋体" w:cs="宋体"/>
          <w:b/>
          <w:sz w:val="24"/>
          <w:highlight w:val="none"/>
          <w:lang w:eastAsia="zh-CN"/>
        </w:rPr>
        <w:t>二、预选库适用</w:t>
      </w:r>
      <w:r>
        <w:rPr>
          <w:rFonts w:hint="eastAsia" w:ascii="宋体" w:hAnsi="宋体" w:eastAsia="宋体" w:cs="宋体"/>
          <w:b/>
          <w:sz w:val="24"/>
          <w:highlight w:val="none"/>
        </w:rPr>
        <w:t xml:space="preserve">范围 </w:t>
      </w:r>
    </w:p>
    <w:p>
      <w:pPr>
        <w:keepNext w:val="0"/>
        <w:keepLines w:val="0"/>
        <w:pageBreakBefore w:val="0"/>
        <w:widowControl/>
        <w:numPr>
          <w:ilvl w:val="0"/>
          <w:numId w:val="0"/>
        </w:numPr>
        <w:topLinePunct w:val="0"/>
        <w:bidi w:val="0"/>
        <w:snapToGrid w:val="0"/>
        <w:spacing w:line="360" w:lineRule="auto"/>
        <w:ind w:left="0" w:leftChars="0" w:firstLine="420" w:firstLineChars="200"/>
        <w:jc w:val="left"/>
        <w:textAlignment w:val="auto"/>
        <w:outlineLvl w:val="9"/>
        <w:rPr>
          <w:rFonts w:hint="eastAsia" w:asciiTheme="minorEastAsia" w:hAnsiTheme="minorEastAsia" w:eastAsiaTheme="minorEastAsia" w:cstheme="minorEastAsia"/>
          <w:b/>
          <w:bCs/>
          <w:kern w:val="0"/>
          <w:sz w:val="21"/>
          <w:szCs w:val="21"/>
          <w:highlight w:val="none"/>
          <w:lang w:val="en-US" w:eastAsia="zh-CN" w:bidi="ar-SA"/>
        </w:rPr>
      </w:pPr>
      <w:r>
        <w:rPr>
          <w:rFonts w:hint="eastAsia" w:asciiTheme="minorEastAsia" w:hAnsiTheme="minorEastAsia" w:eastAsiaTheme="minorEastAsia" w:cstheme="minorEastAsia"/>
          <w:strike w:val="0"/>
          <w:dstrike w:val="0"/>
          <w:kern w:val="0"/>
          <w:sz w:val="21"/>
          <w:szCs w:val="21"/>
          <w:highlight w:val="none"/>
        </w:rPr>
        <w:t>本次招标仅限于组建</w:t>
      </w:r>
      <w:r>
        <w:rPr>
          <w:rFonts w:hint="eastAsia" w:asciiTheme="minorEastAsia" w:hAnsiTheme="minorEastAsia" w:eastAsiaTheme="minorEastAsia" w:cstheme="minorEastAsia"/>
          <w:strike w:val="0"/>
          <w:dstrike w:val="0"/>
          <w:kern w:val="0"/>
          <w:sz w:val="21"/>
          <w:szCs w:val="21"/>
          <w:highlight w:val="none"/>
          <w:lang w:eastAsia="zh-CN"/>
        </w:rPr>
        <w:t>我局</w:t>
      </w:r>
      <w:r>
        <w:rPr>
          <w:rFonts w:hint="eastAsia" w:asciiTheme="minorEastAsia" w:hAnsiTheme="minorEastAsia" w:eastAsiaTheme="minorEastAsia" w:cstheme="minorEastAsia"/>
          <w:strike w:val="0"/>
          <w:dstrike w:val="0"/>
          <w:kern w:val="0"/>
          <w:sz w:val="21"/>
          <w:szCs w:val="21"/>
          <w:highlight w:val="none"/>
        </w:rPr>
        <w:t>工程</w:t>
      </w:r>
      <w:r>
        <w:rPr>
          <w:rFonts w:hint="eastAsia" w:asciiTheme="minorEastAsia" w:hAnsiTheme="minorEastAsia" w:eastAsiaTheme="minorEastAsia" w:cstheme="minorEastAsia"/>
          <w:strike w:val="0"/>
          <w:dstrike w:val="0"/>
          <w:kern w:val="0"/>
          <w:sz w:val="21"/>
          <w:szCs w:val="21"/>
          <w:highlight w:val="none"/>
          <w:lang w:eastAsia="zh-CN"/>
        </w:rPr>
        <w:t>（园林绿化类）</w:t>
      </w:r>
      <w:r>
        <w:rPr>
          <w:rFonts w:hint="eastAsia" w:asciiTheme="minorEastAsia" w:hAnsiTheme="minorEastAsia" w:eastAsiaTheme="minorEastAsia" w:cstheme="minorEastAsia"/>
          <w:strike w:val="0"/>
          <w:dstrike w:val="0"/>
          <w:kern w:val="0"/>
          <w:sz w:val="21"/>
          <w:szCs w:val="21"/>
          <w:highlight w:val="none"/>
        </w:rPr>
        <w:t>承包商预选库的批量招标，并不对应具体的工程，进入预选库的企业在本使用周期内并不意味着一定能承接到</w:t>
      </w:r>
      <w:r>
        <w:rPr>
          <w:rFonts w:hint="eastAsia" w:asciiTheme="minorEastAsia" w:hAnsiTheme="minorEastAsia" w:eastAsiaTheme="minorEastAsia" w:cstheme="minorEastAsia"/>
          <w:strike w:val="0"/>
          <w:dstrike w:val="0"/>
          <w:kern w:val="0"/>
          <w:sz w:val="21"/>
          <w:szCs w:val="21"/>
          <w:highlight w:val="none"/>
          <w:lang w:eastAsia="zh-CN"/>
        </w:rPr>
        <w:t>我局园林绿化类工程项目，该库适用范围如下：</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（1）不适用《必须招标的工程项目规定》或《坪山区2018-2019年度政府投资简单建设工程承包商预选库》或《</w:t>
      </w:r>
      <w:r>
        <w:rPr>
          <w:rFonts w:hint="eastAsia"/>
          <w:highlight w:val="none"/>
        </w:rPr>
        <w:t>关于201</w:t>
      </w:r>
      <w:r>
        <w:rPr>
          <w:rFonts w:hint="eastAsia"/>
          <w:highlight w:val="none"/>
          <w:lang w:val="en-US" w:eastAsia="zh-CN"/>
        </w:rPr>
        <w:t>9</w:t>
      </w:r>
      <w:r>
        <w:rPr>
          <w:rFonts w:hint="eastAsia"/>
          <w:highlight w:val="none"/>
        </w:rPr>
        <w:t>年坪山区政府集中采购目录等事项的通知</w:t>
      </w:r>
      <w:r>
        <w:rPr>
          <w:rFonts w:hint="eastAsia" w:asciiTheme="minorEastAsia" w:hAnsiTheme="minorEastAsia" w:eastAsiaTheme="minorEastAsia" w:cstheme="minorEastAsia"/>
          <w:sz w:val="21"/>
          <w:szCs w:val="21"/>
          <w:highlight w:val="none"/>
          <w:lang w:val="en-US" w:eastAsia="zh-CN"/>
        </w:rPr>
        <w:t>》三项文件规定的，且属于深圳市坪山区城市管理和综合执法局自行采购范围内的项目。</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（2）若后续坪山区相关规定对</w:t>
      </w:r>
      <w:r>
        <w:rPr>
          <w:rFonts w:hint="eastAsia" w:asciiTheme="minorEastAsia" w:hAnsiTheme="minorEastAsia" w:cstheme="minorEastAsia"/>
          <w:sz w:val="21"/>
          <w:szCs w:val="21"/>
          <w:highlight w:val="none"/>
          <w:lang w:val="en-US" w:eastAsia="zh-CN"/>
        </w:rPr>
        <w:t>深</w:t>
      </w:r>
      <w:r>
        <w:rPr>
          <w:rFonts w:hint="eastAsia" w:asciiTheme="minorEastAsia" w:hAnsiTheme="minorEastAsia" w:eastAsiaTheme="minorEastAsia" w:cstheme="minorEastAsia"/>
          <w:sz w:val="21"/>
          <w:szCs w:val="21"/>
          <w:highlight w:val="none"/>
          <w:lang w:val="en-US" w:eastAsia="zh-CN"/>
        </w:rPr>
        <w:t>圳市坪山区城市管理和综合执法局自行采购范围进行了调整，预选库的使用范围将相应进行调整。</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（3）市区两级有明文规定的项目使用市区两级主管部门建立的该类项目预选供应商，市区两级相关规定以外的项目使用本预选库。</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360" w:lineRule="auto"/>
        <w:ind w:left="0" w:leftChars="0" w:firstLine="482" w:firstLineChars="200"/>
        <w:jc w:val="left"/>
        <w:textAlignment w:val="auto"/>
        <w:outlineLvl w:val="2"/>
        <w:rPr>
          <w:rFonts w:hint="eastAsia" w:ascii="宋体" w:hAnsi="宋体" w:eastAsia="宋体" w:cs="宋体"/>
          <w:b/>
          <w:sz w:val="24"/>
          <w:highlight w:val="none"/>
          <w:lang w:eastAsia="zh-CN"/>
        </w:rPr>
      </w:pPr>
      <w:r>
        <w:rPr>
          <w:rFonts w:hint="eastAsia" w:cs="宋体"/>
          <w:b/>
          <w:sz w:val="24"/>
          <w:highlight w:val="none"/>
          <w:lang w:eastAsia="zh-CN"/>
        </w:rPr>
        <w:t>三</w:t>
      </w:r>
      <w:r>
        <w:rPr>
          <w:rFonts w:hint="eastAsia" w:ascii="宋体" w:hAnsi="宋体" w:eastAsia="宋体" w:cs="宋体"/>
          <w:b/>
          <w:sz w:val="24"/>
          <w:highlight w:val="none"/>
          <w:lang w:eastAsia="zh-CN"/>
        </w:rPr>
        <w:t>、预选库有效期</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本</w:t>
      </w:r>
      <w:r>
        <w:rPr>
          <w:rFonts w:hint="eastAsia" w:asciiTheme="minorEastAsia" w:hAnsiTheme="minorEastAsia" w:cstheme="minorEastAsia"/>
          <w:kern w:val="0"/>
          <w:sz w:val="21"/>
          <w:szCs w:val="21"/>
          <w:highlight w:val="none"/>
          <w:lang w:eastAsia="zh-CN"/>
        </w:rPr>
        <w:t>预选库有效期为</w:t>
      </w:r>
      <w:r>
        <w:rPr>
          <w:rFonts w:hint="eastAsia" w:asciiTheme="minorEastAsia" w:hAnsiTheme="minorEastAsia" w:cstheme="minorEastAsia"/>
          <w:kern w:val="0"/>
          <w:sz w:val="21"/>
          <w:szCs w:val="21"/>
          <w:highlight w:val="none"/>
          <w:lang w:val="en-US" w:eastAsia="zh-CN"/>
        </w:rPr>
        <w:t>2</w:t>
      </w:r>
      <w:r>
        <w:rPr>
          <w:rFonts w:hint="eastAsia" w:asciiTheme="minorEastAsia" w:hAnsiTheme="minorEastAsia" w:eastAsiaTheme="minorEastAsia" w:cstheme="minorEastAsia"/>
          <w:kern w:val="0"/>
          <w:sz w:val="21"/>
          <w:szCs w:val="21"/>
          <w:highlight w:val="none"/>
        </w:rPr>
        <w:t>年</w:t>
      </w:r>
      <w:r>
        <w:rPr>
          <w:rFonts w:hint="eastAsia" w:asciiTheme="minorEastAsia" w:hAnsiTheme="minorEastAsia" w:eastAsiaTheme="minorEastAsia" w:cstheme="minorEastAsia"/>
          <w:kern w:val="0"/>
          <w:sz w:val="21"/>
          <w:szCs w:val="21"/>
          <w:highlight w:val="none"/>
          <w:lang w:eastAsia="zh-CN"/>
        </w:rPr>
        <w:t>，起始时间以中标通知书为准</w:t>
      </w:r>
      <w:r>
        <w:rPr>
          <w:rFonts w:hint="eastAsia" w:asciiTheme="minorEastAsia" w:hAnsiTheme="minorEastAsia" w:cstheme="minorEastAsia"/>
          <w:kern w:val="0"/>
          <w:sz w:val="21"/>
          <w:szCs w:val="21"/>
          <w:highlight w:val="none"/>
          <w:lang w:eastAsia="zh-CN"/>
        </w:rPr>
        <w:t>，合同一年一签</w:t>
      </w:r>
      <w:r>
        <w:rPr>
          <w:rFonts w:hint="eastAsia" w:asciiTheme="minorEastAsia" w:hAnsiTheme="minorEastAsia" w:eastAsiaTheme="minorEastAsia" w:cstheme="minorEastAsia"/>
          <w:kern w:val="0"/>
          <w:sz w:val="21"/>
          <w:szCs w:val="21"/>
          <w:highlight w:val="none"/>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360" w:lineRule="auto"/>
        <w:ind w:left="0" w:leftChars="0" w:firstLine="482" w:firstLineChars="200"/>
        <w:jc w:val="left"/>
        <w:textAlignment w:val="auto"/>
        <w:outlineLvl w:val="2"/>
        <w:rPr>
          <w:rFonts w:hint="eastAsia" w:ascii="宋体" w:hAnsi="宋体" w:eastAsia="宋体" w:cs="宋体"/>
          <w:b/>
          <w:sz w:val="24"/>
          <w:highlight w:val="none"/>
          <w:lang w:eastAsia="zh-CN"/>
        </w:rPr>
      </w:pPr>
      <w:r>
        <w:rPr>
          <w:rFonts w:hint="eastAsia" w:cs="宋体"/>
          <w:b/>
          <w:sz w:val="24"/>
          <w:highlight w:val="none"/>
          <w:lang w:eastAsia="zh-CN"/>
        </w:rPr>
        <w:t>四</w:t>
      </w:r>
      <w:r>
        <w:rPr>
          <w:rFonts w:hint="eastAsia" w:ascii="宋体" w:hAnsi="宋体" w:eastAsia="宋体" w:cs="宋体"/>
          <w:b/>
          <w:sz w:val="24"/>
          <w:highlight w:val="none"/>
          <w:lang w:eastAsia="zh-CN"/>
        </w:rPr>
        <w:t>、使用方法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lang w:val="en-US" w:eastAsia="zh-CN"/>
        </w:rPr>
        <w:t>1</w:t>
      </w:r>
      <w:r>
        <w:rPr>
          <w:rFonts w:hint="eastAsia" w:asciiTheme="minorEastAsia" w:hAnsiTheme="minorEastAsia" w:eastAsiaTheme="minorEastAsia" w:cstheme="minorEastAsia"/>
          <w:kern w:val="0"/>
          <w:sz w:val="21"/>
          <w:szCs w:val="21"/>
          <w:highlight w:val="none"/>
          <w:lang w:eastAsia="zh-CN"/>
        </w:rPr>
        <w:t>）项目分配方式：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具体</w:t>
      </w:r>
      <w:r>
        <w:rPr>
          <w:rFonts w:hint="eastAsia" w:asciiTheme="minorEastAsia" w:hAnsiTheme="minorEastAsia" w:eastAsiaTheme="minorEastAsia" w:cstheme="minorEastAsia"/>
          <w:kern w:val="0"/>
          <w:sz w:val="21"/>
          <w:szCs w:val="21"/>
          <w:highlight w:val="none"/>
          <w:lang w:eastAsia="zh-CN"/>
        </w:rPr>
        <w:t>项目分配</w:t>
      </w:r>
      <w:r>
        <w:rPr>
          <w:rFonts w:hint="eastAsia" w:asciiTheme="minorEastAsia" w:hAnsiTheme="minorEastAsia" w:eastAsiaTheme="minorEastAsia" w:cstheme="minorEastAsia"/>
          <w:kern w:val="0"/>
          <w:sz w:val="21"/>
          <w:szCs w:val="21"/>
          <w:highlight w:val="none"/>
        </w:rPr>
        <w:t>由</w:t>
      </w:r>
      <w:r>
        <w:rPr>
          <w:rFonts w:hint="eastAsia" w:asciiTheme="minorEastAsia" w:hAnsiTheme="minorEastAsia" w:eastAsiaTheme="minorEastAsia" w:cstheme="minorEastAsia"/>
          <w:kern w:val="0"/>
          <w:sz w:val="21"/>
          <w:szCs w:val="21"/>
          <w:highlight w:val="none"/>
          <w:lang w:eastAsia="zh-CN"/>
        </w:rPr>
        <w:t>采购人以</w:t>
      </w:r>
      <w:r>
        <w:rPr>
          <w:rFonts w:hint="eastAsia" w:asciiTheme="minorEastAsia" w:hAnsiTheme="minorEastAsia" w:eastAsiaTheme="minorEastAsia" w:cstheme="minorEastAsia"/>
          <w:kern w:val="0"/>
          <w:sz w:val="21"/>
          <w:szCs w:val="21"/>
          <w:highlight w:val="none"/>
        </w:rPr>
        <w:t>抽签方式分配。</w:t>
      </w:r>
    </w:p>
    <w:p>
      <w:pPr>
        <w:pStyle w:val="2"/>
        <w:keepNext w:val="0"/>
        <w:keepLines w:val="0"/>
        <w:pageBreakBefore w:val="0"/>
        <w:kinsoku/>
        <w:wordWrap/>
        <w:overflowPunct/>
        <w:topLinePunct w:val="0"/>
        <w:autoSpaceDE/>
        <w:autoSpaceDN/>
        <w:bidi w:val="0"/>
        <w:adjustRightInd/>
        <w:spacing w:line="360" w:lineRule="auto"/>
        <w:ind w:left="0" w:leftChars="0" w:firstLine="420" w:firstLineChars="200"/>
        <w:textAlignment w:val="auto"/>
        <w:rPr>
          <w:rFonts w:hint="eastAsia" w:asciiTheme="minorEastAsia" w:hAnsiTheme="minorEastAsia" w:eastAsiaTheme="minorEastAsia" w:cstheme="minorEastAsia"/>
          <w:b w:val="0"/>
          <w:bCs w:val="0"/>
          <w:kern w:val="0"/>
          <w:sz w:val="21"/>
          <w:szCs w:val="21"/>
          <w:highlight w:val="none"/>
          <w:lang w:val="en-US" w:eastAsia="zh-CN" w:bidi="ar-SA"/>
        </w:rPr>
      </w:pPr>
      <w:r>
        <w:rPr>
          <w:rFonts w:hint="eastAsia" w:asciiTheme="minorEastAsia" w:hAnsiTheme="minorEastAsia" w:eastAsiaTheme="minorEastAsia" w:cstheme="minorEastAsia"/>
          <w:b w:val="0"/>
          <w:bCs w:val="0"/>
          <w:kern w:val="0"/>
          <w:sz w:val="21"/>
          <w:szCs w:val="21"/>
          <w:highlight w:val="none"/>
          <w:lang w:val="en-US" w:eastAsia="zh-CN" w:bidi="ar-SA"/>
        </w:rPr>
        <w:t>抽签原则：</w:t>
      </w:r>
      <w:r>
        <w:rPr>
          <w:rFonts w:hint="eastAsia" w:asciiTheme="minorEastAsia" w:hAnsiTheme="minorEastAsia" w:cstheme="minorEastAsia"/>
          <w:b w:val="0"/>
          <w:bCs w:val="0"/>
          <w:kern w:val="0"/>
          <w:sz w:val="21"/>
          <w:szCs w:val="21"/>
          <w:highlight w:val="none"/>
          <w:lang w:val="en-US" w:eastAsia="zh-CN" w:bidi="ar-SA"/>
        </w:rPr>
        <w:t>预选</w:t>
      </w:r>
      <w:r>
        <w:rPr>
          <w:rFonts w:hint="eastAsia" w:asciiTheme="minorEastAsia" w:hAnsiTheme="minorEastAsia" w:eastAsiaTheme="minorEastAsia" w:cstheme="minorEastAsia"/>
          <w:b w:val="0"/>
          <w:bCs w:val="0"/>
          <w:kern w:val="0"/>
          <w:sz w:val="21"/>
          <w:szCs w:val="21"/>
          <w:highlight w:val="none"/>
          <w:lang w:val="en-US" w:eastAsia="zh-CN" w:bidi="ar-SA"/>
        </w:rPr>
        <w:t>单位按照</w:t>
      </w:r>
      <w:r>
        <w:rPr>
          <w:rFonts w:hint="eastAsia" w:asciiTheme="minorEastAsia" w:hAnsiTheme="minorEastAsia" w:cstheme="minorEastAsia"/>
          <w:b w:val="0"/>
          <w:bCs w:val="0"/>
          <w:kern w:val="0"/>
          <w:sz w:val="21"/>
          <w:szCs w:val="21"/>
          <w:highlight w:val="none"/>
          <w:lang w:val="en-US" w:eastAsia="zh-CN" w:bidi="ar-SA"/>
        </w:rPr>
        <w:t>随机抽签方式</w:t>
      </w:r>
      <w:r>
        <w:rPr>
          <w:rFonts w:hint="eastAsia" w:asciiTheme="minorEastAsia" w:hAnsiTheme="minorEastAsia" w:eastAsiaTheme="minorEastAsia" w:cstheme="minorEastAsia"/>
          <w:b w:val="0"/>
          <w:bCs w:val="0"/>
          <w:kern w:val="0"/>
          <w:sz w:val="21"/>
          <w:szCs w:val="21"/>
          <w:highlight w:val="none"/>
          <w:lang w:val="en-US" w:eastAsia="zh-CN" w:bidi="ar-SA"/>
        </w:rPr>
        <w:t>确定具体项目的实施单位。</w:t>
      </w:r>
    </w:p>
    <w:p>
      <w:pPr>
        <w:keepNext w:val="0"/>
        <w:keepLines w:val="0"/>
        <w:pageBreakBefore w:val="0"/>
        <w:shd w:val="clear" w:color="auto" w:fill="FFFFFF"/>
        <w:topLinePunct w:val="0"/>
        <w:bidi w:val="0"/>
        <w:spacing w:line="360" w:lineRule="auto"/>
        <w:ind w:firstLine="420" w:firstLineChars="200"/>
        <w:jc w:val="left"/>
        <w:textAlignment w:val="auto"/>
        <w:rPr>
          <w:rFonts w:hint="eastAsia" w:asciiTheme="minorEastAsia" w:hAnsiTheme="minorEastAsia" w:eastAsiaTheme="minorEastAsia" w:cstheme="minorEastAsia"/>
          <w:b w:val="0"/>
          <w:bCs w:val="0"/>
          <w:kern w:val="0"/>
          <w:sz w:val="21"/>
          <w:szCs w:val="21"/>
          <w:highlight w:val="none"/>
          <w:lang w:val="en-US" w:eastAsia="zh-CN" w:bidi="ar-SA"/>
        </w:rPr>
      </w:pPr>
      <w:r>
        <w:rPr>
          <w:rFonts w:hint="eastAsia" w:asciiTheme="minorEastAsia" w:hAnsiTheme="minorEastAsia" w:eastAsiaTheme="minorEastAsia" w:cstheme="minorEastAsia"/>
          <w:b w:val="0"/>
          <w:bCs w:val="0"/>
          <w:kern w:val="0"/>
          <w:sz w:val="21"/>
          <w:szCs w:val="21"/>
          <w:highlight w:val="none"/>
          <w:lang w:val="en-US" w:eastAsia="zh-CN" w:bidi="ar-SA"/>
        </w:rPr>
        <w:t>（2）具体项目合同价：</w:t>
      </w:r>
    </w:p>
    <w:p>
      <w:pPr>
        <w:pStyle w:val="2"/>
        <w:keepNext w:val="0"/>
        <w:keepLines w:val="0"/>
        <w:pageBreakBefore w:val="0"/>
        <w:numPr>
          <w:ilvl w:val="0"/>
          <w:numId w:val="0"/>
        </w:numPr>
        <w:topLinePunct w:val="0"/>
        <w:bidi w:val="0"/>
        <w:spacing w:line="360" w:lineRule="auto"/>
        <w:ind w:left="0" w:leftChars="0" w:firstLine="367" w:firstLineChars="175"/>
        <w:textAlignment w:val="auto"/>
        <w:rPr>
          <w:rFonts w:hint="eastAsia" w:asciiTheme="minorEastAsia" w:hAnsiTheme="minorEastAsia" w:eastAsiaTheme="minorEastAsia" w:cstheme="minorEastAsia"/>
          <w:b w:val="0"/>
          <w:bCs w:val="0"/>
          <w:kern w:val="0"/>
          <w:sz w:val="21"/>
          <w:szCs w:val="21"/>
          <w:highlight w:val="none"/>
          <w:lang w:val="en-US" w:eastAsia="zh-CN" w:bidi="ar-SA"/>
        </w:rPr>
      </w:pPr>
      <w:r>
        <w:rPr>
          <w:rFonts w:hint="eastAsia" w:asciiTheme="minorEastAsia" w:hAnsiTheme="minorEastAsia" w:eastAsiaTheme="minorEastAsia" w:cstheme="minorEastAsia"/>
          <w:b w:val="0"/>
          <w:bCs w:val="0"/>
          <w:kern w:val="0"/>
          <w:sz w:val="21"/>
          <w:szCs w:val="21"/>
          <w:highlight w:val="none"/>
          <w:lang w:val="en-US" w:eastAsia="zh-CN" w:bidi="ar-SA"/>
        </w:rPr>
        <w:t xml:space="preserve"> 具体项目合同价</w:t>
      </w:r>
      <w:r>
        <w:rPr>
          <w:rFonts w:hint="eastAsia" w:asciiTheme="minorEastAsia" w:hAnsiTheme="minorEastAsia" w:cstheme="minorEastAsia"/>
          <w:b w:val="0"/>
          <w:bCs w:val="0"/>
          <w:strike w:val="0"/>
          <w:dstrike w:val="0"/>
          <w:kern w:val="0"/>
          <w:sz w:val="21"/>
          <w:szCs w:val="21"/>
          <w:highlight w:val="none"/>
          <w:lang w:val="en-US" w:eastAsia="zh-CN" w:bidi="ar-SA"/>
        </w:rPr>
        <w:t>以预算价为准或由</w:t>
      </w:r>
      <w:r>
        <w:rPr>
          <w:rFonts w:hint="eastAsia" w:asciiTheme="minorEastAsia" w:hAnsiTheme="minorEastAsia" w:eastAsiaTheme="minorEastAsia" w:cstheme="minorEastAsia"/>
          <w:b w:val="0"/>
          <w:bCs w:val="0"/>
          <w:strike w:val="0"/>
          <w:dstrike w:val="0"/>
          <w:kern w:val="0"/>
          <w:sz w:val="21"/>
          <w:szCs w:val="21"/>
          <w:highlight w:val="none"/>
          <w:lang w:val="en-US" w:eastAsia="zh-CN" w:bidi="ar-SA"/>
        </w:rPr>
        <w:t>采购单位与具体项目实施单位协议商定</w:t>
      </w:r>
      <w:r>
        <w:rPr>
          <w:rFonts w:hint="eastAsia" w:asciiTheme="minorEastAsia" w:hAnsiTheme="minorEastAsia" w:cstheme="minorEastAsia"/>
          <w:b w:val="0"/>
          <w:bCs w:val="0"/>
          <w:strike w:val="0"/>
          <w:dstrike w:val="0"/>
          <w:kern w:val="0"/>
          <w:sz w:val="21"/>
          <w:szCs w:val="21"/>
          <w:highlight w:val="none"/>
          <w:lang w:val="en-US" w:eastAsia="zh-CN" w:bidi="ar-SA"/>
        </w:rPr>
        <w:t>。</w:t>
      </w:r>
    </w:p>
    <w:p>
      <w:pPr>
        <w:pStyle w:val="2"/>
        <w:keepNext w:val="0"/>
        <w:keepLines w:val="0"/>
        <w:pageBreakBefore w:val="0"/>
        <w:numPr>
          <w:ilvl w:val="0"/>
          <w:numId w:val="0"/>
        </w:numPr>
        <w:topLinePunct w:val="0"/>
        <w:bidi w:val="0"/>
        <w:spacing w:line="360" w:lineRule="auto"/>
        <w:ind w:left="0" w:leftChars="0" w:firstLine="422" w:firstLineChars="200"/>
        <w:textAlignment w:val="auto"/>
        <w:rPr>
          <w:rFonts w:hint="eastAsia" w:asciiTheme="minorEastAsia" w:hAnsiTheme="minorEastAsia" w:eastAsiaTheme="minorEastAsia" w:cstheme="minorEastAsia"/>
          <w:b/>
          <w:bCs/>
          <w:kern w:val="0"/>
          <w:sz w:val="21"/>
          <w:szCs w:val="21"/>
          <w:highlight w:val="none"/>
          <w:lang w:val="en-US" w:eastAsia="zh-CN" w:bidi="ar-SA"/>
        </w:rPr>
      </w:pPr>
      <w:r>
        <w:rPr>
          <w:rFonts w:hint="eastAsia" w:asciiTheme="minorEastAsia" w:hAnsiTheme="minorEastAsia" w:eastAsiaTheme="minorEastAsia" w:cstheme="minorEastAsia"/>
          <w:b/>
          <w:bCs/>
          <w:kern w:val="0"/>
          <w:sz w:val="21"/>
          <w:szCs w:val="21"/>
          <w:highlight w:val="none"/>
          <w:lang w:val="en-US" w:eastAsia="zh-CN" w:bidi="ar-SA"/>
        </w:rPr>
        <w:t>注：（1）预选库单位承接任务不保底，即：委托期限内，不保证预选单位的最低任务量，也不以均衡性为由调整任务委托方式或参与单位。</w:t>
      </w:r>
    </w:p>
    <w:p>
      <w:pPr>
        <w:pStyle w:val="2"/>
        <w:numPr>
          <w:ilvl w:val="0"/>
          <w:numId w:val="0"/>
        </w:numPr>
        <w:ind w:leftChars="200"/>
        <w:rPr>
          <w:rFonts w:hint="eastAsia" w:asciiTheme="minorEastAsia" w:hAnsiTheme="minorEastAsia" w:cstheme="minorEastAsia"/>
          <w:b/>
          <w:bCs/>
          <w:kern w:val="0"/>
          <w:sz w:val="21"/>
          <w:szCs w:val="21"/>
          <w:highlight w:val="none"/>
          <w:lang w:val="en-US" w:eastAsia="zh-CN" w:bidi="ar-SA"/>
        </w:rPr>
      </w:pPr>
      <w:r>
        <w:rPr>
          <w:rFonts w:hint="eastAsia" w:asciiTheme="minorEastAsia" w:hAnsiTheme="minorEastAsia" w:cstheme="minorEastAsia"/>
          <w:b/>
          <w:bCs/>
          <w:kern w:val="0"/>
          <w:sz w:val="21"/>
          <w:szCs w:val="21"/>
          <w:highlight w:val="none"/>
          <w:lang w:val="en-US" w:eastAsia="zh-CN" w:bidi="ar-SA"/>
        </w:rPr>
        <w:t>（2）投标人不能拒绝招标人按照项目分配原则进行委托的项目，否则将清除出本预选库。</w:t>
      </w:r>
    </w:p>
    <w:p>
      <w:pPr>
        <w:pStyle w:val="2"/>
        <w:keepNext w:val="0"/>
        <w:keepLines w:val="0"/>
        <w:pageBreakBefore w:val="0"/>
        <w:numPr>
          <w:ilvl w:val="0"/>
          <w:numId w:val="0"/>
        </w:numPr>
        <w:topLinePunct w:val="0"/>
        <w:bidi w:val="0"/>
        <w:spacing w:line="360" w:lineRule="auto"/>
        <w:ind w:left="0" w:leftChars="0" w:firstLine="422" w:firstLineChars="200"/>
        <w:textAlignment w:val="auto"/>
        <w:rPr>
          <w:rFonts w:hint="eastAsia" w:asciiTheme="minorEastAsia" w:hAnsiTheme="minorEastAsia" w:cstheme="minorEastAsia"/>
          <w:b/>
          <w:bCs/>
          <w:kern w:val="0"/>
          <w:sz w:val="21"/>
          <w:szCs w:val="21"/>
          <w:highlight w:val="none"/>
          <w:lang w:val="en-US" w:eastAsia="zh-CN" w:bidi="ar-SA"/>
        </w:rPr>
      </w:pPr>
      <w:r>
        <w:rPr>
          <w:rFonts w:hint="eastAsia" w:asciiTheme="minorEastAsia" w:hAnsiTheme="minorEastAsia" w:cstheme="minorEastAsia"/>
          <w:b/>
          <w:bCs/>
          <w:kern w:val="0"/>
          <w:sz w:val="21"/>
          <w:szCs w:val="21"/>
          <w:highlight w:val="none"/>
          <w:lang w:val="en-US" w:eastAsia="zh-CN" w:bidi="ar-SA"/>
        </w:rPr>
        <w:t>（3）</w:t>
      </w:r>
      <w:r>
        <w:rPr>
          <w:rFonts w:hint="eastAsia" w:asciiTheme="minorEastAsia" w:hAnsiTheme="minorEastAsia" w:eastAsiaTheme="minorEastAsia" w:cstheme="minorEastAsia"/>
          <w:b/>
          <w:bCs/>
          <w:kern w:val="0"/>
          <w:sz w:val="21"/>
          <w:szCs w:val="21"/>
          <w:highlight w:val="none"/>
          <w:lang w:val="en-US" w:eastAsia="zh-CN" w:bidi="ar-SA"/>
        </w:rPr>
        <w:t>招标人将对正选单位按项目进行管理与考核，正选单位需接受招标人的管理与考核。对于不接受管理或考核不合格单位，招标人将以扣除项目酬金、暂停委托项目或取消预选资格等方式进行处罚。具体管理考核办法由招标人后续制定。</w:t>
      </w:r>
    </w:p>
    <w:p>
      <w:pPr>
        <w:pStyle w:val="2"/>
        <w:numPr>
          <w:ilvl w:val="0"/>
          <w:numId w:val="0"/>
        </w:numPr>
        <w:ind w:left="0" w:leftChars="0" w:firstLine="420" w:firstLineChars="200"/>
        <w:rPr>
          <w:rFonts w:cs="Times New Roman"/>
          <w:kern w:val="2"/>
          <w:szCs w:val="21"/>
          <w:highlight w:val="none"/>
        </w:rPr>
      </w:pPr>
      <w:r>
        <w:rPr>
          <w:rFonts w:hint="eastAsia" w:asciiTheme="minorEastAsia" w:hAnsiTheme="minorEastAsia" w:eastAsiaTheme="minorEastAsia" w:cstheme="minorEastAsia"/>
          <w:b w:val="0"/>
          <w:bCs w:val="0"/>
          <w:kern w:val="0"/>
          <w:sz w:val="21"/>
          <w:szCs w:val="21"/>
          <w:highlight w:val="none"/>
          <w:lang w:val="en-US" w:eastAsia="zh-CN" w:bidi="ar-SA"/>
        </w:rPr>
        <w:br w:type="page"/>
      </w:r>
    </w:p>
    <w:p>
      <w:pPr>
        <w:tabs>
          <w:tab w:val="clear" w:pos="426"/>
        </w:tabs>
        <w:jc w:val="center"/>
        <w:rPr>
          <w:b/>
          <w:sz w:val="24"/>
          <w:highlight w:val="none"/>
        </w:rPr>
      </w:pPr>
    </w:p>
    <w:p>
      <w:pPr>
        <w:pStyle w:val="33"/>
        <w:tabs>
          <w:tab w:val="clear" w:pos="426"/>
        </w:tabs>
        <w:rPr>
          <w:highlight w:val="none"/>
        </w:rPr>
      </w:pPr>
      <w:bookmarkStart w:id="36" w:name="_Toc18622"/>
      <w:r>
        <w:rPr>
          <w:rFonts w:hint="eastAsia"/>
          <w:highlight w:val="none"/>
        </w:rPr>
        <w:t>第</w:t>
      </w:r>
      <w:r>
        <w:rPr>
          <w:rFonts w:hint="eastAsia"/>
          <w:highlight w:val="none"/>
          <w:lang w:eastAsia="zh-CN"/>
        </w:rPr>
        <w:t>四</w:t>
      </w:r>
      <w:r>
        <w:rPr>
          <w:rFonts w:hint="eastAsia"/>
          <w:highlight w:val="none"/>
        </w:rPr>
        <w:t>章 投标文件格式、附件</w:t>
      </w:r>
      <w:bookmarkEnd w:id="36"/>
    </w:p>
    <w:p>
      <w:pPr>
        <w:tabs>
          <w:tab w:val="clear" w:pos="426"/>
        </w:tabs>
        <w:rPr>
          <w:rStyle w:val="59"/>
          <w:rFonts w:ascii="宋体" w:eastAsia="宋体"/>
          <w:sz w:val="24"/>
          <w:highlight w:val="none"/>
        </w:rPr>
      </w:pPr>
    </w:p>
    <w:p>
      <w:pPr>
        <w:tabs>
          <w:tab w:val="clear" w:pos="426"/>
        </w:tabs>
        <w:rPr>
          <w:highlight w:val="none"/>
        </w:rPr>
      </w:pPr>
      <w:r>
        <w:rPr>
          <w:rStyle w:val="59"/>
          <w:rFonts w:hint="eastAsia" w:ascii="宋体" w:eastAsia="宋体"/>
          <w:sz w:val="24"/>
          <w:highlight w:val="none"/>
        </w:rPr>
        <w:t>特别提醒：</w:t>
      </w:r>
      <w:r>
        <w:rPr>
          <w:rFonts w:hint="eastAsia"/>
          <w:highlight w:val="none"/>
        </w:rPr>
        <w:t>投标人在编辑投标文件时，应严格按照招标文件提供的格式进行编写，因未按要求编写导致投标文件不予受理、无效标或废标的，一切后果由供应商自行承担。</w:t>
      </w:r>
    </w:p>
    <w:p>
      <w:pPr>
        <w:tabs>
          <w:tab w:val="clear" w:pos="426"/>
        </w:tabs>
        <w:rPr>
          <w:highlight w:val="none"/>
        </w:rPr>
      </w:pPr>
    </w:p>
    <w:p>
      <w:pPr>
        <w:tabs>
          <w:tab w:val="clear" w:pos="426"/>
        </w:tabs>
        <w:rPr>
          <w:highlight w:val="none"/>
        </w:rPr>
      </w:pPr>
    </w:p>
    <w:p>
      <w:pPr>
        <w:tabs>
          <w:tab w:val="clear" w:pos="426"/>
        </w:tabs>
        <w:rPr>
          <w:highlight w:val="none"/>
        </w:rPr>
      </w:pPr>
      <w:r>
        <w:rPr>
          <w:rFonts w:hint="eastAsia"/>
          <w:highlight w:val="none"/>
        </w:rPr>
        <w:t>投标文件组成：</w:t>
      </w:r>
    </w:p>
    <w:p>
      <w:pPr>
        <w:tabs>
          <w:tab w:val="clear" w:pos="426"/>
        </w:tabs>
        <w:rPr>
          <w:highlight w:val="none"/>
        </w:rPr>
      </w:pPr>
    </w:p>
    <w:p>
      <w:pPr>
        <w:tabs>
          <w:tab w:val="clear" w:pos="426"/>
        </w:tabs>
        <w:rPr>
          <w:highlight w:val="none"/>
        </w:rPr>
      </w:pPr>
      <w:r>
        <w:rPr>
          <w:rFonts w:hint="eastAsia"/>
          <w:highlight w:val="none"/>
        </w:rPr>
        <w:t>密封袋封条格式</w:t>
      </w:r>
    </w:p>
    <w:p>
      <w:pPr>
        <w:tabs>
          <w:tab w:val="clear" w:pos="426"/>
        </w:tabs>
        <w:rPr>
          <w:highlight w:val="none"/>
        </w:rPr>
      </w:pPr>
      <w:r>
        <w:rPr>
          <w:rFonts w:hint="eastAsia"/>
          <w:highlight w:val="none"/>
        </w:rPr>
        <w:t>投标文件封面格式</w:t>
      </w:r>
    </w:p>
    <w:p>
      <w:pPr>
        <w:tabs>
          <w:tab w:val="clear" w:pos="426"/>
        </w:tabs>
        <w:rPr>
          <w:highlight w:val="none"/>
        </w:rPr>
      </w:pPr>
      <w:r>
        <w:rPr>
          <w:rFonts w:hint="eastAsia"/>
          <w:highlight w:val="none"/>
        </w:rPr>
        <w:t>目录（目录格式自定）</w:t>
      </w:r>
    </w:p>
    <w:p>
      <w:pPr>
        <w:tabs>
          <w:tab w:val="clear" w:pos="426"/>
        </w:tabs>
        <w:rPr>
          <w:highlight w:val="none"/>
        </w:rPr>
      </w:pPr>
      <w:r>
        <w:rPr>
          <w:rFonts w:hint="eastAsia"/>
          <w:highlight w:val="none"/>
        </w:rPr>
        <w:t>评标指引表</w:t>
      </w:r>
    </w:p>
    <w:p>
      <w:pPr>
        <w:numPr>
          <w:ilvl w:val="1"/>
          <w:numId w:val="27"/>
        </w:numPr>
        <w:tabs>
          <w:tab w:val="clear" w:pos="426"/>
        </w:tabs>
        <w:spacing w:line="276" w:lineRule="auto"/>
        <w:rPr>
          <w:highlight w:val="none"/>
        </w:rPr>
      </w:pPr>
      <w:r>
        <w:rPr>
          <w:rFonts w:hint="eastAsia"/>
          <w:highlight w:val="none"/>
        </w:rPr>
        <w:t>投标函</w:t>
      </w:r>
    </w:p>
    <w:p>
      <w:pPr>
        <w:numPr>
          <w:ilvl w:val="1"/>
          <w:numId w:val="27"/>
        </w:numPr>
        <w:tabs>
          <w:tab w:val="clear" w:pos="426"/>
        </w:tabs>
        <w:spacing w:line="276" w:lineRule="auto"/>
        <w:rPr>
          <w:highlight w:val="none"/>
        </w:rPr>
      </w:pPr>
      <w:r>
        <w:rPr>
          <w:rFonts w:hint="eastAsia"/>
          <w:highlight w:val="none"/>
          <w:lang w:eastAsia="zh-CN"/>
        </w:rPr>
        <w:t>营业执照</w:t>
      </w:r>
    </w:p>
    <w:p>
      <w:pPr>
        <w:numPr>
          <w:ilvl w:val="1"/>
          <w:numId w:val="27"/>
        </w:numPr>
        <w:tabs>
          <w:tab w:val="clear" w:pos="426"/>
        </w:tabs>
        <w:spacing w:line="276" w:lineRule="auto"/>
        <w:rPr>
          <w:highlight w:val="none"/>
        </w:rPr>
      </w:pPr>
      <w:r>
        <w:rPr>
          <w:rFonts w:hint="eastAsia"/>
          <w:highlight w:val="none"/>
        </w:rPr>
        <w:t>投标保证金缴纳承诺函</w:t>
      </w:r>
    </w:p>
    <w:p>
      <w:pPr>
        <w:numPr>
          <w:ilvl w:val="1"/>
          <w:numId w:val="27"/>
        </w:numPr>
        <w:tabs>
          <w:tab w:val="clear" w:pos="426"/>
        </w:tabs>
        <w:spacing w:line="276" w:lineRule="auto"/>
        <w:rPr>
          <w:highlight w:val="none"/>
        </w:rPr>
      </w:pPr>
      <w:r>
        <w:rPr>
          <w:rFonts w:hint="eastAsia"/>
          <w:highlight w:val="none"/>
        </w:rPr>
        <w:t>政府采购投标及履约承诺函</w:t>
      </w:r>
    </w:p>
    <w:p>
      <w:pPr>
        <w:numPr>
          <w:ilvl w:val="1"/>
          <w:numId w:val="27"/>
        </w:numPr>
        <w:tabs>
          <w:tab w:val="clear" w:pos="426"/>
        </w:tabs>
        <w:spacing w:line="276" w:lineRule="auto"/>
        <w:rPr>
          <w:highlight w:val="none"/>
        </w:rPr>
      </w:pPr>
      <w:r>
        <w:rPr>
          <w:rFonts w:hint="eastAsia"/>
          <w:highlight w:val="none"/>
        </w:rPr>
        <w:t>法定代表人授权委托书、法定代表人证明书</w:t>
      </w:r>
    </w:p>
    <w:p>
      <w:pPr>
        <w:numPr>
          <w:ilvl w:val="1"/>
          <w:numId w:val="27"/>
        </w:numPr>
        <w:tabs>
          <w:tab w:val="clear" w:pos="426"/>
        </w:tabs>
        <w:spacing w:line="276" w:lineRule="auto"/>
        <w:rPr>
          <w:highlight w:val="none"/>
        </w:rPr>
      </w:pPr>
      <w:r>
        <w:rPr>
          <w:rFonts w:hint="eastAsia"/>
          <w:highlight w:val="none"/>
        </w:rPr>
        <w:t>投标人基本情况表</w:t>
      </w:r>
    </w:p>
    <w:p>
      <w:pPr>
        <w:numPr>
          <w:ilvl w:val="1"/>
          <w:numId w:val="27"/>
        </w:numPr>
        <w:tabs>
          <w:tab w:val="clear" w:pos="426"/>
        </w:tabs>
        <w:spacing w:line="276" w:lineRule="auto"/>
        <w:rPr>
          <w:highlight w:val="none"/>
        </w:rPr>
      </w:pPr>
      <w:r>
        <w:rPr>
          <w:rFonts w:hint="eastAsia"/>
          <w:highlight w:val="none"/>
        </w:rPr>
        <w:t xml:space="preserve">管理体系认证情况 </w:t>
      </w:r>
    </w:p>
    <w:p>
      <w:pPr>
        <w:numPr>
          <w:ilvl w:val="1"/>
          <w:numId w:val="27"/>
        </w:numPr>
        <w:tabs>
          <w:tab w:val="clear" w:pos="426"/>
        </w:tabs>
        <w:spacing w:line="276" w:lineRule="auto"/>
        <w:rPr>
          <w:rFonts w:hint="eastAsia"/>
          <w:highlight w:val="none"/>
        </w:rPr>
      </w:pPr>
      <w:bookmarkStart w:id="37" w:name="_Hlk2110363"/>
      <w:r>
        <w:rPr>
          <w:rFonts w:hint="eastAsia"/>
          <w:highlight w:val="none"/>
        </w:rPr>
        <w:t xml:space="preserve">类似项目业绩 </w:t>
      </w:r>
    </w:p>
    <w:p>
      <w:pPr>
        <w:numPr>
          <w:ilvl w:val="1"/>
          <w:numId w:val="27"/>
        </w:numPr>
        <w:tabs>
          <w:tab w:val="clear" w:pos="426"/>
        </w:tabs>
        <w:spacing w:line="276" w:lineRule="auto"/>
        <w:rPr>
          <w:highlight w:val="none"/>
        </w:rPr>
      </w:pPr>
      <w:r>
        <w:rPr>
          <w:rFonts w:hint="eastAsia"/>
          <w:highlight w:val="none"/>
        </w:rPr>
        <w:t xml:space="preserve">类似项目业绩获奖情况 </w:t>
      </w:r>
    </w:p>
    <w:p>
      <w:pPr>
        <w:numPr>
          <w:ilvl w:val="1"/>
          <w:numId w:val="27"/>
        </w:numPr>
        <w:tabs>
          <w:tab w:val="clear" w:pos="426"/>
        </w:tabs>
        <w:spacing w:line="276" w:lineRule="auto"/>
        <w:rPr>
          <w:highlight w:val="none"/>
        </w:rPr>
      </w:pPr>
      <w:r>
        <w:rPr>
          <w:rFonts w:hint="eastAsia"/>
          <w:highlight w:val="none"/>
        </w:rPr>
        <w:t>履约评价情况</w:t>
      </w:r>
    </w:p>
    <w:p>
      <w:pPr>
        <w:numPr>
          <w:ilvl w:val="1"/>
          <w:numId w:val="27"/>
        </w:numPr>
        <w:tabs>
          <w:tab w:val="clear" w:pos="426"/>
        </w:tabs>
        <w:spacing w:line="276" w:lineRule="auto"/>
        <w:rPr>
          <w:highlight w:val="none"/>
        </w:rPr>
      </w:pPr>
      <w:r>
        <w:rPr>
          <w:rFonts w:hint="eastAsia"/>
          <w:highlight w:val="none"/>
          <w:lang w:eastAsia="zh-CN"/>
        </w:rPr>
        <w:t>企业信誉</w:t>
      </w:r>
      <w:r>
        <w:rPr>
          <w:rFonts w:hint="eastAsia"/>
          <w:highlight w:val="none"/>
        </w:rPr>
        <w:t xml:space="preserve"> </w:t>
      </w:r>
    </w:p>
    <w:p>
      <w:pPr>
        <w:numPr>
          <w:ilvl w:val="1"/>
          <w:numId w:val="27"/>
        </w:numPr>
        <w:tabs>
          <w:tab w:val="clear" w:pos="426"/>
        </w:tabs>
        <w:spacing w:line="276" w:lineRule="auto"/>
        <w:rPr>
          <w:highlight w:val="none"/>
        </w:rPr>
      </w:pPr>
      <w:r>
        <w:rPr>
          <w:rFonts w:hint="eastAsia"/>
          <w:highlight w:val="none"/>
        </w:rPr>
        <w:t>诚信档案</w:t>
      </w:r>
    </w:p>
    <w:p>
      <w:pPr>
        <w:numPr>
          <w:ilvl w:val="1"/>
          <w:numId w:val="27"/>
        </w:numPr>
        <w:tabs>
          <w:tab w:val="clear" w:pos="426"/>
        </w:tabs>
        <w:spacing w:line="276" w:lineRule="auto"/>
        <w:rPr>
          <w:highlight w:val="none"/>
        </w:rPr>
      </w:pPr>
      <w:r>
        <w:rPr>
          <w:rFonts w:hint="eastAsia"/>
          <w:highlight w:val="none"/>
          <w:lang w:eastAsia="zh-CN"/>
        </w:rPr>
        <w:t>企业技术人员实力</w:t>
      </w:r>
      <w:r>
        <w:rPr>
          <w:rFonts w:hint="eastAsia"/>
          <w:highlight w:val="none"/>
        </w:rPr>
        <w:t xml:space="preserve"> </w:t>
      </w:r>
    </w:p>
    <w:p>
      <w:pPr>
        <w:numPr>
          <w:ilvl w:val="1"/>
          <w:numId w:val="27"/>
        </w:numPr>
        <w:tabs>
          <w:tab w:val="clear" w:pos="426"/>
        </w:tabs>
        <w:spacing w:line="276" w:lineRule="auto"/>
        <w:rPr>
          <w:highlight w:val="none"/>
        </w:rPr>
      </w:pPr>
      <w:r>
        <w:rPr>
          <w:rFonts w:hint="eastAsia"/>
          <w:highlight w:val="none"/>
        </w:rPr>
        <w:t>拟安排</w:t>
      </w:r>
      <w:r>
        <w:rPr>
          <w:rFonts w:hint="eastAsia"/>
          <w:highlight w:val="none"/>
          <w:lang w:eastAsia="zh-CN"/>
        </w:rPr>
        <w:t>项目班子成员</w:t>
      </w:r>
    </w:p>
    <w:p>
      <w:pPr>
        <w:numPr>
          <w:ilvl w:val="1"/>
          <w:numId w:val="27"/>
        </w:numPr>
        <w:tabs>
          <w:tab w:val="clear" w:pos="426"/>
        </w:tabs>
        <w:spacing w:line="276" w:lineRule="auto"/>
        <w:rPr>
          <w:highlight w:val="none"/>
        </w:rPr>
      </w:pPr>
      <w:r>
        <w:rPr>
          <w:rFonts w:hint="eastAsia"/>
          <w:highlight w:val="none"/>
        </w:rPr>
        <w:t>服务方案</w:t>
      </w:r>
    </w:p>
    <w:bookmarkEnd w:id="37"/>
    <w:p>
      <w:pPr>
        <w:numPr>
          <w:ilvl w:val="1"/>
          <w:numId w:val="27"/>
        </w:numPr>
        <w:tabs>
          <w:tab w:val="clear" w:pos="426"/>
        </w:tabs>
        <w:spacing w:line="276" w:lineRule="auto"/>
        <w:rPr>
          <w:highlight w:val="none"/>
        </w:rPr>
      </w:pPr>
      <w:r>
        <w:rPr>
          <w:rFonts w:hint="eastAsia"/>
          <w:highlight w:val="none"/>
        </w:rPr>
        <w:t>招标代理服务费承诺书</w:t>
      </w:r>
    </w:p>
    <w:p>
      <w:pPr>
        <w:numPr>
          <w:ilvl w:val="1"/>
          <w:numId w:val="27"/>
        </w:numPr>
        <w:tabs>
          <w:tab w:val="clear" w:pos="426"/>
        </w:tabs>
        <w:spacing w:line="276" w:lineRule="auto"/>
        <w:rPr>
          <w:b/>
          <w:bCs/>
          <w:highlight w:val="none"/>
        </w:rPr>
      </w:pPr>
      <w:r>
        <w:rPr>
          <w:rFonts w:hint="eastAsia"/>
          <w:highlight w:val="none"/>
        </w:rPr>
        <w:t>招标文件要求的其他内容及投标人认为需要加以说明的其他内容</w:t>
      </w:r>
    </w:p>
    <w:p>
      <w:pPr>
        <w:tabs>
          <w:tab w:val="clear" w:pos="426"/>
        </w:tabs>
        <w:rPr>
          <w:b/>
          <w:bCs/>
          <w:highlight w:val="none"/>
        </w:rPr>
      </w:pPr>
    </w:p>
    <w:p>
      <w:pPr>
        <w:adjustRightInd/>
        <w:snapToGrid/>
        <w:spacing w:before="280" w:after="290" w:line="377" w:lineRule="auto"/>
        <w:jc w:val="center"/>
        <w:outlineLvl w:val="2"/>
        <w:rPr>
          <w:b/>
          <w:sz w:val="24"/>
          <w:highlight w:val="none"/>
        </w:rPr>
      </w:pPr>
      <w:r>
        <w:rPr>
          <w:highlight w:val="none"/>
        </w:rPr>
        <w:br w:type="page"/>
      </w:r>
      <w:r>
        <w:rPr>
          <w:rFonts w:hint="eastAsia"/>
          <w:b/>
          <w:sz w:val="24"/>
          <w:highlight w:val="none"/>
        </w:rPr>
        <w:t>密封袋封条格式</w:t>
      </w:r>
    </w:p>
    <w:p>
      <w:pPr>
        <w:tabs>
          <w:tab w:val="clear" w:pos="426"/>
        </w:tabs>
        <w:jc w:val="center"/>
        <w:rPr>
          <w:sz w:val="44"/>
          <w:szCs w:val="44"/>
          <w:highlight w:val="none"/>
          <w:u w:val="single"/>
        </w:rPr>
      </w:pPr>
    </w:p>
    <w:p>
      <w:pPr>
        <w:tabs>
          <w:tab w:val="clear" w:pos="426"/>
        </w:tabs>
        <w:jc w:val="center"/>
        <w:rPr>
          <w:sz w:val="44"/>
          <w:szCs w:val="44"/>
          <w:highlight w:val="none"/>
        </w:rPr>
      </w:pPr>
      <w:r>
        <w:rPr>
          <w:rFonts w:hint="eastAsia"/>
          <w:sz w:val="44"/>
          <w:szCs w:val="44"/>
          <w:highlight w:val="none"/>
          <w:u w:val="single"/>
          <w:lang w:eastAsia="zh-CN"/>
        </w:rPr>
        <w:t>深圳市坪山区城市管理和综合执法局工程（园林绿化类）预选库</w:t>
      </w:r>
      <w:r>
        <w:rPr>
          <w:rFonts w:hint="eastAsia"/>
          <w:sz w:val="44"/>
          <w:szCs w:val="44"/>
          <w:highlight w:val="none"/>
        </w:rPr>
        <w:t>项目</w:t>
      </w:r>
    </w:p>
    <w:p>
      <w:pPr>
        <w:tabs>
          <w:tab w:val="clear" w:pos="426"/>
        </w:tabs>
        <w:jc w:val="center"/>
        <w:rPr>
          <w:highlight w:val="none"/>
        </w:rPr>
      </w:pPr>
    </w:p>
    <w:p>
      <w:pPr>
        <w:tabs>
          <w:tab w:val="clear" w:pos="426"/>
        </w:tabs>
        <w:jc w:val="center"/>
        <w:rPr>
          <w:highlight w:val="none"/>
        </w:rPr>
      </w:pPr>
    </w:p>
    <w:p>
      <w:pPr>
        <w:tabs>
          <w:tab w:val="clear" w:pos="426"/>
        </w:tabs>
        <w:jc w:val="center"/>
        <w:rPr>
          <w:sz w:val="52"/>
          <w:szCs w:val="52"/>
          <w:highlight w:val="none"/>
        </w:rPr>
      </w:pPr>
      <w:r>
        <w:rPr>
          <w:rFonts w:hint="eastAsia"/>
          <w:sz w:val="52"/>
          <w:szCs w:val="52"/>
          <w:highlight w:val="none"/>
        </w:rPr>
        <w:t>□投标文件</w:t>
      </w:r>
    </w:p>
    <w:p>
      <w:pPr>
        <w:tabs>
          <w:tab w:val="clear" w:pos="426"/>
        </w:tabs>
        <w:jc w:val="center"/>
        <w:rPr>
          <w:sz w:val="52"/>
          <w:szCs w:val="52"/>
          <w:highlight w:val="none"/>
        </w:rPr>
      </w:pPr>
      <w:r>
        <w:rPr>
          <w:rFonts w:hint="eastAsia"/>
          <w:sz w:val="52"/>
          <w:szCs w:val="52"/>
          <w:highlight w:val="none"/>
        </w:rPr>
        <w:t>□开标信封</w:t>
      </w: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ind w:left="708" w:leftChars="337" w:right="706" w:rightChars="336"/>
        <w:rPr>
          <w:sz w:val="28"/>
          <w:szCs w:val="28"/>
          <w:highlight w:val="none"/>
        </w:rPr>
      </w:pPr>
      <w:r>
        <w:rPr>
          <w:rFonts w:hint="eastAsia"/>
          <w:sz w:val="28"/>
          <w:szCs w:val="28"/>
          <w:highlight w:val="none"/>
        </w:rPr>
        <w:t>项目编号：</w:t>
      </w:r>
      <w:r>
        <w:rPr>
          <w:rFonts w:hint="eastAsia"/>
          <w:sz w:val="28"/>
          <w:szCs w:val="28"/>
          <w:highlight w:val="none"/>
          <w:u w:val="single"/>
        </w:rPr>
        <w:t xml:space="preserve">                                              </w:t>
      </w:r>
    </w:p>
    <w:p>
      <w:pPr>
        <w:tabs>
          <w:tab w:val="clear" w:pos="426"/>
        </w:tabs>
        <w:ind w:left="708" w:leftChars="337"/>
        <w:rPr>
          <w:sz w:val="28"/>
          <w:szCs w:val="28"/>
          <w:highlight w:val="none"/>
        </w:rPr>
      </w:pPr>
      <w:r>
        <w:rPr>
          <w:rFonts w:hint="eastAsia"/>
          <w:sz w:val="28"/>
          <w:szCs w:val="28"/>
          <w:highlight w:val="none"/>
        </w:rPr>
        <w:t>投标人名称（公章)：</w:t>
      </w:r>
      <w:r>
        <w:rPr>
          <w:rFonts w:hint="eastAsia"/>
          <w:sz w:val="28"/>
          <w:szCs w:val="28"/>
          <w:highlight w:val="none"/>
          <w:u w:val="single"/>
        </w:rPr>
        <w:t xml:space="preserve">                                     </w:t>
      </w:r>
    </w:p>
    <w:p>
      <w:pPr>
        <w:tabs>
          <w:tab w:val="clear" w:pos="426"/>
        </w:tabs>
        <w:ind w:left="708" w:leftChars="337"/>
        <w:rPr>
          <w:sz w:val="28"/>
          <w:szCs w:val="28"/>
          <w:highlight w:val="none"/>
        </w:rPr>
      </w:pPr>
      <w:r>
        <w:rPr>
          <w:rFonts w:hint="eastAsia"/>
          <w:sz w:val="28"/>
          <w:szCs w:val="28"/>
          <w:highlight w:val="none"/>
        </w:rPr>
        <w:t>投标人代表（签名）：</w:t>
      </w:r>
      <w:r>
        <w:rPr>
          <w:rFonts w:hint="eastAsia"/>
          <w:sz w:val="28"/>
          <w:szCs w:val="28"/>
          <w:highlight w:val="none"/>
          <w:u w:val="single"/>
        </w:rPr>
        <w:t xml:space="preserve">                                    </w:t>
      </w:r>
    </w:p>
    <w:p>
      <w:pPr>
        <w:tabs>
          <w:tab w:val="clear" w:pos="426"/>
        </w:tabs>
        <w:ind w:left="708" w:leftChars="337"/>
        <w:rPr>
          <w:sz w:val="28"/>
          <w:szCs w:val="28"/>
          <w:highlight w:val="none"/>
        </w:rPr>
      </w:pPr>
      <w:r>
        <w:rPr>
          <w:rFonts w:hint="eastAsia"/>
          <w:sz w:val="28"/>
          <w:szCs w:val="28"/>
          <w:highlight w:val="none"/>
        </w:rPr>
        <w:t>投标截止日期：</w:t>
      </w:r>
      <w:r>
        <w:rPr>
          <w:rFonts w:hint="eastAsia"/>
          <w:sz w:val="28"/>
          <w:szCs w:val="28"/>
          <w:highlight w:val="none"/>
          <w:u w:val="single"/>
        </w:rPr>
        <w:t xml:space="preserve">      年   月   日</w:t>
      </w:r>
      <w:r>
        <w:rPr>
          <w:sz w:val="28"/>
          <w:szCs w:val="28"/>
          <w:highlight w:val="none"/>
          <w:u w:val="single"/>
        </w:rPr>
        <w:t xml:space="preserve"> </w:t>
      </w:r>
      <w:r>
        <w:rPr>
          <w:rFonts w:hint="eastAsia"/>
          <w:sz w:val="28"/>
          <w:szCs w:val="28"/>
          <w:highlight w:val="none"/>
          <w:u w:val="single"/>
        </w:rPr>
        <w:t xml:space="preserve"> </w:t>
      </w:r>
      <w:r>
        <w:rPr>
          <w:sz w:val="28"/>
          <w:szCs w:val="28"/>
          <w:highlight w:val="none"/>
          <w:u w:val="single"/>
        </w:rPr>
        <w:t xml:space="preserve"> 时 </w:t>
      </w:r>
      <w:r>
        <w:rPr>
          <w:rFonts w:hint="eastAsia"/>
          <w:sz w:val="28"/>
          <w:szCs w:val="28"/>
          <w:highlight w:val="none"/>
          <w:u w:val="single"/>
        </w:rPr>
        <w:t xml:space="preserve"> </w:t>
      </w:r>
      <w:r>
        <w:rPr>
          <w:sz w:val="28"/>
          <w:szCs w:val="28"/>
          <w:highlight w:val="none"/>
          <w:u w:val="single"/>
        </w:rPr>
        <w:t xml:space="preserve"> 分</w:t>
      </w:r>
      <w:r>
        <w:rPr>
          <w:rFonts w:hint="eastAsia"/>
          <w:sz w:val="28"/>
          <w:szCs w:val="28"/>
          <w:highlight w:val="none"/>
          <w:u w:val="single"/>
        </w:rPr>
        <w:t>（</w:t>
      </w:r>
      <w:r>
        <w:rPr>
          <w:sz w:val="28"/>
          <w:szCs w:val="28"/>
          <w:highlight w:val="none"/>
          <w:u w:val="single"/>
        </w:rPr>
        <w:t>前不得开封</w:t>
      </w:r>
      <w:r>
        <w:rPr>
          <w:rFonts w:hint="eastAsia"/>
          <w:sz w:val="28"/>
          <w:szCs w:val="28"/>
          <w:highlight w:val="none"/>
          <w:u w:val="single"/>
        </w:rPr>
        <w:t>）</w:t>
      </w:r>
    </w:p>
    <w:p>
      <w:pPr>
        <w:adjustRightInd/>
        <w:snapToGrid/>
        <w:spacing w:before="280" w:after="290" w:line="377" w:lineRule="auto"/>
        <w:jc w:val="center"/>
        <w:outlineLvl w:val="2"/>
        <w:rPr>
          <w:b/>
          <w:sz w:val="24"/>
          <w:highlight w:val="none"/>
        </w:rPr>
      </w:pPr>
      <w:r>
        <w:rPr>
          <w:highlight w:val="none"/>
        </w:rPr>
        <w:br w:type="page"/>
      </w:r>
      <w:r>
        <w:rPr>
          <w:rFonts w:hint="eastAsia"/>
          <w:b/>
          <w:sz w:val="24"/>
          <w:highlight w:val="none"/>
        </w:rPr>
        <w:t>投标文件封面格式</w:t>
      </w:r>
    </w:p>
    <w:p>
      <w:pPr>
        <w:tabs>
          <w:tab w:val="clear" w:pos="426"/>
        </w:tabs>
        <w:jc w:val="right"/>
        <w:rPr>
          <w:sz w:val="44"/>
          <w:szCs w:val="44"/>
          <w:highlight w:val="none"/>
          <w:u w:val="single"/>
        </w:rPr>
      </w:pPr>
      <w:r>
        <w:rPr>
          <w:rFonts w:hint="eastAsia"/>
          <w:sz w:val="44"/>
          <w:szCs w:val="44"/>
          <w:highlight w:val="none"/>
          <w:u w:val="single"/>
        </w:rPr>
        <w:t>正/副本</w:t>
      </w:r>
    </w:p>
    <w:p>
      <w:pPr>
        <w:tabs>
          <w:tab w:val="clear" w:pos="426"/>
        </w:tabs>
        <w:jc w:val="center"/>
        <w:rPr>
          <w:sz w:val="44"/>
          <w:szCs w:val="44"/>
          <w:highlight w:val="none"/>
          <w:u w:val="single"/>
        </w:rPr>
      </w:pPr>
    </w:p>
    <w:p>
      <w:pPr>
        <w:tabs>
          <w:tab w:val="clear" w:pos="426"/>
        </w:tabs>
        <w:jc w:val="center"/>
        <w:rPr>
          <w:sz w:val="44"/>
          <w:szCs w:val="44"/>
          <w:highlight w:val="none"/>
        </w:rPr>
      </w:pPr>
      <w:r>
        <w:rPr>
          <w:rFonts w:hint="eastAsia"/>
          <w:sz w:val="44"/>
          <w:szCs w:val="44"/>
          <w:highlight w:val="none"/>
          <w:u w:val="single"/>
          <w:lang w:eastAsia="zh-CN"/>
        </w:rPr>
        <w:t>深圳市坪山区城市管理和综合执法局工程（园林绿化类）预选库</w:t>
      </w:r>
      <w:r>
        <w:rPr>
          <w:rFonts w:hint="eastAsia"/>
          <w:sz w:val="44"/>
          <w:szCs w:val="44"/>
          <w:highlight w:val="none"/>
        </w:rPr>
        <w:t>项目</w:t>
      </w:r>
    </w:p>
    <w:p>
      <w:pPr>
        <w:tabs>
          <w:tab w:val="clear" w:pos="426"/>
        </w:tabs>
        <w:jc w:val="center"/>
        <w:rPr>
          <w:highlight w:val="none"/>
        </w:rPr>
      </w:pPr>
    </w:p>
    <w:p>
      <w:pPr>
        <w:tabs>
          <w:tab w:val="clear" w:pos="426"/>
        </w:tabs>
        <w:jc w:val="center"/>
        <w:rPr>
          <w:highlight w:val="none"/>
        </w:rPr>
      </w:pPr>
    </w:p>
    <w:p>
      <w:pPr>
        <w:tabs>
          <w:tab w:val="clear" w:pos="426"/>
        </w:tabs>
        <w:jc w:val="center"/>
        <w:rPr>
          <w:sz w:val="52"/>
          <w:szCs w:val="52"/>
          <w:highlight w:val="none"/>
        </w:rPr>
      </w:pPr>
      <w:r>
        <w:rPr>
          <w:rFonts w:hint="eastAsia"/>
          <w:sz w:val="52"/>
          <w:szCs w:val="52"/>
          <w:highlight w:val="none"/>
        </w:rPr>
        <w:t>投标文件</w:t>
      </w:r>
    </w:p>
    <w:p>
      <w:pPr>
        <w:tabs>
          <w:tab w:val="clear" w:pos="426"/>
        </w:tabs>
        <w:rPr>
          <w:sz w:val="52"/>
          <w:szCs w:val="52"/>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ind w:left="1275" w:leftChars="607"/>
        <w:rPr>
          <w:sz w:val="28"/>
          <w:szCs w:val="28"/>
          <w:highlight w:val="none"/>
        </w:rPr>
      </w:pPr>
      <w:r>
        <w:rPr>
          <w:rFonts w:hint="eastAsia"/>
          <w:sz w:val="28"/>
          <w:szCs w:val="28"/>
          <w:highlight w:val="none"/>
        </w:rPr>
        <w:t>项目编号：</w:t>
      </w:r>
      <w:r>
        <w:rPr>
          <w:rFonts w:hint="eastAsia"/>
          <w:sz w:val="28"/>
          <w:szCs w:val="28"/>
          <w:highlight w:val="none"/>
          <w:u w:val="single"/>
        </w:rPr>
        <w:t xml:space="preserve">                                   </w:t>
      </w:r>
    </w:p>
    <w:p>
      <w:pPr>
        <w:tabs>
          <w:tab w:val="clear" w:pos="426"/>
        </w:tabs>
        <w:ind w:left="1275" w:leftChars="607"/>
        <w:rPr>
          <w:sz w:val="28"/>
          <w:szCs w:val="28"/>
          <w:highlight w:val="none"/>
        </w:rPr>
      </w:pPr>
      <w:r>
        <w:rPr>
          <w:rFonts w:hint="eastAsia"/>
          <w:sz w:val="28"/>
          <w:szCs w:val="28"/>
          <w:highlight w:val="none"/>
        </w:rPr>
        <w:t>投标人名称（公章)：</w:t>
      </w:r>
      <w:r>
        <w:rPr>
          <w:rFonts w:hint="eastAsia"/>
          <w:sz w:val="28"/>
          <w:szCs w:val="28"/>
          <w:highlight w:val="none"/>
          <w:u w:val="single"/>
        </w:rPr>
        <w:t xml:space="preserve">                          </w:t>
      </w:r>
    </w:p>
    <w:p>
      <w:pPr>
        <w:tabs>
          <w:tab w:val="clear" w:pos="426"/>
        </w:tabs>
        <w:ind w:left="1275" w:leftChars="607"/>
        <w:rPr>
          <w:sz w:val="28"/>
          <w:szCs w:val="28"/>
          <w:highlight w:val="none"/>
        </w:rPr>
      </w:pPr>
      <w:r>
        <w:rPr>
          <w:rFonts w:hint="eastAsia"/>
          <w:sz w:val="28"/>
          <w:szCs w:val="28"/>
          <w:highlight w:val="none"/>
        </w:rPr>
        <w:t>投标人代表（签名）：</w:t>
      </w:r>
      <w:r>
        <w:rPr>
          <w:rFonts w:hint="eastAsia"/>
          <w:sz w:val="28"/>
          <w:szCs w:val="28"/>
          <w:highlight w:val="none"/>
          <w:u w:val="single"/>
        </w:rPr>
        <w:t xml:space="preserve">                         </w:t>
      </w:r>
    </w:p>
    <w:p>
      <w:pPr>
        <w:tabs>
          <w:tab w:val="clear" w:pos="426"/>
        </w:tabs>
        <w:ind w:left="1275" w:leftChars="607"/>
        <w:rPr>
          <w:sz w:val="28"/>
          <w:szCs w:val="28"/>
          <w:highlight w:val="none"/>
        </w:rPr>
      </w:pPr>
      <w:r>
        <w:rPr>
          <w:rFonts w:hint="eastAsia"/>
          <w:sz w:val="28"/>
          <w:szCs w:val="28"/>
          <w:highlight w:val="none"/>
        </w:rPr>
        <w:t>投标日期：</w:t>
      </w:r>
      <w:r>
        <w:rPr>
          <w:rFonts w:hint="eastAsia"/>
          <w:sz w:val="28"/>
          <w:szCs w:val="28"/>
          <w:highlight w:val="none"/>
          <w:u w:val="single"/>
        </w:rPr>
        <w:t xml:space="preserve">                  年     月      日</w:t>
      </w:r>
    </w:p>
    <w:p>
      <w:pPr>
        <w:tabs>
          <w:tab w:val="clear" w:pos="426"/>
        </w:tabs>
        <w:rPr>
          <w:highlight w:val="none"/>
        </w:rPr>
      </w:pPr>
    </w:p>
    <w:p>
      <w:pPr>
        <w:adjustRightInd/>
        <w:snapToGrid/>
        <w:spacing w:before="280" w:after="290" w:line="377" w:lineRule="auto"/>
        <w:jc w:val="center"/>
        <w:outlineLvl w:val="2"/>
        <w:rPr>
          <w:b/>
          <w:sz w:val="24"/>
          <w:highlight w:val="none"/>
        </w:rPr>
      </w:pPr>
      <w:r>
        <w:rPr>
          <w:highlight w:val="none"/>
        </w:rPr>
        <w:br w:type="page"/>
      </w:r>
      <w:r>
        <w:rPr>
          <w:rFonts w:hint="eastAsia"/>
          <w:b/>
          <w:sz w:val="24"/>
          <w:highlight w:val="none"/>
        </w:rPr>
        <w:t>投标文件目录（目录格式自定）</w:t>
      </w:r>
    </w:p>
    <w:p>
      <w:pPr>
        <w:tabs>
          <w:tab w:val="clear" w:pos="426"/>
        </w:tabs>
        <w:rPr>
          <w:highlight w:val="none"/>
        </w:rPr>
      </w:pPr>
      <w:r>
        <w:rPr>
          <w:rFonts w:hint="eastAsia"/>
          <w:highlight w:val="none"/>
        </w:rPr>
        <w:t>按照招标文件的要求编制投标文件相应内容，请标明各部分内容的页码。</w:t>
      </w:r>
    </w:p>
    <w:p>
      <w:pPr>
        <w:tabs>
          <w:tab w:val="clear" w:pos="426"/>
        </w:tabs>
        <w:rPr>
          <w:highlight w:val="none"/>
        </w:rPr>
      </w:pPr>
    </w:p>
    <w:p>
      <w:pPr>
        <w:tabs>
          <w:tab w:val="clear" w:pos="426"/>
        </w:tabs>
        <w:rPr>
          <w:highlight w:val="none"/>
        </w:rPr>
      </w:pPr>
    </w:p>
    <w:p>
      <w:pPr>
        <w:tabs>
          <w:tab w:val="clear" w:pos="426"/>
        </w:tabs>
        <w:adjustRightInd/>
        <w:snapToGrid/>
        <w:spacing w:before="280" w:after="290" w:line="377" w:lineRule="auto"/>
        <w:jc w:val="center"/>
        <w:outlineLvl w:val="2"/>
        <w:rPr>
          <w:b/>
          <w:sz w:val="24"/>
          <w:highlight w:val="none"/>
        </w:rPr>
      </w:pPr>
      <w:r>
        <w:rPr>
          <w:highlight w:val="none"/>
        </w:rPr>
        <w:br w:type="page"/>
      </w:r>
      <w:r>
        <w:rPr>
          <w:rFonts w:hint="eastAsia"/>
          <w:b/>
          <w:sz w:val="24"/>
          <w:highlight w:val="none"/>
        </w:rPr>
        <w:t>评标指引表</w:t>
      </w:r>
    </w:p>
    <w:p>
      <w:pPr>
        <w:tabs>
          <w:tab w:val="clear" w:pos="426"/>
        </w:tabs>
        <w:jc w:val="center"/>
        <w:rPr>
          <w:b/>
          <w:highlight w:val="none"/>
        </w:rPr>
      </w:pPr>
      <w:r>
        <w:rPr>
          <w:rFonts w:hint="eastAsia"/>
          <w:b/>
          <w:highlight w:val="none"/>
        </w:rPr>
        <w:t>（置于投标文件的首页）</w:t>
      </w:r>
    </w:p>
    <w:p>
      <w:pPr>
        <w:tabs>
          <w:tab w:val="clear" w:pos="426"/>
        </w:tabs>
        <w:ind w:firstLine="420" w:firstLineChars="200"/>
        <w:rPr>
          <w:highlight w:val="none"/>
        </w:rPr>
      </w:pPr>
      <w:r>
        <w:rPr>
          <w:rFonts w:hint="eastAsia"/>
          <w:szCs w:val="21"/>
          <w:highlight w:val="none"/>
        </w:rPr>
        <w:t>为方便参与该项目的评委专家的评标，快速找到评标事项与该项目投标文件所对应的位置，请投标人参照下表格式，编制本项目评标指引表。</w:t>
      </w:r>
    </w:p>
    <w:p>
      <w:pPr>
        <w:pStyle w:val="8"/>
        <w:tabs>
          <w:tab w:val="clear" w:pos="426"/>
        </w:tabs>
        <w:ind w:firstLine="0"/>
        <w:rPr>
          <w:highlight w:val="none"/>
        </w:rPr>
      </w:pPr>
      <w:r>
        <w:rPr>
          <w:rFonts w:hint="eastAsia"/>
          <w:highlight w:val="none"/>
        </w:rPr>
        <w:t>项目名称：</w:t>
      </w:r>
    </w:p>
    <w:p>
      <w:pPr>
        <w:pStyle w:val="8"/>
        <w:tabs>
          <w:tab w:val="clear" w:pos="426"/>
        </w:tabs>
        <w:ind w:firstLine="0"/>
        <w:rPr>
          <w:highlight w:val="none"/>
        </w:rPr>
      </w:pPr>
      <w:r>
        <w:rPr>
          <w:rFonts w:hint="eastAsia"/>
          <w:highlight w:val="none"/>
        </w:rPr>
        <w:t>项目编号：</w:t>
      </w:r>
    </w:p>
    <w:p>
      <w:pPr>
        <w:tabs>
          <w:tab w:val="clear" w:pos="426"/>
        </w:tabs>
        <w:jc w:val="center"/>
        <w:rPr>
          <w:b/>
          <w:highlight w:val="none"/>
        </w:rPr>
      </w:pPr>
      <w:r>
        <w:rPr>
          <w:rFonts w:hint="eastAsia"/>
          <w:b/>
          <w:highlight w:val="none"/>
        </w:rPr>
        <w:t>项目评标指引表</w:t>
      </w:r>
    </w:p>
    <w:tbl>
      <w:tblPr>
        <w:tblStyle w:val="4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46"/>
        <w:gridCol w:w="3857"/>
        <w:gridCol w:w="1642"/>
        <w:gridCol w:w="98"/>
        <w:gridCol w:w="1365"/>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b/>
                <w:highlight w:val="none"/>
              </w:rPr>
            </w:pPr>
            <w:r>
              <w:rPr>
                <w:rFonts w:hint="eastAsia"/>
                <w:b/>
                <w:highlight w:val="none"/>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highlight w:val="none"/>
              </w:rPr>
            </w:pPr>
            <w:r>
              <w:rPr>
                <w:rFonts w:hint="eastAsia"/>
                <w:b/>
                <w:highlight w:val="none"/>
              </w:rPr>
              <w:t>序号</w:t>
            </w:r>
          </w:p>
        </w:tc>
        <w:tc>
          <w:tcPr>
            <w:tcW w:w="4203" w:type="dxa"/>
            <w:gridSpan w:val="2"/>
            <w:vAlign w:val="center"/>
          </w:tcPr>
          <w:p>
            <w:pPr>
              <w:tabs>
                <w:tab w:val="clear" w:pos="426"/>
              </w:tabs>
              <w:adjustRightInd/>
              <w:snapToGrid/>
              <w:spacing w:line="240" w:lineRule="auto"/>
              <w:jc w:val="center"/>
              <w:rPr>
                <w:b/>
                <w:highlight w:val="none"/>
              </w:rPr>
            </w:pPr>
            <w:r>
              <w:rPr>
                <w:rFonts w:hint="eastAsia"/>
                <w:b/>
                <w:highlight w:val="none"/>
              </w:rPr>
              <w:t>资格性审查项目</w:t>
            </w:r>
          </w:p>
        </w:tc>
        <w:tc>
          <w:tcPr>
            <w:tcW w:w="3105" w:type="dxa"/>
            <w:gridSpan w:val="3"/>
            <w:vAlign w:val="center"/>
          </w:tcPr>
          <w:p>
            <w:pPr>
              <w:tabs>
                <w:tab w:val="clear" w:pos="426"/>
              </w:tabs>
              <w:adjustRightInd/>
              <w:snapToGrid/>
              <w:spacing w:line="240" w:lineRule="auto"/>
              <w:jc w:val="center"/>
              <w:rPr>
                <w:b/>
                <w:highlight w:val="none"/>
              </w:rPr>
            </w:pPr>
            <w:r>
              <w:rPr>
                <w:rFonts w:hint="eastAsia"/>
                <w:b/>
                <w:highlight w:val="none"/>
              </w:rPr>
              <w:t>证明文件</w:t>
            </w:r>
          </w:p>
        </w:tc>
        <w:tc>
          <w:tcPr>
            <w:tcW w:w="1397" w:type="dxa"/>
            <w:vAlign w:val="center"/>
          </w:tcPr>
          <w:p>
            <w:pPr>
              <w:tabs>
                <w:tab w:val="clear" w:pos="426"/>
              </w:tabs>
              <w:adjustRightInd/>
              <w:snapToGrid/>
              <w:spacing w:line="240" w:lineRule="auto"/>
              <w:jc w:val="center"/>
              <w:rPr>
                <w:b/>
                <w:highlight w:val="none"/>
              </w:rPr>
            </w:pPr>
            <w:r>
              <w:rPr>
                <w:rFonts w:hint="eastAsia"/>
                <w:b/>
                <w:highlight w:val="none"/>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restart"/>
            <w:vAlign w:val="center"/>
          </w:tcPr>
          <w:p>
            <w:pPr>
              <w:tabs>
                <w:tab w:val="clear" w:pos="426"/>
              </w:tabs>
              <w:adjustRightInd/>
              <w:snapToGrid/>
              <w:spacing w:line="240" w:lineRule="auto"/>
              <w:jc w:val="center"/>
              <w:rPr>
                <w:b/>
                <w:highlight w:val="none"/>
              </w:rPr>
            </w:pPr>
            <w:r>
              <w:rPr>
                <w:rFonts w:hint="eastAsia"/>
                <w:b/>
                <w:highlight w:val="none"/>
              </w:rPr>
              <w:t>1</w:t>
            </w:r>
          </w:p>
        </w:tc>
        <w:tc>
          <w:tcPr>
            <w:tcW w:w="4203" w:type="dxa"/>
            <w:gridSpan w:val="2"/>
            <w:vMerge w:val="restart"/>
            <w:vAlign w:val="center"/>
          </w:tcPr>
          <w:p>
            <w:pPr>
              <w:tabs>
                <w:tab w:val="clear" w:pos="426"/>
              </w:tabs>
              <w:adjustRightInd/>
              <w:snapToGrid/>
              <w:spacing w:line="240" w:lineRule="auto"/>
              <w:jc w:val="center"/>
              <w:rPr>
                <w:b/>
                <w:highlight w:val="none"/>
              </w:rPr>
            </w:pPr>
            <w:r>
              <w:rPr>
                <w:rFonts w:hint="eastAsia"/>
                <w:color w:val="000000"/>
                <w:highlight w:val="none"/>
              </w:rPr>
              <w:t>投标人资质要求</w:t>
            </w:r>
          </w:p>
        </w:tc>
        <w:tc>
          <w:tcPr>
            <w:tcW w:w="3105" w:type="dxa"/>
            <w:gridSpan w:val="3"/>
            <w:vAlign w:val="center"/>
          </w:tcPr>
          <w:p>
            <w:pPr>
              <w:tabs>
                <w:tab w:val="clear" w:pos="426"/>
              </w:tabs>
              <w:adjustRightInd/>
              <w:snapToGrid/>
              <w:spacing w:line="240" w:lineRule="auto"/>
              <w:jc w:val="center"/>
              <w:rPr>
                <w:highlight w:val="none"/>
              </w:rPr>
            </w:pPr>
            <w:r>
              <w:rPr>
                <w:rFonts w:hint="eastAsia"/>
                <w:highlight w:val="none"/>
              </w:rPr>
              <w:t>营业执照</w:t>
            </w:r>
          </w:p>
        </w:tc>
        <w:tc>
          <w:tcPr>
            <w:tcW w:w="1397" w:type="dxa"/>
            <w:shd w:val="clear" w:color="auto" w:fill="auto"/>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highlight w:val="none"/>
              </w:rPr>
            </w:pPr>
          </w:p>
        </w:tc>
        <w:tc>
          <w:tcPr>
            <w:tcW w:w="4203" w:type="dxa"/>
            <w:gridSpan w:val="2"/>
            <w:vMerge w:val="continue"/>
            <w:vAlign w:val="center"/>
          </w:tcPr>
          <w:p>
            <w:pPr>
              <w:tabs>
                <w:tab w:val="clear" w:pos="426"/>
              </w:tabs>
              <w:adjustRightInd/>
              <w:snapToGrid/>
              <w:spacing w:line="240" w:lineRule="auto"/>
              <w:jc w:val="center"/>
              <w:rPr>
                <w:color w:val="000000"/>
                <w:highlight w:val="none"/>
              </w:rPr>
            </w:pPr>
          </w:p>
        </w:tc>
        <w:tc>
          <w:tcPr>
            <w:tcW w:w="3105" w:type="dxa"/>
            <w:gridSpan w:val="3"/>
            <w:vAlign w:val="center"/>
          </w:tcPr>
          <w:p>
            <w:pPr>
              <w:tabs>
                <w:tab w:val="clear" w:pos="426"/>
              </w:tabs>
              <w:adjustRightInd/>
              <w:snapToGrid/>
              <w:spacing w:line="240" w:lineRule="auto"/>
              <w:jc w:val="center"/>
              <w:rPr>
                <w:highlight w:val="none"/>
              </w:rPr>
            </w:pPr>
          </w:p>
        </w:tc>
        <w:tc>
          <w:tcPr>
            <w:tcW w:w="1397" w:type="dxa"/>
            <w:shd w:val="clear" w:color="auto" w:fill="auto"/>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highlight w:val="none"/>
              </w:rPr>
            </w:pPr>
          </w:p>
        </w:tc>
        <w:tc>
          <w:tcPr>
            <w:tcW w:w="4203" w:type="dxa"/>
            <w:gridSpan w:val="2"/>
            <w:vMerge w:val="continue"/>
            <w:vAlign w:val="center"/>
          </w:tcPr>
          <w:p>
            <w:pPr>
              <w:tabs>
                <w:tab w:val="clear" w:pos="426"/>
              </w:tabs>
              <w:adjustRightInd/>
              <w:snapToGrid/>
              <w:spacing w:line="240" w:lineRule="auto"/>
              <w:jc w:val="center"/>
              <w:rPr>
                <w:color w:val="000000"/>
                <w:highlight w:val="none"/>
              </w:rPr>
            </w:pPr>
          </w:p>
        </w:tc>
        <w:tc>
          <w:tcPr>
            <w:tcW w:w="3105" w:type="dxa"/>
            <w:gridSpan w:val="3"/>
            <w:vAlign w:val="center"/>
          </w:tcPr>
          <w:p>
            <w:pPr>
              <w:tabs>
                <w:tab w:val="clear" w:pos="426"/>
              </w:tabs>
              <w:adjustRightInd/>
              <w:snapToGrid/>
              <w:spacing w:line="240" w:lineRule="auto"/>
              <w:jc w:val="center"/>
              <w:rPr>
                <w:highlight w:val="none"/>
              </w:rPr>
            </w:pPr>
          </w:p>
        </w:tc>
        <w:tc>
          <w:tcPr>
            <w:tcW w:w="1397" w:type="dxa"/>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highlight w:val="none"/>
              </w:rPr>
            </w:pPr>
          </w:p>
        </w:tc>
        <w:tc>
          <w:tcPr>
            <w:tcW w:w="4203" w:type="dxa"/>
            <w:gridSpan w:val="2"/>
            <w:vMerge w:val="continue"/>
            <w:vAlign w:val="center"/>
          </w:tcPr>
          <w:p>
            <w:pPr>
              <w:tabs>
                <w:tab w:val="clear" w:pos="426"/>
              </w:tabs>
              <w:adjustRightInd/>
              <w:snapToGrid/>
              <w:spacing w:line="240" w:lineRule="auto"/>
              <w:jc w:val="center"/>
              <w:rPr>
                <w:color w:val="000000"/>
                <w:highlight w:val="none"/>
              </w:rPr>
            </w:pPr>
          </w:p>
        </w:tc>
        <w:tc>
          <w:tcPr>
            <w:tcW w:w="3105" w:type="dxa"/>
            <w:gridSpan w:val="3"/>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highlight w:val="none"/>
              </w:rPr>
            </w:pPr>
          </w:p>
        </w:tc>
        <w:tc>
          <w:tcPr>
            <w:tcW w:w="4203" w:type="dxa"/>
            <w:gridSpan w:val="2"/>
            <w:vMerge w:val="continue"/>
            <w:vAlign w:val="center"/>
          </w:tcPr>
          <w:p>
            <w:pPr>
              <w:tabs>
                <w:tab w:val="clear" w:pos="426"/>
              </w:tabs>
              <w:adjustRightInd/>
              <w:snapToGrid/>
              <w:spacing w:line="240" w:lineRule="auto"/>
              <w:jc w:val="center"/>
              <w:rPr>
                <w:color w:val="000000"/>
                <w:highlight w:val="none"/>
              </w:rPr>
            </w:pPr>
          </w:p>
        </w:tc>
        <w:tc>
          <w:tcPr>
            <w:tcW w:w="3105" w:type="dxa"/>
            <w:gridSpan w:val="3"/>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highlight w:val="none"/>
              </w:rPr>
            </w:pPr>
          </w:p>
        </w:tc>
        <w:tc>
          <w:tcPr>
            <w:tcW w:w="4203" w:type="dxa"/>
            <w:gridSpan w:val="2"/>
            <w:vMerge w:val="continue"/>
            <w:vAlign w:val="center"/>
          </w:tcPr>
          <w:p>
            <w:pPr>
              <w:tabs>
                <w:tab w:val="clear" w:pos="426"/>
              </w:tabs>
              <w:adjustRightInd/>
              <w:snapToGrid/>
              <w:spacing w:line="240" w:lineRule="auto"/>
              <w:jc w:val="center"/>
              <w:rPr>
                <w:color w:val="000000"/>
                <w:highlight w:val="none"/>
              </w:rPr>
            </w:pPr>
          </w:p>
        </w:tc>
        <w:tc>
          <w:tcPr>
            <w:tcW w:w="3105" w:type="dxa"/>
            <w:gridSpan w:val="3"/>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highlight w:val="none"/>
              </w:rPr>
            </w:pPr>
            <w:r>
              <w:rPr>
                <w:rFonts w:hint="eastAsia"/>
                <w:b/>
                <w:highlight w:val="none"/>
              </w:rPr>
              <w:t>2</w:t>
            </w:r>
          </w:p>
        </w:tc>
        <w:tc>
          <w:tcPr>
            <w:tcW w:w="4203" w:type="dxa"/>
            <w:gridSpan w:val="2"/>
            <w:vAlign w:val="center"/>
          </w:tcPr>
          <w:p>
            <w:pPr>
              <w:tabs>
                <w:tab w:val="clear" w:pos="426"/>
              </w:tabs>
              <w:adjustRightInd/>
              <w:snapToGrid/>
              <w:spacing w:line="240" w:lineRule="auto"/>
              <w:jc w:val="center"/>
              <w:rPr>
                <w:b/>
                <w:highlight w:val="none"/>
              </w:rPr>
            </w:pPr>
            <w:r>
              <w:rPr>
                <w:rFonts w:hint="eastAsia"/>
                <w:color w:val="000000"/>
                <w:highlight w:val="none"/>
              </w:rPr>
              <w:t>投标截止时间前投标保证金缴纳情况</w:t>
            </w:r>
          </w:p>
        </w:tc>
        <w:tc>
          <w:tcPr>
            <w:tcW w:w="3105" w:type="dxa"/>
            <w:gridSpan w:val="3"/>
            <w:vAlign w:val="center"/>
          </w:tcPr>
          <w:p>
            <w:pPr>
              <w:tabs>
                <w:tab w:val="clear" w:pos="426"/>
              </w:tabs>
              <w:adjustRightInd/>
              <w:snapToGrid/>
              <w:spacing w:line="240" w:lineRule="auto"/>
              <w:jc w:val="center"/>
              <w:rPr>
                <w:highlight w:val="none"/>
              </w:rPr>
            </w:pPr>
            <w:r>
              <w:rPr>
                <w:rFonts w:hint="eastAsia"/>
                <w:highlight w:val="none"/>
              </w:rPr>
              <w:t>投标保证金缴纳承诺函</w:t>
            </w:r>
          </w:p>
        </w:tc>
        <w:tc>
          <w:tcPr>
            <w:tcW w:w="1397" w:type="dxa"/>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b/>
                <w:highlight w:val="none"/>
              </w:rPr>
            </w:pPr>
            <w:r>
              <w:rPr>
                <w:rFonts w:hint="eastAsia"/>
                <w:b/>
                <w:highlight w:val="none"/>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highlight w:val="none"/>
              </w:rPr>
            </w:pPr>
            <w:r>
              <w:rPr>
                <w:rFonts w:hint="eastAsia"/>
                <w:b/>
                <w:highlight w:val="none"/>
              </w:rPr>
              <w:t>序号</w:t>
            </w:r>
          </w:p>
        </w:tc>
        <w:tc>
          <w:tcPr>
            <w:tcW w:w="5943" w:type="dxa"/>
            <w:gridSpan w:val="4"/>
            <w:vAlign w:val="center"/>
          </w:tcPr>
          <w:p>
            <w:pPr>
              <w:tabs>
                <w:tab w:val="clear" w:pos="426"/>
              </w:tabs>
              <w:adjustRightInd/>
              <w:snapToGrid/>
              <w:spacing w:line="240" w:lineRule="auto"/>
              <w:jc w:val="center"/>
              <w:rPr>
                <w:b/>
                <w:highlight w:val="none"/>
              </w:rPr>
            </w:pPr>
            <w:r>
              <w:rPr>
                <w:rFonts w:hint="eastAsia"/>
                <w:b/>
                <w:highlight w:val="none"/>
              </w:rPr>
              <w:t>符合性审查项目</w:t>
            </w:r>
          </w:p>
        </w:tc>
        <w:tc>
          <w:tcPr>
            <w:tcW w:w="2762" w:type="dxa"/>
            <w:gridSpan w:val="2"/>
            <w:vAlign w:val="center"/>
          </w:tcPr>
          <w:p>
            <w:pPr>
              <w:tabs>
                <w:tab w:val="clear" w:pos="426"/>
              </w:tabs>
              <w:adjustRightInd/>
              <w:snapToGrid/>
              <w:spacing w:line="240" w:lineRule="auto"/>
              <w:jc w:val="center"/>
              <w:rPr>
                <w:b/>
                <w:highlight w:val="none"/>
              </w:rPr>
            </w:pPr>
            <w:r>
              <w:rPr>
                <w:rFonts w:hint="eastAsia"/>
                <w:b/>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1</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未出现将一个包或一个标段的内容拆开投标；</w:t>
            </w:r>
          </w:p>
        </w:tc>
        <w:tc>
          <w:tcPr>
            <w:tcW w:w="2762" w:type="dxa"/>
            <w:gridSpan w:val="2"/>
            <w:vAlign w:val="center"/>
          </w:tcPr>
          <w:p>
            <w:pPr>
              <w:tabs>
                <w:tab w:val="clear" w:pos="426"/>
              </w:tabs>
              <w:adjustRightInd/>
              <w:snapToGrid/>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2</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投标文件及开标一览表按规定密封、签字、盖章</w:t>
            </w:r>
          </w:p>
        </w:tc>
        <w:tc>
          <w:tcPr>
            <w:tcW w:w="2762" w:type="dxa"/>
            <w:gridSpan w:val="2"/>
            <w:vAlign w:val="center"/>
          </w:tcPr>
          <w:p>
            <w:pPr>
              <w:tabs>
                <w:tab w:val="clear" w:pos="426"/>
              </w:tabs>
              <w:adjustRightInd/>
              <w:snapToGrid/>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3</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除招标文件规定允许有替代方案外，对同一项目投标时，未提供两套或两套以上的投标方案；</w:t>
            </w:r>
            <w:r>
              <w:rPr>
                <w:highlight w:val="none"/>
              </w:rPr>
              <w:t xml:space="preserve"> </w:t>
            </w:r>
          </w:p>
        </w:tc>
        <w:tc>
          <w:tcPr>
            <w:tcW w:w="2762" w:type="dxa"/>
            <w:gridSpan w:val="2"/>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4</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按招标文件所提供的样式填写</w:t>
            </w:r>
            <w:r>
              <w:rPr>
                <w:highlight w:val="none"/>
              </w:rPr>
              <w:t>《</w:t>
            </w:r>
            <w:r>
              <w:rPr>
                <w:rFonts w:hint="eastAsia"/>
                <w:highlight w:val="none"/>
              </w:rPr>
              <w:t>投标函》；按招标文件所提供的《政府采购投标及履约承诺函》进行承诺；</w:t>
            </w:r>
          </w:p>
        </w:tc>
        <w:tc>
          <w:tcPr>
            <w:tcW w:w="2762" w:type="dxa"/>
            <w:gridSpan w:val="2"/>
            <w:vAlign w:val="center"/>
          </w:tcPr>
          <w:p>
            <w:pPr>
              <w:tabs>
                <w:tab w:val="clear" w:pos="426"/>
              </w:tabs>
              <w:adjustRightInd/>
              <w:snapToGrid/>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5</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按照招标文件规定要求签署、盖章；投标文件有法定代表人签字、投标文件签字人有法定代表人有效授权书的；</w:t>
            </w:r>
          </w:p>
        </w:tc>
        <w:tc>
          <w:tcPr>
            <w:tcW w:w="2762" w:type="dxa"/>
            <w:gridSpan w:val="2"/>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6</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所投产品、工程、服务在商务、技术等方面实质性满足招标文件要求的（是否实质性满足招标文件要求，由评标委员会做出评判）；</w:t>
            </w:r>
          </w:p>
        </w:tc>
        <w:tc>
          <w:tcPr>
            <w:tcW w:w="2762" w:type="dxa"/>
            <w:gridSpan w:val="2"/>
            <w:vAlign w:val="center"/>
          </w:tcPr>
          <w:p>
            <w:pPr>
              <w:tabs>
                <w:tab w:val="clear" w:pos="426"/>
              </w:tabs>
              <w:adjustRightInd/>
              <w:snapToGrid/>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7</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投标文件不存在招标文件中规定的其它无效投标条款的；</w:t>
            </w:r>
          </w:p>
        </w:tc>
        <w:tc>
          <w:tcPr>
            <w:tcW w:w="2762" w:type="dxa"/>
            <w:gridSpan w:val="2"/>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8</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不属于法律、法规规定的投标无效的其他情形。</w:t>
            </w:r>
          </w:p>
        </w:tc>
        <w:tc>
          <w:tcPr>
            <w:tcW w:w="2762" w:type="dxa"/>
            <w:gridSpan w:val="2"/>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b/>
                <w:highlight w:val="none"/>
              </w:rPr>
            </w:pPr>
            <w:r>
              <w:rPr>
                <w:rFonts w:hint="eastAsia"/>
                <w:b/>
                <w:highlight w:val="none"/>
              </w:rPr>
              <w:t>三、综合评分指引（请根据项目评分表内容调整）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highlight w:val="none"/>
              </w:rPr>
            </w:pPr>
            <w:r>
              <w:rPr>
                <w:rFonts w:hint="eastAsia"/>
                <w:b/>
                <w:highlight w:val="none"/>
              </w:rPr>
              <w:t>评分类别</w:t>
            </w:r>
          </w:p>
        </w:tc>
        <w:tc>
          <w:tcPr>
            <w:tcW w:w="5499" w:type="dxa"/>
            <w:gridSpan w:val="2"/>
            <w:vAlign w:val="center"/>
          </w:tcPr>
          <w:p>
            <w:pPr>
              <w:tabs>
                <w:tab w:val="clear" w:pos="426"/>
              </w:tabs>
              <w:adjustRightInd/>
              <w:snapToGrid/>
              <w:spacing w:line="240" w:lineRule="auto"/>
              <w:jc w:val="center"/>
              <w:rPr>
                <w:b/>
                <w:highlight w:val="none"/>
              </w:rPr>
            </w:pPr>
            <w:r>
              <w:rPr>
                <w:rFonts w:hint="eastAsia"/>
                <w:b/>
                <w:highlight w:val="none"/>
              </w:rPr>
              <w:t>评分项目</w:t>
            </w:r>
          </w:p>
        </w:tc>
        <w:tc>
          <w:tcPr>
            <w:tcW w:w="1463" w:type="dxa"/>
            <w:gridSpan w:val="2"/>
            <w:vAlign w:val="center"/>
          </w:tcPr>
          <w:p>
            <w:pPr>
              <w:tabs>
                <w:tab w:val="clear" w:pos="426"/>
              </w:tabs>
              <w:adjustRightInd/>
              <w:snapToGrid/>
              <w:spacing w:line="240" w:lineRule="auto"/>
              <w:jc w:val="center"/>
              <w:rPr>
                <w:b/>
                <w:highlight w:val="none"/>
              </w:rPr>
            </w:pPr>
            <w:r>
              <w:rPr>
                <w:rFonts w:hint="eastAsia"/>
                <w:b/>
                <w:highlight w:val="none"/>
              </w:rPr>
              <w:t>对应章节</w:t>
            </w:r>
          </w:p>
        </w:tc>
        <w:tc>
          <w:tcPr>
            <w:tcW w:w="1397" w:type="dxa"/>
            <w:vAlign w:val="center"/>
          </w:tcPr>
          <w:p>
            <w:pPr>
              <w:tabs>
                <w:tab w:val="clear" w:pos="426"/>
              </w:tabs>
              <w:adjustRightInd/>
              <w:snapToGrid/>
              <w:spacing w:line="240" w:lineRule="auto"/>
              <w:jc w:val="center"/>
              <w:rPr>
                <w:b/>
                <w:highlight w:val="none"/>
              </w:rPr>
            </w:pPr>
            <w:r>
              <w:rPr>
                <w:rFonts w:hint="eastAsia"/>
                <w:b/>
                <w:highlight w:val="none"/>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highlight w:val="none"/>
              </w:rPr>
            </w:pPr>
          </w:p>
        </w:tc>
        <w:tc>
          <w:tcPr>
            <w:tcW w:w="5499" w:type="dxa"/>
            <w:gridSpan w:val="2"/>
            <w:shd w:val="clear" w:color="auto" w:fill="auto"/>
            <w:vAlign w:val="center"/>
          </w:tcPr>
          <w:p>
            <w:pPr>
              <w:tabs>
                <w:tab w:val="clear" w:pos="426"/>
              </w:tabs>
              <w:adjustRightInd/>
              <w:snapToGrid/>
              <w:spacing w:line="240" w:lineRule="auto"/>
              <w:jc w:val="center"/>
              <w:rPr>
                <w:highlight w:val="none"/>
              </w:rPr>
            </w:pPr>
          </w:p>
        </w:tc>
        <w:tc>
          <w:tcPr>
            <w:tcW w:w="1463" w:type="dxa"/>
            <w:gridSpan w:val="2"/>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highlight w:val="none"/>
              </w:rPr>
            </w:pPr>
          </w:p>
        </w:tc>
        <w:tc>
          <w:tcPr>
            <w:tcW w:w="5499" w:type="dxa"/>
            <w:gridSpan w:val="2"/>
            <w:shd w:val="clear" w:color="auto" w:fill="auto"/>
            <w:vAlign w:val="center"/>
          </w:tcPr>
          <w:p>
            <w:pPr>
              <w:tabs>
                <w:tab w:val="clear" w:pos="426"/>
              </w:tabs>
              <w:adjustRightInd/>
              <w:snapToGrid/>
              <w:spacing w:line="240" w:lineRule="auto"/>
              <w:jc w:val="center"/>
              <w:rPr>
                <w:b/>
                <w:highlight w:val="none"/>
              </w:rPr>
            </w:pPr>
          </w:p>
        </w:tc>
        <w:tc>
          <w:tcPr>
            <w:tcW w:w="1463" w:type="dxa"/>
            <w:gridSpan w:val="2"/>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highlight w:val="none"/>
              </w:rPr>
            </w:pPr>
          </w:p>
        </w:tc>
        <w:tc>
          <w:tcPr>
            <w:tcW w:w="5499" w:type="dxa"/>
            <w:gridSpan w:val="2"/>
            <w:shd w:val="clear" w:color="auto" w:fill="auto"/>
            <w:vAlign w:val="center"/>
          </w:tcPr>
          <w:p>
            <w:pPr>
              <w:tabs>
                <w:tab w:val="clear" w:pos="426"/>
              </w:tabs>
              <w:adjustRightInd/>
              <w:snapToGrid/>
              <w:spacing w:line="240" w:lineRule="auto"/>
              <w:jc w:val="center"/>
              <w:rPr>
                <w:b/>
                <w:highlight w:val="none"/>
              </w:rPr>
            </w:pPr>
          </w:p>
        </w:tc>
        <w:tc>
          <w:tcPr>
            <w:tcW w:w="1463" w:type="dxa"/>
            <w:gridSpan w:val="2"/>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highlight w:val="none"/>
              </w:rPr>
            </w:pPr>
          </w:p>
        </w:tc>
        <w:tc>
          <w:tcPr>
            <w:tcW w:w="5499" w:type="dxa"/>
            <w:gridSpan w:val="2"/>
            <w:shd w:val="clear" w:color="auto" w:fill="auto"/>
            <w:vAlign w:val="center"/>
          </w:tcPr>
          <w:p>
            <w:pPr>
              <w:tabs>
                <w:tab w:val="clear" w:pos="426"/>
              </w:tabs>
              <w:adjustRightInd/>
              <w:snapToGrid/>
              <w:spacing w:line="240" w:lineRule="auto"/>
              <w:jc w:val="center"/>
              <w:rPr>
                <w:b/>
                <w:highlight w:val="none"/>
              </w:rPr>
            </w:pPr>
          </w:p>
        </w:tc>
        <w:tc>
          <w:tcPr>
            <w:tcW w:w="1463" w:type="dxa"/>
            <w:gridSpan w:val="2"/>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p>
        </w:tc>
      </w:tr>
    </w:tbl>
    <w:p>
      <w:pPr>
        <w:tabs>
          <w:tab w:val="clear" w:pos="426"/>
        </w:tabs>
        <w:rPr>
          <w:rFonts w:hint="eastAsia"/>
          <w:szCs w:val="21"/>
          <w:highlight w:val="none"/>
        </w:rPr>
      </w:pPr>
    </w:p>
    <w:p>
      <w:pPr>
        <w:tabs>
          <w:tab w:val="clear" w:pos="426"/>
        </w:tabs>
        <w:rPr>
          <w:szCs w:val="21"/>
          <w:highlight w:val="none"/>
        </w:rPr>
      </w:pPr>
      <w:r>
        <w:rPr>
          <w:rFonts w:hint="eastAsia"/>
          <w:szCs w:val="21"/>
          <w:highlight w:val="none"/>
        </w:rPr>
        <w:t>备注：对于“</w:t>
      </w:r>
      <w:r>
        <w:rPr>
          <w:rFonts w:hint="eastAsia"/>
          <w:b/>
          <w:highlight w:val="none"/>
        </w:rPr>
        <w:t>综合评分指引”</w:t>
      </w:r>
      <w:r>
        <w:rPr>
          <w:rFonts w:hint="eastAsia"/>
          <w:szCs w:val="21"/>
          <w:highlight w:val="none"/>
        </w:rPr>
        <w:t>请投标人按照</w:t>
      </w:r>
      <w:r>
        <w:rPr>
          <w:rFonts w:hint="eastAsia"/>
          <w:b/>
          <w:szCs w:val="21"/>
          <w:highlight w:val="none"/>
        </w:rPr>
        <w:t>评分细则表</w:t>
      </w:r>
      <w:r>
        <w:rPr>
          <w:rFonts w:hint="eastAsia"/>
          <w:szCs w:val="21"/>
          <w:highlight w:val="none"/>
        </w:rPr>
        <w:t>的评分要求，根据各评分项目以</w:t>
      </w:r>
      <w:r>
        <w:rPr>
          <w:rFonts w:hint="eastAsia"/>
          <w:b/>
          <w:szCs w:val="21"/>
          <w:highlight w:val="none"/>
        </w:rPr>
        <w:t>自上而下</w:t>
      </w:r>
      <w:r>
        <w:rPr>
          <w:rFonts w:hint="eastAsia"/>
          <w:szCs w:val="21"/>
          <w:highlight w:val="none"/>
        </w:rPr>
        <w:t>的顺序编制</w:t>
      </w:r>
      <w:r>
        <w:rPr>
          <w:rFonts w:hint="eastAsia"/>
          <w:highlight w:val="none"/>
        </w:rPr>
        <w:t>。因项目次序混乱而影响评标效率及评标结果者，投标人自负其责。</w:t>
      </w:r>
    </w:p>
    <w:p>
      <w:pPr>
        <w:tabs>
          <w:tab w:val="clear" w:pos="426"/>
        </w:tabs>
        <w:rPr>
          <w:highlight w:val="none"/>
        </w:rPr>
      </w:pPr>
    </w:p>
    <w:p>
      <w:pPr>
        <w:numPr>
          <w:ilvl w:val="0"/>
          <w:numId w:val="28"/>
        </w:numPr>
        <w:tabs>
          <w:tab w:val="clear" w:pos="426"/>
        </w:tabs>
        <w:adjustRightInd/>
        <w:snapToGrid/>
        <w:spacing w:before="280" w:after="290" w:line="377" w:lineRule="auto"/>
        <w:jc w:val="left"/>
        <w:outlineLvl w:val="2"/>
        <w:rPr>
          <w:b/>
          <w:sz w:val="24"/>
          <w:highlight w:val="none"/>
        </w:rPr>
      </w:pPr>
      <w:r>
        <w:rPr>
          <w:rFonts w:ascii="黑体" w:eastAsia="黑体"/>
          <w:bCs/>
          <w:sz w:val="28"/>
          <w:highlight w:val="none"/>
        </w:rPr>
        <w:br w:type="page"/>
      </w:r>
      <w:r>
        <w:rPr>
          <w:rFonts w:hint="eastAsia"/>
          <w:b/>
          <w:sz w:val="24"/>
          <w:highlight w:val="none"/>
        </w:rPr>
        <w:t>投标函</w:t>
      </w: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bookmarkStart w:id="38" w:name="_Toc201997950"/>
      <w:bookmarkStart w:id="39" w:name="_Toc201743120"/>
      <w:bookmarkStart w:id="40" w:name="_Toc201742865"/>
      <w:bookmarkStart w:id="41" w:name="_Toc201719122"/>
      <w:r>
        <w:rPr>
          <w:rFonts w:hint="eastAsia" w:cs="Times New Roman"/>
          <w:bCs/>
          <w:kern w:val="2"/>
          <w:sz w:val="32"/>
          <w:szCs w:val="32"/>
          <w:highlight w:val="none"/>
        </w:rPr>
        <w:t>投标函</w:t>
      </w:r>
      <w:bookmarkEnd w:id="38"/>
      <w:bookmarkEnd w:id="39"/>
      <w:bookmarkEnd w:id="40"/>
      <w:bookmarkEnd w:id="41"/>
    </w:p>
    <w:p>
      <w:pPr>
        <w:tabs>
          <w:tab w:val="clear" w:pos="426"/>
        </w:tabs>
        <w:spacing w:line="300" w:lineRule="auto"/>
        <w:rPr>
          <w:szCs w:val="21"/>
          <w:highlight w:val="none"/>
        </w:rPr>
      </w:pPr>
    </w:p>
    <w:p>
      <w:pPr>
        <w:tabs>
          <w:tab w:val="clear" w:pos="426"/>
        </w:tabs>
        <w:spacing w:line="300" w:lineRule="auto"/>
        <w:rPr>
          <w:szCs w:val="21"/>
          <w:highlight w:val="none"/>
        </w:rPr>
      </w:pPr>
      <w:r>
        <w:rPr>
          <w:rFonts w:hint="eastAsia"/>
          <w:szCs w:val="21"/>
          <w:highlight w:val="none"/>
        </w:rPr>
        <w:t>致：</w:t>
      </w:r>
      <w:r>
        <w:rPr>
          <w:rFonts w:hint="eastAsia"/>
          <w:szCs w:val="21"/>
          <w:highlight w:val="none"/>
          <w:u w:val="single"/>
        </w:rPr>
        <w:t xml:space="preserve">       （采购人名称)          </w:t>
      </w:r>
    </w:p>
    <w:p>
      <w:pPr>
        <w:spacing w:afterLines="50"/>
        <w:ind w:firstLine="420" w:firstLineChars="200"/>
        <w:rPr>
          <w:szCs w:val="21"/>
          <w:highlight w:val="none"/>
        </w:rPr>
      </w:pPr>
      <w:r>
        <w:rPr>
          <w:rFonts w:hint="eastAsia"/>
          <w:szCs w:val="21"/>
          <w:highlight w:val="none"/>
        </w:rPr>
        <w:t>1.根据已收到贵方的项目编号为</w:t>
      </w:r>
      <w:r>
        <w:rPr>
          <w:rFonts w:hint="eastAsia"/>
          <w:szCs w:val="21"/>
          <w:highlight w:val="none"/>
          <w:u w:val="single"/>
        </w:rPr>
        <w:t xml:space="preserve">        </w:t>
      </w:r>
      <w:r>
        <w:rPr>
          <w:rFonts w:hint="eastAsia"/>
          <w:szCs w:val="21"/>
          <w:highlight w:val="none"/>
        </w:rPr>
        <w:t>的</w:t>
      </w:r>
      <w:r>
        <w:rPr>
          <w:rFonts w:hint="eastAsia"/>
          <w:szCs w:val="21"/>
          <w:highlight w:val="none"/>
          <w:u w:val="single"/>
        </w:rPr>
        <w:t xml:space="preserve">               </w:t>
      </w:r>
      <w:r>
        <w:rPr>
          <w:rFonts w:hint="eastAsia"/>
          <w:szCs w:val="21"/>
          <w:highlight w:val="none"/>
        </w:rPr>
        <w:t>项目的招标文件，遵照《深圳经济特区政府采购条例》等有关规定，我单位经研究上述招标文件的专用条款及通用条款后，我方愿以投标书中《开标一览表》中填写的投标报价并按招标文件要求承包上述项目并修补其任何缺陷。</w:t>
      </w:r>
    </w:p>
    <w:p>
      <w:pPr>
        <w:spacing w:afterLines="50"/>
        <w:ind w:firstLine="420" w:firstLineChars="200"/>
        <w:rPr>
          <w:szCs w:val="21"/>
          <w:highlight w:val="none"/>
        </w:rPr>
      </w:pPr>
      <w:r>
        <w:rPr>
          <w:szCs w:val="21"/>
          <w:highlight w:val="none"/>
        </w:rPr>
        <w:t>2</w:t>
      </w:r>
      <w:r>
        <w:rPr>
          <w:rFonts w:hint="eastAsia"/>
          <w:szCs w:val="21"/>
          <w:highlight w:val="none"/>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afterLines="50"/>
        <w:ind w:firstLine="420" w:firstLineChars="200"/>
        <w:rPr>
          <w:szCs w:val="21"/>
          <w:highlight w:val="none"/>
        </w:rPr>
      </w:pPr>
      <w:r>
        <w:rPr>
          <w:rFonts w:hint="eastAsia"/>
          <w:szCs w:val="21"/>
          <w:highlight w:val="none"/>
        </w:rPr>
        <w:t>3.如果我方中标，</w:t>
      </w:r>
      <w:r>
        <w:rPr>
          <w:rFonts w:hint="eastAsia"/>
          <w:szCs w:val="21"/>
          <w:highlight w:val="none"/>
          <w:lang w:eastAsia="zh-CN"/>
        </w:rPr>
        <w:t>我方承诺接受招标人对我单位的</w:t>
      </w:r>
      <w:r>
        <w:rPr>
          <w:rFonts w:hint="eastAsia"/>
          <w:szCs w:val="21"/>
          <w:highlight w:val="none"/>
        </w:rPr>
        <w:t>管理与考核。</w:t>
      </w:r>
    </w:p>
    <w:p>
      <w:pPr>
        <w:spacing w:afterLines="50"/>
        <w:ind w:firstLine="411" w:firstLineChars="196"/>
        <w:rPr>
          <w:szCs w:val="21"/>
          <w:highlight w:val="none"/>
        </w:rPr>
      </w:pPr>
      <w:r>
        <w:rPr>
          <w:rFonts w:hint="eastAsia"/>
          <w:szCs w:val="21"/>
          <w:highlight w:val="none"/>
        </w:rPr>
        <w:t>4.我方同意所递交的投标文件在“对通用条款的补充内容”中的投标有效期内有效，在此期间内我方的投标有可能中标，我方将受此约束。如果在投标有效期内撤回其投标，其投标保证金将全部被没收。</w:t>
      </w:r>
    </w:p>
    <w:p>
      <w:pPr>
        <w:spacing w:afterLines="50"/>
        <w:ind w:firstLine="411" w:firstLineChars="196"/>
        <w:rPr>
          <w:szCs w:val="21"/>
          <w:highlight w:val="none"/>
        </w:rPr>
      </w:pPr>
      <w:r>
        <w:rPr>
          <w:rFonts w:hint="eastAsia"/>
          <w:szCs w:val="21"/>
          <w:highlight w:val="none"/>
        </w:rPr>
        <w:t>5.除非另外达成协议并生效，贵方的中标通知书和本投标文件将构成约束我们双方的合同。</w:t>
      </w:r>
    </w:p>
    <w:p>
      <w:pPr>
        <w:spacing w:afterLines="50"/>
        <w:ind w:firstLine="411" w:firstLineChars="196"/>
        <w:rPr>
          <w:szCs w:val="21"/>
          <w:highlight w:val="none"/>
        </w:rPr>
      </w:pPr>
      <w:r>
        <w:rPr>
          <w:rFonts w:hint="eastAsia"/>
          <w:szCs w:val="21"/>
          <w:highlight w:val="none"/>
        </w:rPr>
        <w:t>6.我方理解贵方将不受必须接受你们所收到的最低标价或其它任何投标文件的约束。</w:t>
      </w:r>
    </w:p>
    <w:p>
      <w:pPr>
        <w:tabs>
          <w:tab w:val="clear" w:pos="426"/>
        </w:tabs>
        <w:spacing w:line="300" w:lineRule="auto"/>
        <w:rPr>
          <w:szCs w:val="21"/>
          <w:highlight w:val="none"/>
        </w:rPr>
      </w:pPr>
      <w:r>
        <w:rPr>
          <w:rFonts w:hint="eastAsia"/>
          <w:szCs w:val="21"/>
          <w:highlight w:val="none"/>
        </w:rPr>
        <w:t>地址：</w:t>
      </w:r>
      <w:r>
        <w:rPr>
          <w:rFonts w:hint="eastAsia"/>
          <w:szCs w:val="21"/>
          <w:highlight w:val="none"/>
          <w:u w:val="single"/>
        </w:rPr>
        <w:t xml:space="preserve">                          </w:t>
      </w:r>
      <w:r>
        <w:rPr>
          <w:rFonts w:hint="eastAsia"/>
          <w:szCs w:val="21"/>
          <w:highlight w:val="none"/>
        </w:rPr>
        <w:t xml:space="preserve">  电话：</w:t>
      </w:r>
      <w:r>
        <w:rPr>
          <w:rFonts w:hint="eastAsia"/>
          <w:szCs w:val="21"/>
          <w:highlight w:val="none"/>
          <w:u w:val="single"/>
        </w:rPr>
        <w:t xml:space="preserve">                        </w:t>
      </w:r>
    </w:p>
    <w:p>
      <w:pPr>
        <w:tabs>
          <w:tab w:val="clear" w:pos="426"/>
        </w:tabs>
        <w:spacing w:line="300" w:lineRule="auto"/>
        <w:rPr>
          <w:szCs w:val="21"/>
          <w:highlight w:val="none"/>
          <w:u w:val="single"/>
        </w:rPr>
      </w:pPr>
      <w:r>
        <w:rPr>
          <w:rFonts w:hint="eastAsia"/>
          <w:szCs w:val="21"/>
          <w:highlight w:val="none"/>
        </w:rPr>
        <w:t>投标人名称（公章）：</w:t>
      </w:r>
      <w:r>
        <w:rPr>
          <w:rFonts w:hint="eastAsia"/>
          <w:szCs w:val="21"/>
          <w:highlight w:val="none"/>
          <w:u w:val="single"/>
        </w:rPr>
        <w:t xml:space="preserve">                                             </w:t>
      </w:r>
    </w:p>
    <w:p>
      <w:pPr>
        <w:tabs>
          <w:tab w:val="clear" w:pos="426"/>
        </w:tabs>
        <w:spacing w:line="300" w:lineRule="auto"/>
        <w:rPr>
          <w:szCs w:val="21"/>
          <w:highlight w:val="none"/>
          <w:u w:val="single"/>
        </w:rPr>
      </w:pPr>
      <w:r>
        <w:rPr>
          <w:rFonts w:hint="eastAsia"/>
          <w:szCs w:val="21"/>
          <w:highlight w:val="none"/>
        </w:rPr>
        <w:t xml:space="preserve">投标人代表（签字)： </w:t>
      </w:r>
      <w:r>
        <w:rPr>
          <w:rFonts w:hint="eastAsia"/>
          <w:szCs w:val="21"/>
          <w:highlight w:val="none"/>
          <w:u w:val="single"/>
        </w:rPr>
        <w:t xml:space="preserve">                                             </w:t>
      </w:r>
    </w:p>
    <w:p>
      <w:pPr>
        <w:tabs>
          <w:tab w:val="clear" w:pos="426"/>
        </w:tabs>
        <w:spacing w:line="300" w:lineRule="auto"/>
        <w:rPr>
          <w:szCs w:val="21"/>
          <w:highlight w:val="none"/>
          <w:u w:val="single"/>
        </w:rPr>
      </w:pPr>
      <w:r>
        <w:rPr>
          <w:rFonts w:hint="eastAsia"/>
          <w:szCs w:val="21"/>
          <w:highlight w:val="none"/>
        </w:rPr>
        <w:t>日期：</w:t>
      </w:r>
      <w:r>
        <w:rPr>
          <w:rFonts w:hint="eastAsia"/>
          <w:szCs w:val="21"/>
          <w:highlight w:val="none"/>
          <w:u w:val="single"/>
        </w:rPr>
        <w:t xml:space="preserve">                                                           </w:t>
      </w:r>
    </w:p>
    <w:p>
      <w:pPr>
        <w:tabs>
          <w:tab w:val="clear" w:pos="426"/>
        </w:tabs>
        <w:spacing w:line="300" w:lineRule="auto"/>
        <w:ind w:firstLine="720" w:firstLineChars="300"/>
        <w:rPr>
          <w:szCs w:val="21"/>
          <w:highlight w:val="none"/>
        </w:rPr>
      </w:pPr>
      <w:r>
        <w:rPr>
          <w:rFonts w:hint="eastAsia"/>
          <w:sz w:val="24"/>
          <w:highlight w:val="none"/>
        </w:rPr>
        <w:t xml:space="preserve">              </w:t>
      </w:r>
    </w:p>
    <w:p>
      <w:pPr>
        <w:tabs>
          <w:tab w:val="clear" w:pos="426"/>
        </w:tabs>
        <w:spacing w:line="300" w:lineRule="auto"/>
        <w:rPr>
          <w:szCs w:val="21"/>
          <w:highlight w:val="none"/>
        </w:rPr>
      </w:pPr>
      <w:r>
        <w:rPr>
          <w:rFonts w:hint="eastAsia"/>
          <w:szCs w:val="21"/>
          <w:highlight w:val="none"/>
        </w:rPr>
        <w:t xml:space="preserve">  </w:t>
      </w:r>
    </w:p>
    <w:p>
      <w:pPr>
        <w:tabs>
          <w:tab w:val="clear" w:pos="426"/>
        </w:tabs>
        <w:spacing w:line="300" w:lineRule="auto"/>
        <w:rPr>
          <w:szCs w:val="21"/>
          <w:highlight w:val="none"/>
        </w:rPr>
      </w:pPr>
    </w:p>
    <w:p>
      <w:pPr>
        <w:tabs>
          <w:tab w:val="clear" w:pos="426"/>
        </w:tabs>
        <w:spacing w:line="300" w:lineRule="auto"/>
        <w:rPr>
          <w:highlight w:val="none"/>
        </w:rPr>
      </w:pPr>
    </w:p>
    <w:p>
      <w:pPr>
        <w:tabs>
          <w:tab w:val="clear" w:pos="426"/>
        </w:tabs>
        <w:spacing w:line="300" w:lineRule="auto"/>
        <w:rPr>
          <w:highlight w:val="none"/>
        </w:rPr>
      </w:pPr>
    </w:p>
    <w:p>
      <w:pPr>
        <w:tabs>
          <w:tab w:val="clear" w:pos="426"/>
        </w:tabs>
        <w:spacing w:line="300" w:lineRule="auto"/>
        <w:rPr>
          <w:highlight w:val="none"/>
        </w:rPr>
      </w:pPr>
    </w:p>
    <w:p>
      <w:pPr>
        <w:tabs>
          <w:tab w:val="clear" w:pos="426"/>
        </w:tabs>
        <w:spacing w:line="300" w:lineRule="auto"/>
        <w:rPr>
          <w:highlight w:val="none"/>
        </w:rPr>
      </w:pPr>
    </w:p>
    <w:p>
      <w:pPr>
        <w:numPr>
          <w:ilvl w:val="0"/>
          <w:numId w:val="28"/>
        </w:numPr>
        <w:tabs>
          <w:tab w:val="clear" w:pos="426"/>
        </w:tabs>
        <w:adjustRightInd/>
        <w:snapToGrid/>
        <w:spacing w:before="280" w:after="290" w:line="377" w:lineRule="auto"/>
        <w:jc w:val="left"/>
        <w:outlineLvl w:val="2"/>
        <w:rPr>
          <w:rFonts w:hint="eastAsia"/>
          <w:b/>
          <w:sz w:val="24"/>
          <w:highlight w:val="none"/>
          <w:lang w:eastAsia="zh-CN"/>
        </w:rPr>
      </w:pPr>
      <w:r>
        <w:rPr>
          <w:highlight w:val="none"/>
        </w:rPr>
        <w:br w:type="page"/>
      </w:r>
      <w:r>
        <w:rPr>
          <w:rFonts w:hint="eastAsia"/>
          <w:b/>
          <w:sz w:val="24"/>
          <w:highlight w:val="none"/>
          <w:lang w:eastAsia="zh-CN"/>
        </w:rPr>
        <w:t>营业执照</w:t>
      </w:r>
    </w:p>
    <w:p>
      <w:pPr>
        <w:numPr>
          <w:ilvl w:val="0"/>
          <w:numId w:val="28"/>
        </w:numPr>
        <w:tabs>
          <w:tab w:val="clear" w:pos="426"/>
        </w:tabs>
        <w:adjustRightInd/>
        <w:snapToGrid/>
        <w:spacing w:before="280" w:after="290" w:line="377" w:lineRule="auto"/>
        <w:jc w:val="left"/>
        <w:outlineLvl w:val="2"/>
        <w:rPr>
          <w:b/>
          <w:sz w:val="24"/>
          <w:highlight w:val="none"/>
        </w:rPr>
      </w:pPr>
      <w:r>
        <w:rPr>
          <w:rFonts w:hint="eastAsia"/>
          <w:b/>
          <w:sz w:val="24"/>
          <w:highlight w:val="none"/>
        </w:rPr>
        <w:t>投标保证金缴纳承诺函</w:t>
      </w:r>
    </w:p>
    <w:p>
      <w:pPr>
        <w:tabs>
          <w:tab w:val="clear" w:pos="426"/>
        </w:tabs>
        <w:spacing w:line="300" w:lineRule="auto"/>
        <w:jc w:val="center"/>
        <w:rPr>
          <w:highlight w:val="none"/>
        </w:rPr>
      </w:pPr>
      <w:r>
        <w:rPr>
          <w:rFonts w:hint="eastAsia" w:cs="Times New Roman"/>
          <w:bCs/>
          <w:kern w:val="2"/>
          <w:sz w:val="32"/>
          <w:szCs w:val="32"/>
          <w:highlight w:val="none"/>
        </w:rPr>
        <w:t>投标保证金缴纳承诺函</w:t>
      </w:r>
    </w:p>
    <w:p>
      <w:pPr>
        <w:tabs>
          <w:tab w:val="clear" w:pos="426"/>
        </w:tabs>
        <w:spacing w:line="300" w:lineRule="auto"/>
        <w:rPr>
          <w:highlight w:val="none"/>
        </w:rPr>
      </w:pPr>
    </w:p>
    <w:p>
      <w:pPr>
        <w:tabs>
          <w:tab w:val="clear" w:pos="426"/>
        </w:tabs>
        <w:spacing w:line="300" w:lineRule="auto"/>
        <w:rPr>
          <w:b/>
          <w:highlight w:val="none"/>
        </w:rPr>
      </w:pPr>
      <w:r>
        <w:rPr>
          <w:rFonts w:hint="eastAsia"/>
          <w:b/>
          <w:highlight w:val="none"/>
        </w:rPr>
        <w:t>深圳市深水水务咨询有限公司：</w:t>
      </w:r>
    </w:p>
    <w:p>
      <w:pPr>
        <w:tabs>
          <w:tab w:val="clear" w:pos="426"/>
        </w:tabs>
        <w:spacing w:line="300" w:lineRule="auto"/>
        <w:ind w:firstLine="420" w:firstLineChars="200"/>
        <w:rPr>
          <w:highlight w:val="none"/>
        </w:rPr>
      </w:pPr>
      <w:r>
        <w:rPr>
          <w:rFonts w:hint="eastAsia"/>
          <w:highlight w:val="none"/>
        </w:rPr>
        <w:t>本公司</w:t>
      </w:r>
      <w:r>
        <w:rPr>
          <w:rFonts w:hint="eastAsia"/>
          <w:highlight w:val="none"/>
          <w:u w:val="single"/>
        </w:rPr>
        <w:t xml:space="preserve">       (投标人名称)      </w:t>
      </w:r>
      <w:r>
        <w:rPr>
          <w:rFonts w:hint="eastAsia"/>
          <w:highlight w:val="none"/>
        </w:rPr>
        <w:t>报名参加</w:t>
      </w:r>
      <w:r>
        <w:rPr>
          <w:rFonts w:hint="eastAsia"/>
          <w:highlight w:val="none"/>
          <w:u w:val="single"/>
        </w:rPr>
        <w:t xml:space="preserve"> （项目名称）</w:t>
      </w:r>
      <w:r>
        <w:rPr>
          <w:rFonts w:hint="eastAsia"/>
          <w:b/>
          <w:highlight w:val="none"/>
          <w:u w:val="single"/>
        </w:rPr>
        <w:t xml:space="preserve"> </w:t>
      </w:r>
      <w:r>
        <w:rPr>
          <w:rFonts w:hint="eastAsia"/>
          <w:highlight w:val="none"/>
        </w:rPr>
        <w:t>(项目编号：</w:t>
      </w:r>
      <w:r>
        <w:rPr>
          <w:rFonts w:hint="eastAsia"/>
          <w:highlight w:val="none"/>
          <w:u w:val="single"/>
        </w:rPr>
        <w:t>（项目编号）</w:t>
      </w:r>
      <w:r>
        <w:rPr>
          <w:rFonts w:hint="eastAsia"/>
          <w:highlight w:val="none"/>
        </w:rPr>
        <w:t>)的招标，我公司承诺我方已在市政府采购中心缴纳投标保证金，所缴纳的投标保证金作为本次政府采购活动的保证金。</w:t>
      </w:r>
      <w:r>
        <w:rPr>
          <w:highlight w:val="none"/>
        </w:rPr>
        <w:t xml:space="preserve"> </w:t>
      </w:r>
    </w:p>
    <w:p>
      <w:pPr>
        <w:tabs>
          <w:tab w:val="clear" w:pos="426"/>
        </w:tabs>
        <w:spacing w:line="300" w:lineRule="auto"/>
        <w:ind w:firstLine="420" w:firstLineChars="200"/>
        <w:rPr>
          <w:highlight w:val="none"/>
        </w:rPr>
      </w:pPr>
      <w:r>
        <w:rPr>
          <w:rFonts w:hint="eastAsia"/>
          <w:highlight w:val="none"/>
        </w:rPr>
        <w:t>如我公司违反上款承诺，我方愿承担由此引起的一切法律责任。</w:t>
      </w:r>
    </w:p>
    <w:p>
      <w:pPr>
        <w:tabs>
          <w:tab w:val="clear" w:pos="426"/>
        </w:tabs>
        <w:spacing w:line="300" w:lineRule="auto"/>
        <w:ind w:firstLine="850" w:firstLineChars="405"/>
        <w:rPr>
          <w:highlight w:val="none"/>
        </w:rPr>
      </w:pPr>
      <w:r>
        <w:rPr>
          <w:rFonts w:hint="eastAsia"/>
          <w:highlight w:val="none"/>
        </w:rPr>
        <w:t>特此承诺!</w:t>
      </w:r>
    </w:p>
    <w:p>
      <w:pPr>
        <w:tabs>
          <w:tab w:val="clear" w:pos="426"/>
        </w:tabs>
        <w:spacing w:line="300" w:lineRule="auto"/>
        <w:ind w:firstLine="420" w:firstLineChars="200"/>
        <w:rPr>
          <w:highlight w:val="none"/>
        </w:rPr>
      </w:pPr>
    </w:p>
    <w:p>
      <w:pPr>
        <w:tabs>
          <w:tab w:val="clear" w:pos="426"/>
        </w:tabs>
        <w:spacing w:line="300" w:lineRule="auto"/>
        <w:ind w:firstLine="420" w:firstLineChars="200"/>
        <w:rPr>
          <w:highlight w:val="none"/>
        </w:rPr>
      </w:pPr>
    </w:p>
    <w:p>
      <w:pPr>
        <w:tabs>
          <w:tab w:val="clear" w:pos="426"/>
        </w:tabs>
        <w:spacing w:line="300" w:lineRule="auto"/>
        <w:ind w:firstLine="420" w:firstLineChars="200"/>
        <w:rPr>
          <w:highlight w:val="none"/>
        </w:rPr>
      </w:pPr>
      <w:r>
        <w:rPr>
          <w:rFonts w:hint="eastAsia"/>
          <w:highlight w:val="none"/>
        </w:rPr>
        <w:t>投标人名称(盖公章):</w:t>
      </w:r>
    </w:p>
    <w:p>
      <w:pPr>
        <w:tabs>
          <w:tab w:val="clear" w:pos="426"/>
        </w:tabs>
        <w:spacing w:line="300" w:lineRule="auto"/>
        <w:ind w:firstLine="420" w:firstLineChars="200"/>
        <w:rPr>
          <w:highlight w:val="none"/>
        </w:rPr>
      </w:pPr>
      <w:r>
        <w:rPr>
          <w:rFonts w:hint="eastAsia"/>
          <w:highlight w:val="none"/>
        </w:rPr>
        <w:t>投标人地址:</w:t>
      </w:r>
    </w:p>
    <w:p>
      <w:pPr>
        <w:tabs>
          <w:tab w:val="clear" w:pos="426"/>
        </w:tabs>
        <w:spacing w:line="300" w:lineRule="auto"/>
        <w:ind w:firstLine="420" w:firstLineChars="200"/>
        <w:rPr>
          <w:highlight w:val="none"/>
        </w:rPr>
      </w:pPr>
      <w:r>
        <w:rPr>
          <w:rFonts w:hint="eastAsia"/>
          <w:highlight w:val="none"/>
        </w:rPr>
        <w:t>电话:</w:t>
      </w:r>
    </w:p>
    <w:p>
      <w:pPr>
        <w:tabs>
          <w:tab w:val="clear" w:pos="426"/>
        </w:tabs>
        <w:spacing w:line="300" w:lineRule="auto"/>
        <w:ind w:firstLine="420" w:firstLineChars="200"/>
        <w:rPr>
          <w:highlight w:val="none"/>
        </w:rPr>
      </w:pPr>
      <w:r>
        <w:rPr>
          <w:rFonts w:hint="eastAsia"/>
          <w:highlight w:val="none"/>
        </w:rPr>
        <w:t>传真:</w:t>
      </w:r>
    </w:p>
    <w:p>
      <w:pPr>
        <w:tabs>
          <w:tab w:val="clear" w:pos="426"/>
        </w:tabs>
        <w:spacing w:line="300" w:lineRule="auto"/>
        <w:ind w:firstLine="420" w:firstLineChars="200"/>
        <w:rPr>
          <w:highlight w:val="none"/>
        </w:rPr>
      </w:pPr>
      <w:r>
        <w:rPr>
          <w:rFonts w:hint="eastAsia"/>
          <w:highlight w:val="none"/>
        </w:rPr>
        <w:t>法定代表人或投标人授权代表（签名或盖章）</w:t>
      </w:r>
    </w:p>
    <w:p>
      <w:pPr>
        <w:tabs>
          <w:tab w:val="clear" w:pos="426"/>
        </w:tabs>
        <w:spacing w:line="300" w:lineRule="auto"/>
        <w:ind w:firstLine="420" w:firstLineChars="200"/>
        <w:rPr>
          <w:bCs/>
          <w:highlight w:val="none"/>
        </w:rPr>
      </w:pPr>
    </w:p>
    <w:p>
      <w:pPr>
        <w:tabs>
          <w:tab w:val="clear" w:pos="426"/>
        </w:tabs>
        <w:spacing w:line="300" w:lineRule="auto"/>
        <w:ind w:firstLine="420" w:firstLineChars="200"/>
        <w:rPr>
          <w:bCs/>
          <w:highlight w:val="none"/>
        </w:rPr>
      </w:pPr>
    </w:p>
    <w:p>
      <w:pPr>
        <w:tabs>
          <w:tab w:val="clear" w:pos="426"/>
        </w:tabs>
        <w:spacing w:line="300" w:lineRule="auto"/>
        <w:ind w:firstLine="420" w:firstLineChars="200"/>
        <w:rPr>
          <w:bCs/>
          <w:highlight w:val="none"/>
        </w:rPr>
      </w:pPr>
      <w:r>
        <w:rPr>
          <w:rFonts w:hint="eastAsia"/>
          <w:bCs/>
          <w:highlight w:val="none"/>
        </w:rPr>
        <w:t>备注：</w:t>
      </w:r>
    </w:p>
    <w:p>
      <w:pPr>
        <w:tabs>
          <w:tab w:val="clear" w:pos="426"/>
        </w:tabs>
        <w:spacing w:line="300" w:lineRule="auto"/>
        <w:ind w:firstLine="420" w:firstLineChars="200"/>
        <w:rPr>
          <w:bCs/>
          <w:highlight w:val="none"/>
        </w:rPr>
      </w:pPr>
      <w:r>
        <w:rPr>
          <w:rFonts w:hint="eastAsia"/>
          <w:bCs/>
          <w:highlight w:val="none"/>
        </w:rPr>
        <w:t>1、根据《中华人民共和国政府采购法实施条例》第三十三条和《深圳财政委员会关于规范政府采购项目投标保证金和履约保证金管理的通知》的规定，考虑到不少投标人经常参与投标，为提供便利，避免频繁缴纳与退还投标保证金，市政府采供中心对频繁参与投标的供应商提供便捷措施，投标保证金可实行依法按时退还或者依申请退还的方式。</w:t>
      </w:r>
    </w:p>
    <w:p>
      <w:pPr>
        <w:tabs>
          <w:tab w:val="clear" w:pos="426"/>
        </w:tabs>
        <w:spacing w:line="300" w:lineRule="auto"/>
        <w:ind w:firstLine="420" w:firstLineChars="200"/>
        <w:rPr>
          <w:bCs/>
          <w:highlight w:val="none"/>
        </w:rPr>
      </w:pPr>
      <w:r>
        <w:rPr>
          <w:rFonts w:hint="eastAsia"/>
          <w:bCs/>
          <w:highlight w:val="none"/>
        </w:rPr>
        <w:t>2、代理机构将在本项目开标前，查询投标人状态和投标保证金缴纳情况。</w:t>
      </w:r>
    </w:p>
    <w:p>
      <w:pPr>
        <w:tabs>
          <w:tab w:val="clear" w:pos="426"/>
        </w:tabs>
        <w:spacing w:line="300" w:lineRule="auto"/>
        <w:ind w:firstLine="420" w:firstLineChars="200"/>
        <w:rPr>
          <w:highlight w:val="none"/>
        </w:rPr>
      </w:pPr>
      <w:r>
        <w:rPr>
          <w:rFonts w:hint="eastAsia"/>
          <w:bCs/>
          <w:highlight w:val="none"/>
        </w:rPr>
        <w:t>3、</w:t>
      </w:r>
      <w:r>
        <w:rPr>
          <w:rFonts w:hint="eastAsia"/>
          <w:highlight w:val="none"/>
        </w:rPr>
        <w:t>若投标人投标保证金被依法不予退还，及时补交，否则投标无效。</w:t>
      </w:r>
    </w:p>
    <w:p>
      <w:pPr>
        <w:tabs>
          <w:tab w:val="clear" w:pos="426"/>
        </w:tabs>
        <w:spacing w:line="300" w:lineRule="auto"/>
        <w:rPr>
          <w:highlight w:val="none"/>
        </w:rPr>
      </w:pPr>
    </w:p>
    <w:p>
      <w:pPr>
        <w:tabs>
          <w:tab w:val="clear" w:pos="426"/>
        </w:tabs>
        <w:spacing w:line="300" w:lineRule="auto"/>
        <w:rPr>
          <w:highlight w:val="none"/>
        </w:rPr>
      </w:pPr>
    </w:p>
    <w:p>
      <w:pPr>
        <w:tabs>
          <w:tab w:val="clear" w:pos="426"/>
        </w:tabs>
        <w:spacing w:line="300" w:lineRule="auto"/>
        <w:rPr>
          <w:highlight w:val="none"/>
        </w:rPr>
      </w:pPr>
    </w:p>
    <w:p>
      <w:pPr>
        <w:numPr>
          <w:ilvl w:val="0"/>
          <w:numId w:val="28"/>
        </w:numPr>
        <w:tabs>
          <w:tab w:val="clear" w:pos="426"/>
        </w:tabs>
        <w:adjustRightInd/>
        <w:snapToGrid/>
        <w:spacing w:before="280" w:after="290" w:line="377" w:lineRule="auto"/>
        <w:jc w:val="left"/>
        <w:outlineLvl w:val="2"/>
        <w:rPr>
          <w:b/>
          <w:sz w:val="24"/>
          <w:highlight w:val="none"/>
        </w:rPr>
      </w:pPr>
      <w:r>
        <w:rPr>
          <w:b/>
          <w:highlight w:val="none"/>
        </w:rPr>
        <w:br w:type="page"/>
      </w:r>
      <w:r>
        <w:rPr>
          <w:rFonts w:hint="eastAsia"/>
          <w:b/>
          <w:sz w:val="24"/>
          <w:highlight w:val="none"/>
        </w:rPr>
        <w:t>政府采购投标及履约承诺函</w:t>
      </w: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r>
        <w:rPr>
          <w:rFonts w:hint="eastAsia" w:cs="Times New Roman"/>
          <w:bCs/>
          <w:kern w:val="2"/>
          <w:sz w:val="32"/>
          <w:szCs w:val="32"/>
          <w:highlight w:val="none"/>
        </w:rPr>
        <w:t>政府采购投标及履约承诺函</w:t>
      </w:r>
    </w:p>
    <w:p>
      <w:pPr>
        <w:tabs>
          <w:tab w:val="clear" w:pos="426"/>
        </w:tabs>
        <w:rPr>
          <w:highlight w:val="none"/>
        </w:rPr>
      </w:pPr>
    </w:p>
    <w:p>
      <w:pPr>
        <w:tabs>
          <w:tab w:val="clear" w:pos="426"/>
        </w:tabs>
        <w:rPr>
          <w:highlight w:val="none"/>
        </w:rPr>
      </w:pPr>
      <w:r>
        <w:rPr>
          <w:rFonts w:hint="eastAsia"/>
          <w:highlight w:val="none"/>
        </w:rPr>
        <w:t>深圳市深水水务咨询有限公司：</w:t>
      </w:r>
    </w:p>
    <w:p>
      <w:pPr>
        <w:tabs>
          <w:tab w:val="clear" w:pos="426"/>
        </w:tabs>
        <w:spacing w:beforeLines="50" w:line="240" w:lineRule="auto"/>
        <w:ind w:firstLine="424" w:firstLineChars="202"/>
        <w:rPr>
          <w:highlight w:val="none"/>
        </w:rPr>
      </w:pPr>
      <w:r>
        <w:rPr>
          <w:rFonts w:hint="eastAsia"/>
          <w:highlight w:val="none"/>
        </w:rPr>
        <w:t>关于贵公司</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日发布</w:t>
      </w:r>
      <w:r>
        <w:rPr>
          <w:highlight w:val="none"/>
          <w:u w:val="single"/>
        </w:rPr>
        <w:t xml:space="preserve">  </w:t>
      </w:r>
      <w:r>
        <w:rPr>
          <w:rFonts w:hint="eastAsia"/>
          <w:szCs w:val="21"/>
          <w:highlight w:val="none"/>
          <w:u w:val="single"/>
        </w:rPr>
        <w:t xml:space="preserve">（项目名称) </w:t>
      </w:r>
      <w:r>
        <w:rPr>
          <w:highlight w:val="none"/>
          <w:u w:val="single"/>
        </w:rPr>
        <w:t xml:space="preserve"> </w:t>
      </w:r>
      <w:r>
        <w:rPr>
          <w:rFonts w:hint="eastAsia"/>
          <w:highlight w:val="none"/>
        </w:rPr>
        <w:t>项目（项目编号：</w:t>
      </w:r>
      <w:r>
        <w:rPr>
          <w:rFonts w:hint="eastAsia"/>
          <w:highlight w:val="none"/>
          <w:u w:val="single"/>
        </w:rPr>
        <w:t xml:space="preserve">  （项目编号）  </w:t>
      </w:r>
      <w:r>
        <w:rPr>
          <w:rFonts w:hint="eastAsia"/>
          <w:highlight w:val="none"/>
        </w:rPr>
        <w:t>）的采购公告，本公司（企业）愿意参加投标，并声明：</w:t>
      </w:r>
    </w:p>
    <w:p>
      <w:pPr>
        <w:tabs>
          <w:tab w:val="clear" w:pos="426"/>
        </w:tabs>
        <w:spacing w:line="240" w:lineRule="auto"/>
        <w:ind w:firstLine="424" w:firstLineChars="202"/>
        <w:rPr>
          <w:highlight w:val="none"/>
        </w:rPr>
      </w:pPr>
      <w:r>
        <w:rPr>
          <w:highlight w:val="none"/>
        </w:rPr>
        <w:t>1.我公司本招标项目所提供的货物或服务未侵犯知识产权。</w:t>
      </w:r>
    </w:p>
    <w:p>
      <w:pPr>
        <w:tabs>
          <w:tab w:val="clear" w:pos="426"/>
        </w:tabs>
        <w:spacing w:line="240" w:lineRule="auto"/>
        <w:ind w:firstLine="426" w:firstLineChars="202"/>
        <w:rPr>
          <w:b/>
          <w:highlight w:val="none"/>
        </w:rPr>
      </w:pPr>
      <w:r>
        <w:rPr>
          <w:b/>
          <w:highlight w:val="none"/>
        </w:rPr>
        <w:t>2.我公司参与本项目投标前三年内，在经营活动中没有重大违法记录。</w:t>
      </w:r>
    </w:p>
    <w:p>
      <w:pPr>
        <w:tabs>
          <w:tab w:val="clear" w:pos="426"/>
        </w:tabs>
        <w:spacing w:line="240" w:lineRule="auto"/>
        <w:ind w:firstLine="426" w:firstLineChars="202"/>
        <w:rPr>
          <w:b/>
          <w:highlight w:val="none"/>
        </w:rPr>
      </w:pPr>
      <w:r>
        <w:rPr>
          <w:b/>
          <w:highlight w:val="none"/>
        </w:rPr>
        <w:t>3.我公司参与本项目政府采购活动时不存在被有关部门禁止参与政府采购活动且在有效期内的情况。</w:t>
      </w:r>
    </w:p>
    <w:p>
      <w:pPr>
        <w:tabs>
          <w:tab w:val="clear" w:pos="426"/>
        </w:tabs>
        <w:spacing w:line="240" w:lineRule="auto"/>
        <w:ind w:firstLine="426" w:firstLineChars="202"/>
        <w:rPr>
          <w:b/>
          <w:highlight w:val="none"/>
        </w:rPr>
      </w:pPr>
      <w:r>
        <w:rPr>
          <w:b/>
          <w:highlight w:val="none"/>
        </w:rPr>
        <w:t>4.我公司具备《中华人民共和国政府采购法》第二十二条规定的资质。</w:t>
      </w:r>
    </w:p>
    <w:p>
      <w:pPr>
        <w:tabs>
          <w:tab w:val="clear" w:pos="426"/>
        </w:tabs>
        <w:spacing w:line="240" w:lineRule="auto"/>
        <w:ind w:firstLine="426" w:firstLineChars="202"/>
        <w:rPr>
          <w:b/>
          <w:highlight w:val="none"/>
        </w:rPr>
      </w:pPr>
      <w:r>
        <w:rPr>
          <w:b/>
          <w:highlight w:val="none"/>
        </w:rPr>
        <w:t>5.我公司未被列入失信被执行人、重大税收违法案件当事人名单、政府采购严重违法失信行为记录名单</w:t>
      </w:r>
    </w:p>
    <w:p>
      <w:pPr>
        <w:tabs>
          <w:tab w:val="clear" w:pos="426"/>
        </w:tabs>
        <w:spacing w:line="240" w:lineRule="auto"/>
        <w:ind w:firstLine="424" w:firstLineChars="202"/>
        <w:rPr>
          <w:highlight w:val="none"/>
        </w:rPr>
      </w:pPr>
      <w:r>
        <w:rPr>
          <w:highlight w:val="none"/>
        </w:rPr>
        <w:t>6.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pPr>
        <w:tabs>
          <w:tab w:val="clear" w:pos="426"/>
        </w:tabs>
        <w:spacing w:line="240" w:lineRule="auto"/>
        <w:ind w:firstLine="424" w:firstLineChars="202"/>
        <w:rPr>
          <w:highlight w:val="none"/>
        </w:rPr>
      </w:pPr>
      <w:r>
        <w:rPr>
          <w:highlight w:val="none"/>
        </w:rPr>
        <w:t>7.我公司如果中标，做到守信，不偷工减料，依照本项目招标文件需求内容、签署的采购合同及本公司在投标中所作的一切承诺履约。项目验收达到全部指标合格，力争优良。</w:t>
      </w:r>
    </w:p>
    <w:p>
      <w:pPr>
        <w:tabs>
          <w:tab w:val="clear" w:pos="426"/>
        </w:tabs>
        <w:spacing w:line="240" w:lineRule="auto"/>
        <w:ind w:firstLine="424" w:firstLineChars="202"/>
        <w:rPr>
          <w:highlight w:val="none"/>
        </w:rPr>
      </w:pPr>
      <w:r>
        <w:rPr>
          <w:highlight w:val="none"/>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w:t>
      </w:r>
      <w:r>
        <w:rPr>
          <w:rFonts w:hint="eastAsia"/>
          <w:highlight w:val="none"/>
        </w:rPr>
        <w:t>作；若我公司未按上述要求履约，我公司愿意接受主管部门的处理处罚。</w:t>
      </w:r>
    </w:p>
    <w:p>
      <w:pPr>
        <w:tabs>
          <w:tab w:val="clear" w:pos="426"/>
        </w:tabs>
        <w:spacing w:line="240" w:lineRule="auto"/>
        <w:ind w:firstLine="424" w:firstLineChars="202"/>
        <w:rPr>
          <w:highlight w:val="none"/>
        </w:rPr>
      </w:pPr>
      <w:r>
        <w:rPr>
          <w:rFonts w:hint="eastAsia"/>
          <w:highlight w:val="none"/>
        </w:rPr>
        <w:t>9.我公司已认真阅读本项目需求，特别是完工期和服务期的要求，我司承诺完全满足本项目的完工期和服务期要求。</w:t>
      </w:r>
    </w:p>
    <w:p>
      <w:pPr>
        <w:tabs>
          <w:tab w:val="clear" w:pos="426"/>
        </w:tabs>
        <w:spacing w:line="240" w:lineRule="auto"/>
        <w:ind w:firstLine="424" w:firstLineChars="202"/>
        <w:rPr>
          <w:highlight w:val="none"/>
        </w:rPr>
      </w:pPr>
      <w:r>
        <w:rPr>
          <w:rFonts w:hint="eastAsia"/>
          <w:highlight w:val="none"/>
        </w:rPr>
        <w:t>10</w:t>
      </w:r>
      <w:r>
        <w:rPr>
          <w:highlight w:val="none"/>
        </w:rP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tabs>
          <w:tab w:val="clear" w:pos="426"/>
        </w:tabs>
        <w:spacing w:line="240" w:lineRule="auto"/>
        <w:ind w:firstLine="424" w:firstLineChars="202"/>
        <w:rPr>
          <w:highlight w:val="none"/>
        </w:rPr>
      </w:pPr>
      <w:r>
        <w:rPr>
          <w:highlight w:val="none"/>
        </w:rPr>
        <w:t>1</w:t>
      </w:r>
      <w:r>
        <w:rPr>
          <w:rFonts w:hint="eastAsia"/>
          <w:highlight w:val="none"/>
        </w:rPr>
        <w:t>1</w:t>
      </w:r>
      <w:r>
        <w:rPr>
          <w:highlight w:val="none"/>
        </w:rPr>
        <w:t>.我公司承诺不非法转包</w:t>
      </w:r>
      <w:r>
        <w:rPr>
          <w:rFonts w:hint="eastAsia"/>
          <w:highlight w:val="none"/>
        </w:rPr>
        <w:t>或</w:t>
      </w:r>
      <w:r>
        <w:rPr>
          <w:highlight w:val="none"/>
        </w:rPr>
        <w:t>分包。</w:t>
      </w:r>
    </w:p>
    <w:p>
      <w:pPr>
        <w:tabs>
          <w:tab w:val="clear" w:pos="426"/>
        </w:tabs>
        <w:spacing w:line="240" w:lineRule="auto"/>
        <w:ind w:firstLine="424" w:firstLineChars="202"/>
        <w:rPr>
          <w:highlight w:val="none"/>
        </w:rPr>
      </w:pPr>
      <w:r>
        <w:rPr>
          <w:rFonts w:hint="eastAsia"/>
          <w:highlight w:val="none"/>
        </w:rPr>
        <w:t>以上承诺，如有违反，愿依照国家相关法律处理，并承担由此给采购人带来的损失。</w:t>
      </w:r>
    </w:p>
    <w:p>
      <w:pPr>
        <w:tabs>
          <w:tab w:val="clear" w:pos="426"/>
        </w:tabs>
        <w:spacing w:line="240" w:lineRule="auto"/>
        <w:ind w:firstLine="420"/>
        <w:rPr>
          <w:highlight w:val="none"/>
        </w:rPr>
      </w:pPr>
      <w:r>
        <w:rPr>
          <w:rFonts w:hint="eastAsia"/>
          <w:highlight w:val="none"/>
        </w:rPr>
        <w:t>特此声明！</w:t>
      </w:r>
    </w:p>
    <w:p>
      <w:pPr>
        <w:tabs>
          <w:tab w:val="clear" w:pos="426"/>
        </w:tabs>
        <w:spacing w:line="240" w:lineRule="auto"/>
        <w:ind w:firstLine="420"/>
        <w:rPr>
          <w:highlight w:val="none"/>
        </w:rPr>
      </w:pPr>
    </w:p>
    <w:p>
      <w:pPr>
        <w:tabs>
          <w:tab w:val="clear" w:pos="426"/>
        </w:tabs>
        <w:ind w:firstLine="420"/>
        <w:rPr>
          <w:highlight w:val="none"/>
        </w:rPr>
      </w:pPr>
    </w:p>
    <w:p>
      <w:pPr>
        <w:tabs>
          <w:tab w:val="clear" w:pos="426"/>
        </w:tabs>
        <w:ind w:firstLine="420"/>
        <w:rPr>
          <w:highlight w:val="none"/>
        </w:rPr>
      </w:pPr>
    </w:p>
    <w:p>
      <w:pPr>
        <w:tabs>
          <w:tab w:val="clear" w:pos="426"/>
        </w:tabs>
        <w:ind w:firstLine="420"/>
        <w:rPr>
          <w:highlight w:val="none"/>
          <w:u w:val="single"/>
        </w:rPr>
      </w:pPr>
      <w:r>
        <w:rPr>
          <w:rFonts w:hint="eastAsia"/>
          <w:highlight w:val="none"/>
        </w:rPr>
        <w:t>单位名称：</w:t>
      </w:r>
      <w:r>
        <w:rPr>
          <w:rFonts w:hint="eastAsia"/>
          <w:highlight w:val="none"/>
          <w:u w:val="single"/>
        </w:rPr>
        <w:t xml:space="preserve">                                                             </w:t>
      </w:r>
    </w:p>
    <w:p>
      <w:pPr>
        <w:tabs>
          <w:tab w:val="clear" w:pos="426"/>
        </w:tabs>
        <w:ind w:firstLine="420"/>
        <w:rPr>
          <w:highlight w:val="none"/>
          <w:u w:val="single"/>
        </w:rPr>
      </w:pPr>
      <w:r>
        <w:rPr>
          <w:rFonts w:hint="eastAsia"/>
          <w:highlight w:val="none"/>
        </w:rPr>
        <w:t>法定代表人或投标人授权代表（签名或盖章）：</w:t>
      </w:r>
      <w:r>
        <w:rPr>
          <w:rFonts w:hint="eastAsia"/>
          <w:highlight w:val="none"/>
          <w:u w:val="single"/>
        </w:rPr>
        <w:t xml:space="preserve">                             </w:t>
      </w:r>
    </w:p>
    <w:p>
      <w:pPr>
        <w:tabs>
          <w:tab w:val="clear" w:pos="426"/>
        </w:tabs>
        <w:ind w:firstLine="420"/>
        <w:rPr>
          <w:highlight w:val="none"/>
          <w:u w:val="single"/>
        </w:rPr>
      </w:pPr>
      <w:r>
        <w:rPr>
          <w:rFonts w:hint="eastAsia"/>
          <w:highlight w:val="none"/>
        </w:rPr>
        <w:t>单位地址：</w:t>
      </w:r>
      <w:r>
        <w:rPr>
          <w:rFonts w:hint="eastAsia"/>
          <w:highlight w:val="none"/>
          <w:u w:val="single"/>
        </w:rPr>
        <w:t xml:space="preserve">                                                             </w:t>
      </w:r>
    </w:p>
    <w:p>
      <w:pPr>
        <w:tabs>
          <w:tab w:val="clear" w:pos="426"/>
        </w:tabs>
        <w:ind w:firstLine="420"/>
        <w:rPr>
          <w:highlight w:val="none"/>
          <w:u w:val="single"/>
        </w:rPr>
      </w:pPr>
      <w:r>
        <w:rPr>
          <w:rFonts w:hint="eastAsia"/>
          <w:highlight w:val="none"/>
        </w:rPr>
        <w:t>单位公章：</w:t>
      </w:r>
      <w:r>
        <w:rPr>
          <w:rFonts w:hint="eastAsia"/>
          <w:highlight w:val="none"/>
          <w:u w:val="single"/>
        </w:rPr>
        <w:t xml:space="preserve">                                                             </w:t>
      </w:r>
    </w:p>
    <w:p>
      <w:pPr>
        <w:tabs>
          <w:tab w:val="clear" w:pos="426"/>
        </w:tabs>
        <w:ind w:firstLine="420"/>
        <w:rPr>
          <w:highlight w:val="none"/>
          <w:u w:val="single"/>
        </w:rPr>
      </w:pPr>
      <w:r>
        <w:rPr>
          <w:rFonts w:hint="eastAsia"/>
          <w:highlight w:val="none"/>
        </w:rPr>
        <w:t>邮政编码：</w:t>
      </w:r>
      <w:r>
        <w:rPr>
          <w:rFonts w:hint="eastAsia"/>
          <w:highlight w:val="none"/>
          <w:u w:val="single"/>
        </w:rPr>
        <w:t xml:space="preserve">                             </w:t>
      </w:r>
      <w:r>
        <w:rPr>
          <w:rFonts w:hint="eastAsia"/>
          <w:highlight w:val="none"/>
        </w:rPr>
        <w:t>日期：</w:t>
      </w:r>
      <w:r>
        <w:rPr>
          <w:rFonts w:hint="eastAsia"/>
          <w:highlight w:val="none"/>
          <w:u w:val="single"/>
        </w:rPr>
        <w:t xml:space="preserve">                          </w:t>
      </w:r>
    </w:p>
    <w:p>
      <w:pPr>
        <w:tabs>
          <w:tab w:val="clear" w:pos="426"/>
        </w:tabs>
        <w:ind w:firstLine="420" w:firstLineChars="200"/>
        <w:rPr>
          <w:highlight w:val="none"/>
          <w:u w:val="single"/>
        </w:rPr>
      </w:pPr>
      <w:r>
        <w:rPr>
          <w:rFonts w:hint="eastAsia"/>
          <w:highlight w:val="none"/>
        </w:rPr>
        <w:t>联系电话：</w:t>
      </w:r>
      <w:r>
        <w:rPr>
          <w:rFonts w:hint="eastAsia"/>
          <w:highlight w:val="none"/>
          <w:u w:val="single"/>
        </w:rPr>
        <w:t xml:space="preserve">                                                             </w:t>
      </w:r>
    </w:p>
    <w:p>
      <w:pPr>
        <w:tabs>
          <w:tab w:val="clear" w:pos="426"/>
        </w:tabs>
        <w:rPr>
          <w:highlight w:val="none"/>
          <w:u w:val="single"/>
        </w:rPr>
      </w:pPr>
    </w:p>
    <w:p>
      <w:pPr>
        <w:tabs>
          <w:tab w:val="clear" w:pos="426"/>
        </w:tabs>
        <w:spacing w:line="300" w:lineRule="auto"/>
        <w:rPr>
          <w:highlight w:val="none"/>
        </w:rPr>
      </w:pPr>
    </w:p>
    <w:p>
      <w:pPr>
        <w:numPr>
          <w:ilvl w:val="0"/>
          <w:numId w:val="28"/>
        </w:numPr>
        <w:tabs>
          <w:tab w:val="clear" w:pos="426"/>
        </w:tabs>
        <w:adjustRightInd/>
        <w:snapToGrid/>
        <w:spacing w:before="280" w:after="290" w:line="377" w:lineRule="auto"/>
        <w:jc w:val="left"/>
        <w:outlineLvl w:val="2"/>
        <w:rPr>
          <w:b/>
          <w:sz w:val="24"/>
          <w:highlight w:val="none"/>
        </w:rPr>
      </w:pPr>
      <w:bookmarkStart w:id="42" w:name="_Toc50737329"/>
      <w:bookmarkStart w:id="43" w:name="_Toc50736477"/>
      <w:bookmarkStart w:id="44" w:name="_Toc52165081"/>
      <w:bookmarkStart w:id="45" w:name="_Toc50737297"/>
      <w:bookmarkStart w:id="46" w:name="_Toc275865607"/>
      <w:bookmarkStart w:id="47" w:name="_Toc480754205"/>
      <w:bookmarkStart w:id="48" w:name="_Toc50737328"/>
      <w:bookmarkStart w:id="49" w:name="_Toc50691034"/>
      <w:bookmarkStart w:id="50" w:name="_Toc50737296"/>
      <w:bookmarkStart w:id="51" w:name="_Toc50736476"/>
      <w:bookmarkStart w:id="52" w:name="_Toc52165080"/>
      <w:r>
        <w:rPr>
          <w:rFonts w:hint="eastAsia"/>
          <w:b/>
          <w:sz w:val="24"/>
          <w:highlight w:val="none"/>
        </w:rPr>
        <w:t>法定代表人授权委托书、法定代表人证明书</w:t>
      </w: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r>
        <w:rPr>
          <w:rFonts w:hint="eastAsia" w:cs="Times New Roman"/>
          <w:bCs/>
          <w:kern w:val="2"/>
          <w:sz w:val="32"/>
          <w:szCs w:val="32"/>
          <w:highlight w:val="none"/>
        </w:rPr>
        <w:t>法定代表人授权委托书</w:t>
      </w:r>
      <w:bookmarkEnd w:id="42"/>
      <w:bookmarkEnd w:id="43"/>
      <w:bookmarkEnd w:id="44"/>
      <w:bookmarkEnd w:id="45"/>
      <w:bookmarkEnd w:id="46"/>
      <w:bookmarkEnd w:id="47"/>
    </w:p>
    <w:p>
      <w:pPr>
        <w:pStyle w:val="24"/>
        <w:tabs>
          <w:tab w:val="clear" w:pos="426"/>
        </w:tabs>
        <w:ind w:firstLine="420" w:firstLineChars="200"/>
        <w:rPr>
          <w:highlight w:val="none"/>
        </w:rPr>
      </w:pPr>
    </w:p>
    <w:p>
      <w:pPr>
        <w:pStyle w:val="24"/>
        <w:tabs>
          <w:tab w:val="clear" w:pos="426"/>
        </w:tabs>
        <w:ind w:firstLine="420" w:firstLineChars="200"/>
        <w:rPr>
          <w:highlight w:val="none"/>
        </w:rPr>
      </w:pPr>
      <w:r>
        <w:rPr>
          <w:rFonts w:hint="eastAsia"/>
          <w:highlight w:val="none"/>
        </w:rPr>
        <w:t>本授权委托书声明：注册于</w:t>
      </w:r>
      <w:r>
        <w:rPr>
          <w:rFonts w:hint="eastAsia"/>
          <w:highlight w:val="none"/>
          <w:u w:val="single"/>
        </w:rPr>
        <w:t xml:space="preserve"> （投标人地址）  </w:t>
      </w:r>
      <w:r>
        <w:rPr>
          <w:rFonts w:hint="eastAsia"/>
          <w:highlight w:val="none"/>
        </w:rPr>
        <w:t>的</w:t>
      </w:r>
      <w:r>
        <w:rPr>
          <w:rFonts w:hint="eastAsia"/>
          <w:highlight w:val="none"/>
          <w:u w:val="single"/>
        </w:rPr>
        <w:t xml:space="preserve">  （投标人名称）    </w:t>
      </w:r>
      <w:r>
        <w:rPr>
          <w:rFonts w:hint="eastAsia"/>
          <w:highlight w:val="none"/>
        </w:rPr>
        <w:t>在下面签名的</w:t>
      </w:r>
      <w:r>
        <w:rPr>
          <w:rFonts w:hint="eastAsia"/>
          <w:highlight w:val="none"/>
          <w:u w:val="single"/>
        </w:rPr>
        <w:t>（法定代表人姓名、职务）</w:t>
      </w:r>
      <w:r>
        <w:rPr>
          <w:rFonts w:hint="eastAsia"/>
          <w:highlight w:val="none"/>
        </w:rPr>
        <w:t>在此授权</w:t>
      </w:r>
      <w:r>
        <w:rPr>
          <w:rFonts w:hint="eastAsia"/>
          <w:highlight w:val="none"/>
          <w:u w:val="single"/>
        </w:rPr>
        <w:t>（被授权人姓名、职务）</w:t>
      </w:r>
      <w:r>
        <w:rPr>
          <w:rFonts w:hint="eastAsia"/>
          <w:highlight w:val="none"/>
        </w:rPr>
        <w:t>作为我公司的合法代理人，就</w:t>
      </w:r>
      <w:r>
        <w:rPr>
          <w:rFonts w:hint="eastAsia"/>
          <w:highlight w:val="none"/>
          <w:u w:val="single"/>
        </w:rPr>
        <w:t>（项目名称、项目编号</w:t>
      </w:r>
      <w:r>
        <w:rPr>
          <w:rFonts w:hint="eastAsia"/>
          <w:highlight w:val="none"/>
        </w:rPr>
        <w:t>）的招投标活动，采购合同的签订、执行、完成和售后服务，作为投标人代表以我方的名义处理一切与之有关的事务。</w:t>
      </w:r>
    </w:p>
    <w:p>
      <w:pPr>
        <w:pStyle w:val="24"/>
        <w:tabs>
          <w:tab w:val="clear" w:pos="426"/>
        </w:tabs>
        <w:ind w:firstLine="420" w:firstLineChars="200"/>
        <w:rPr>
          <w:highlight w:val="none"/>
        </w:rPr>
      </w:pPr>
      <w:r>
        <w:rPr>
          <w:rFonts w:hint="eastAsia"/>
          <w:highlight w:val="none"/>
        </w:rPr>
        <w:t>被授权人（投标人授权代表）无转委托权限。</w:t>
      </w:r>
    </w:p>
    <w:p>
      <w:pPr>
        <w:tabs>
          <w:tab w:val="clear" w:pos="426"/>
        </w:tabs>
        <w:ind w:firstLine="420" w:firstLineChars="200"/>
        <w:rPr>
          <w:szCs w:val="21"/>
          <w:highlight w:val="none"/>
        </w:rPr>
      </w:pPr>
      <w:r>
        <w:rPr>
          <w:rFonts w:hint="eastAsia"/>
          <w:szCs w:val="21"/>
          <w:highlight w:val="none"/>
        </w:rPr>
        <w:t>本授权书自法定代表人签字之日起生效，特此声明。</w:t>
      </w:r>
    </w:p>
    <w:p>
      <w:pPr>
        <w:tabs>
          <w:tab w:val="clear" w:pos="426"/>
        </w:tabs>
        <w:ind w:firstLine="422" w:firstLineChars="200"/>
        <w:rPr>
          <w:b/>
          <w:szCs w:val="21"/>
          <w:highlight w:val="none"/>
        </w:rPr>
      </w:pPr>
      <w:r>
        <w:rPr>
          <w:rFonts w:hint="eastAsia"/>
          <w:b/>
          <w:szCs w:val="21"/>
          <w:highlight w:val="none"/>
        </w:rPr>
        <w:t>随附《法定代表人证明》</w:t>
      </w:r>
    </w:p>
    <w:p>
      <w:pPr>
        <w:tabs>
          <w:tab w:val="clear" w:pos="426"/>
        </w:tabs>
        <w:ind w:firstLine="422" w:firstLineChars="200"/>
        <w:rPr>
          <w:b/>
          <w:szCs w:val="21"/>
          <w:highlight w:val="none"/>
        </w:rPr>
      </w:pPr>
    </w:p>
    <w:p>
      <w:pPr>
        <w:tabs>
          <w:tab w:val="clear" w:pos="426"/>
        </w:tabs>
        <w:ind w:firstLine="422" w:firstLineChars="200"/>
        <w:rPr>
          <w:b/>
          <w:szCs w:val="21"/>
          <w:highlight w:val="none"/>
        </w:rPr>
      </w:pPr>
    </w:p>
    <w:p>
      <w:pPr>
        <w:tabs>
          <w:tab w:val="clear" w:pos="426"/>
        </w:tabs>
        <w:ind w:firstLine="422" w:firstLineChars="200"/>
        <w:rPr>
          <w:b/>
          <w:szCs w:val="21"/>
          <w:highlight w:val="none"/>
        </w:rPr>
      </w:pPr>
    </w:p>
    <w:p>
      <w:pPr>
        <w:tabs>
          <w:tab w:val="clear" w:pos="426"/>
        </w:tabs>
        <w:ind w:firstLine="424" w:firstLineChars="202"/>
        <w:rPr>
          <w:szCs w:val="21"/>
          <w:highlight w:val="none"/>
          <w:u w:val="single"/>
        </w:rPr>
      </w:pPr>
      <w:r>
        <w:rPr>
          <w:rFonts w:hint="eastAsia"/>
          <w:szCs w:val="21"/>
          <w:highlight w:val="none"/>
        </w:rPr>
        <w:t>投标人名称（单位盖</w:t>
      </w:r>
      <w:r>
        <w:rPr>
          <w:rFonts w:hint="eastAsia"/>
          <w:spacing w:val="4"/>
          <w:szCs w:val="21"/>
          <w:highlight w:val="none"/>
        </w:rPr>
        <w:t>公章</w:t>
      </w:r>
      <w:r>
        <w:rPr>
          <w:rFonts w:hint="eastAsia"/>
          <w:szCs w:val="21"/>
          <w:highlight w:val="none"/>
        </w:rPr>
        <w:t>）：</w:t>
      </w:r>
      <w:r>
        <w:rPr>
          <w:rFonts w:hint="eastAsia"/>
          <w:szCs w:val="21"/>
          <w:highlight w:val="none"/>
          <w:u w:val="single"/>
        </w:rPr>
        <w:t xml:space="preserve">                                                     </w:t>
      </w:r>
    </w:p>
    <w:p>
      <w:pPr>
        <w:tabs>
          <w:tab w:val="clear" w:pos="426"/>
        </w:tabs>
        <w:ind w:firstLine="424" w:firstLineChars="202"/>
        <w:rPr>
          <w:szCs w:val="21"/>
          <w:highlight w:val="none"/>
          <w:u w:val="single"/>
        </w:rPr>
      </w:pPr>
      <w:r>
        <w:rPr>
          <w:rFonts w:hint="eastAsia"/>
          <w:szCs w:val="21"/>
          <w:highlight w:val="none"/>
        </w:rPr>
        <w:t>地      址：</w:t>
      </w:r>
      <w:r>
        <w:rPr>
          <w:rFonts w:hint="eastAsia"/>
          <w:szCs w:val="21"/>
          <w:highlight w:val="none"/>
          <w:u w:val="single"/>
        </w:rPr>
        <w:t xml:space="preserve">                                                                   </w:t>
      </w:r>
    </w:p>
    <w:p>
      <w:pPr>
        <w:tabs>
          <w:tab w:val="clear" w:pos="426"/>
        </w:tabs>
        <w:ind w:firstLine="424" w:firstLineChars="202"/>
        <w:rPr>
          <w:szCs w:val="21"/>
          <w:highlight w:val="none"/>
        </w:rPr>
      </w:pPr>
      <w:r>
        <w:rPr>
          <w:rFonts w:hint="eastAsia"/>
          <w:szCs w:val="21"/>
          <w:highlight w:val="none"/>
        </w:rPr>
        <w:t>法定代表人（签字或盖章）：</w:t>
      </w:r>
      <w:r>
        <w:rPr>
          <w:rFonts w:hint="eastAsia"/>
          <w:szCs w:val="21"/>
          <w:highlight w:val="none"/>
          <w:u w:val="single"/>
        </w:rPr>
        <w:t xml:space="preserve">                      </w:t>
      </w:r>
      <w:r>
        <w:rPr>
          <w:rFonts w:hint="eastAsia"/>
          <w:szCs w:val="21"/>
          <w:highlight w:val="none"/>
        </w:rPr>
        <w:t xml:space="preserve"> 签字日期：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rPr>
        <w:t>日</w:t>
      </w:r>
    </w:p>
    <w:p>
      <w:pPr>
        <w:tabs>
          <w:tab w:val="clear" w:pos="426"/>
        </w:tabs>
        <w:ind w:firstLine="424" w:firstLineChars="202"/>
        <w:rPr>
          <w:szCs w:val="21"/>
          <w:highlight w:val="none"/>
        </w:rPr>
      </w:pPr>
      <w:r>
        <w:rPr>
          <w:rFonts w:hint="eastAsia"/>
          <w:szCs w:val="21"/>
          <w:highlight w:val="none"/>
        </w:rPr>
        <w:t>被授权人（投标人授权代表）（签字或盖章）：</w:t>
      </w:r>
      <w:r>
        <w:rPr>
          <w:rFonts w:hint="eastAsia"/>
          <w:szCs w:val="21"/>
          <w:highlight w:val="none"/>
          <w:u w:val="single"/>
        </w:rPr>
        <w:t xml:space="preserve">                                    </w:t>
      </w:r>
      <w:r>
        <w:rPr>
          <w:rFonts w:hint="eastAsia"/>
          <w:szCs w:val="21"/>
          <w:highlight w:val="none"/>
        </w:rPr>
        <w:t xml:space="preserve"> </w:t>
      </w:r>
    </w:p>
    <w:p>
      <w:pPr>
        <w:tabs>
          <w:tab w:val="clear" w:pos="426"/>
        </w:tabs>
        <w:ind w:firstLine="424" w:firstLineChars="202"/>
        <w:rPr>
          <w:szCs w:val="21"/>
          <w:highlight w:val="none"/>
        </w:rPr>
      </w:pPr>
    </w:p>
    <w:p>
      <w:pPr>
        <w:tabs>
          <w:tab w:val="clear" w:pos="426"/>
        </w:tabs>
        <w:ind w:firstLine="424" w:firstLineChars="202"/>
        <w:rPr>
          <w:szCs w:val="21"/>
          <w:highlight w:val="none"/>
        </w:rPr>
      </w:pPr>
      <w:r>
        <w:rPr>
          <w:rFonts w:hint="eastAsia"/>
          <w:szCs w:val="21"/>
          <w:highlight w:val="none"/>
        </w:rPr>
        <w:t>附：被授权人身份证复印件：</w:t>
      </w:r>
    </w:p>
    <w:p>
      <w:pPr>
        <w:tabs>
          <w:tab w:val="clear" w:pos="426"/>
        </w:tabs>
        <w:ind w:firstLine="424" w:firstLineChars="202"/>
        <w:rPr>
          <w:szCs w:val="21"/>
          <w:highlight w:val="none"/>
        </w:rPr>
      </w:pPr>
    </w:p>
    <w:bookmarkEnd w:id="48"/>
    <w:bookmarkEnd w:id="49"/>
    <w:bookmarkEnd w:id="50"/>
    <w:bookmarkEnd w:id="51"/>
    <w:bookmarkEnd w:id="52"/>
    <w:p>
      <w:pPr>
        <w:tabs>
          <w:tab w:val="clear" w:pos="426"/>
        </w:tabs>
        <w:spacing w:line="300" w:lineRule="auto"/>
        <w:jc w:val="center"/>
        <w:rPr>
          <w:highlight w:val="none"/>
        </w:rPr>
      </w:pPr>
      <w:r>
        <w:rPr>
          <w:highlight w:val="none"/>
        </w:rPr>
        <w:br w:type="page"/>
      </w: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r>
        <w:rPr>
          <w:rFonts w:hint="eastAsia" w:cs="Times New Roman"/>
          <w:bCs/>
          <w:kern w:val="2"/>
          <w:sz w:val="32"/>
          <w:szCs w:val="32"/>
          <w:highlight w:val="none"/>
        </w:rPr>
        <w:t>法定代表人证明书</w:t>
      </w:r>
    </w:p>
    <w:p>
      <w:pPr>
        <w:tabs>
          <w:tab w:val="clear" w:pos="426"/>
        </w:tabs>
        <w:spacing w:line="480" w:lineRule="auto"/>
        <w:ind w:firstLine="424" w:firstLineChars="202"/>
        <w:rPr>
          <w:highlight w:val="none"/>
          <w:u w:val="single"/>
        </w:rPr>
      </w:pPr>
    </w:p>
    <w:p>
      <w:pPr>
        <w:tabs>
          <w:tab w:val="clear" w:pos="426"/>
        </w:tabs>
        <w:spacing w:line="480" w:lineRule="auto"/>
        <w:ind w:firstLine="424" w:firstLineChars="202"/>
        <w:rPr>
          <w:highlight w:val="none"/>
        </w:rPr>
      </w:pPr>
      <w:r>
        <w:rPr>
          <w:rFonts w:hint="eastAsia"/>
          <w:highlight w:val="none"/>
          <w:u w:val="single"/>
        </w:rPr>
        <w:t>__________</w:t>
      </w:r>
      <w:r>
        <w:rPr>
          <w:rFonts w:hint="eastAsia"/>
          <w:highlight w:val="none"/>
        </w:rPr>
        <w:t>同志，现任我单位</w:t>
      </w:r>
      <w:r>
        <w:rPr>
          <w:highlight w:val="none"/>
          <w:u w:val="single"/>
        </w:rPr>
        <w:t xml:space="preserve">         </w:t>
      </w:r>
      <w:r>
        <w:rPr>
          <w:rFonts w:hint="eastAsia"/>
          <w:highlight w:val="none"/>
        </w:rPr>
        <w:t>职务，为法定代表人，特此证明。</w:t>
      </w:r>
    </w:p>
    <w:p>
      <w:pPr>
        <w:tabs>
          <w:tab w:val="clear" w:pos="426"/>
        </w:tabs>
        <w:spacing w:line="480" w:lineRule="auto"/>
        <w:ind w:firstLine="424" w:firstLineChars="202"/>
        <w:rPr>
          <w:highlight w:val="none"/>
        </w:rPr>
      </w:pPr>
      <w:r>
        <w:rPr>
          <w:rFonts w:hint="eastAsia"/>
          <w:highlight w:val="none"/>
        </w:rPr>
        <w:t>本证明书自签发之日起生效，有效期与本公司投标文件中标注的投标有效期相同。</w:t>
      </w:r>
    </w:p>
    <w:p>
      <w:pPr>
        <w:tabs>
          <w:tab w:val="clear" w:pos="426"/>
        </w:tabs>
        <w:spacing w:line="480" w:lineRule="auto"/>
        <w:ind w:firstLine="424" w:firstLineChars="202"/>
        <w:rPr>
          <w:highlight w:val="none"/>
        </w:rPr>
      </w:pPr>
      <w:r>
        <w:rPr>
          <w:rFonts w:hint="eastAsia"/>
          <w:highlight w:val="none"/>
        </w:rPr>
        <w:t>附：</w:t>
      </w:r>
    </w:p>
    <w:p>
      <w:pPr>
        <w:tabs>
          <w:tab w:val="clear" w:pos="426"/>
        </w:tabs>
        <w:spacing w:line="480" w:lineRule="auto"/>
        <w:ind w:firstLine="424" w:firstLineChars="202"/>
        <w:rPr>
          <w:highlight w:val="none"/>
        </w:rPr>
      </w:pPr>
      <w:r>
        <w:rPr>
          <w:rFonts w:hint="eastAsia"/>
          <w:highlight w:val="none"/>
        </w:rPr>
        <w:t>营业执照（注册号）：</w:t>
      </w:r>
      <w:r>
        <w:rPr>
          <w:rFonts w:hint="eastAsia"/>
          <w:highlight w:val="none"/>
          <w:u w:val="single"/>
        </w:rPr>
        <w:t xml:space="preserve">                                               </w:t>
      </w:r>
    </w:p>
    <w:p>
      <w:pPr>
        <w:tabs>
          <w:tab w:val="clear" w:pos="426"/>
        </w:tabs>
        <w:spacing w:line="480" w:lineRule="auto"/>
        <w:ind w:firstLine="424" w:firstLineChars="202"/>
        <w:rPr>
          <w:highlight w:val="none"/>
          <w:u w:val="single"/>
        </w:rPr>
      </w:pPr>
      <w:r>
        <w:rPr>
          <w:rFonts w:hint="eastAsia"/>
          <w:highlight w:val="none"/>
        </w:rPr>
        <w:t>经济性质：</w:t>
      </w:r>
      <w:r>
        <w:rPr>
          <w:rFonts w:hint="eastAsia"/>
          <w:highlight w:val="none"/>
          <w:u w:val="single"/>
        </w:rPr>
        <w:t xml:space="preserve">                                                         </w:t>
      </w:r>
    </w:p>
    <w:p>
      <w:pPr>
        <w:tabs>
          <w:tab w:val="clear" w:pos="426"/>
        </w:tabs>
        <w:spacing w:line="480" w:lineRule="auto"/>
        <w:ind w:firstLine="424" w:firstLineChars="202"/>
        <w:rPr>
          <w:highlight w:val="none"/>
          <w:u w:val="single"/>
        </w:rPr>
      </w:pPr>
      <w:r>
        <w:rPr>
          <w:rFonts w:hint="eastAsia"/>
          <w:highlight w:val="none"/>
        </w:rPr>
        <w:t>主营（产）：</w:t>
      </w:r>
      <w:r>
        <w:rPr>
          <w:rFonts w:hint="eastAsia"/>
          <w:highlight w:val="none"/>
          <w:u w:val="single"/>
        </w:rPr>
        <w:t xml:space="preserve">                                                       </w:t>
      </w:r>
    </w:p>
    <w:p>
      <w:pPr>
        <w:tabs>
          <w:tab w:val="clear" w:pos="426"/>
        </w:tabs>
        <w:spacing w:line="480" w:lineRule="auto"/>
        <w:ind w:firstLine="424" w:firstLineChars="202"/>
        <w:rPr>
          <w:highlight w:val="none"/>
          <w:u w:val="single"/>
        </w:rPr>
      </w:pPr>
      <w:r>
        <w:rPr>
          <w:rFonts w:hint="eastAsia"/>
          <w:highlight w:val="none"/>
        </w:rPr>
        <w:t>兼营（产）：</w:t>
      </w:r>
      <w:r>
        <w:rPr>
          <w:rFonts w:hint="eastAsia"/>
          <w:highlight w:val="none"/>
          <w:u w:val="single"/>
        </w:rPr>
        <w:t xml:space="preserve">                                                       </w:t>
      </w:r>
    </w:p>
    <w:p>
      <w:pPr>
        <w:tabs>
          <w:tab w:val="clear" w:pos="426"/>
        </w:tabs>
        <w:ind w:firstLine="424" w:firstLineChars="202"/>
        <w:rPr>
          <w:highlight w:val="none"/>
        </w:rPr>
      </w:pPr>
    </w:p>
    <w:p>
      <w:pPr>
        <w:tabs>
          <w:tab w:val="clear" w:pos="426"/>
        </w:tabs>
        <w:ind w:firstLine="424" w:firstLineChars="202"/>
        <w:rPr>
          <w:szCs w:val="21"/>
          <w:highlight w:val="none"/>
        </w:rPr>
      </w:pPr>
      <w:r>
        <w:rPr>
          <w:rFonts w:hint="eastAsia"/>
          <w:szCs w:val="21"/>
          <w:highlight w:val="none"/>
        </w:rPr>
        <w:t>附：法定代表人身份证复印件：</w:t>
      </w:r>
    </w:p>
    <w:p>
      <w:pPr>
        <w:tabs>
          <w:tab w:val="clear" w:pos="426"/>
        </w:tabs>
        <w:ind w:firstLine="424" w:firstLineChars="202"/>
        <w:rPr>
          <w:szCs w:val="21"/>
          <w:highlight w:val="none"/>
        </w:rPr>
      </w:pPr>
    </w:p>
    <w:p>
      <w:pPr>
        <w:tabs>
          <w:tab w:val="clear" w:pos="426"/>
        </w:tabs>
        <w:ind w:firstLine="424" w:firstLineChars="202"/>
        <w:rPr>
          <w:szCs w:val="21"/>
          <w:highlight w:val="none"/>
        </w:rPr>
      </w:pPr>
    </w:p>
    <w:p>
      <w:pPr>
        <w:tabs>
          <w:tab w:val="clear" w:pos="426"/>
        </w:tabs>
        <w:ind w:firstLine="424" w:firstLineChars="202"/>
        <w:rPr>
          <w:szCs w:val="21"/>
          <w:highlight w:val="none"/>
        </w:rPr>
      </w:pPr>
    </w:p>
    <w:p>
      <w:pPr>
        <w:tabs>
          <w:tab w:val="clear" w:pos="426"/>
        </w:tabs>
        <w:spacing w:line="500" w:lineRule="exact"/>
        <w:ind w:left="424" w:leftChars="200" w:hanging="4" w:firstLineChars="0"/>
        <w:rPr>
          <w:highlight w:val="none"/>
          <w:u w:val="single"/>
        </w:rPr>
      </w:pPr>
      <w:r>
        <w:rPr>
          <w:rFonts w:hint="eastAsia"/>
          <w:highlight w:val="none"/>
        </w:rPr>
        <w:t>投标人名称（单位盖</w:t>
      </w:r>
      <w:r>
        <w:rPr>
          <w:rFonts w:hint="eastAsia"/>
          <w:spacing w:val="4"/>
          <w:highlight w:val="none"/>
        </w:rPr>
        <w:t>公章</w:t>
      </w:r>
      <w:r>
        <w:rPr>
          <w:rFonts w:hint="eastAsia"/>
          <w:highlight w:val="none"/>
        </w:rPr>
        <w:t>）：</w:t>
      </w:r>
      <w:r>
        <w:rPr>
          <w:rFonts w:hint="eastAsia"/>
          <w:highlight w:val="none"/>
          <w:u w:val="single"/>
        </w:rPr>
        <w:t xml:space="preserve">                     </w:t>
      </w:r>
    </w:p>
    <w:p>
      <w:pPr>
        <w:tabs>
          <w:tab w:val="clear" w:pos="426"/>
        </w:tabs>
        <w:spacing w:line="500" w:lineRule="exact"/>
        <w:ind w:left="424" w:leftChars="200" w:hanging="4" w:firstLineChars="0"/>
        <w:rPr>
          <w:highlight w:val="none"/>
          <w:u w:val="single"/>
        </w:rPr>
      </w:pPr>
      <w:r>
        <w:rPr>
          <w:rFonts w:hint="eastAsia"/>
          <w:highlight w:val="none"/>
        </w:rPr>
        <w:t>地址：</w:t>
      </w:r>
      <w:r>
        <w:rPr>
          <w:rFonts w:hint="eastAsia"/>
          <w:highlight w:val="none"/>
          <w:u w:val="single"/>
        </w:rPr>
        <w:t xml:space="preserve">                                           </w:t>
      </w:r>
    </w:p>
    <w:p>
      <w:pPr>
        <w:tabs>
          <w:tab w:val="clear" w:pos="426"/>
        </w:tabs>
        <w:spacing w:line="500" w:lineRule="exact"/>
        <w:ind w:left="424" w:leftChars="200" w:hanging="4" w:firstLineChars="0"/>
        <w:rPr>
          <w:highlight w:val="none"/>
          <w:u w:val="single"/>
        </w:rPr>
      </w:pPr>
      <w:r>
        <w:rPr>
          <w:rFonts w:hint="eastAsia"/>
          <w:highlight w:val="none"/>
        </w:rPr>
        <w:t>签发日期：</w:t>
      </w:r>
      <w:r>
        <w:rPr>
          <w:rFonts w:hint="eastAsia"/>
          <w:highlight w:val="none"/>
          <w:u w:val="single"/>
        </w:rPr>
        <w:t xml:space="preserve">                                       </w:t>
      </w:r>
    </w:p>
    <w:p>
      <w:pPr>
        <w:tabs>
          <w:tab w:val="clear" w:pos="426"/>
        </w:tabs>
        <w:spacing w:line="500" w:lineRule="exact"/>
        <w:ind w:left="3826" w:leftChars="1822"/>
        <w:rPr>
          <w:b/>
          <w:bCs/>
          <w:highlight w:val="none"/>
          <w:u w:val="single"/>
        </w:rPr>
      </w:pPr>
    </w:p>
    <w:p>
      <w:pPr>
        <w:numPr>
          <w:ilvl w:val="0"/>
          <w:numId w:val="28"/>
        </w:numPr>
        <w:tabs>
          <w:tab w:val="clear" w:pos="426"/>
        </w:tabs>
        <w:adjustRightInd/>
        <w:snapToGrid/>
        <w:spacing w:before="280" w:after="290" w:line="377" w:lineRule="auto"/>
        <w:jc w:val="left"/>
        <w:outlineLvl w:val="2"/>
        <w:rPr>
          <w:b/>
          <w:sz w:val="24"/>
          <w:highlight w:val="none"/>
        </w:rPr>
      </w:pPr>
      <w:r>
        <w:rPr>
          <w:highlight w:val="none"/>
        </w:rPr>
        <w:br w:type="page"/>
      </w:r>
      <w:r>
        <w:rPr>
          <w:rFonts w:hint="eastAsia"/>
          <w:b/>
          <w:sz w:val="24"/>
          <w:highlight w:val="none"/>
        </w:rPr>
        <w:t>投标人基本情况表</w:t>
      </w: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bookmarkStart w:id="53" w:name="_Toc173553182"/>
      <w:bookmarkStart w:id="54" w:name="_Toc480755928"/>
      <w:bookmarkStart w:id="55" w:name="_Toc480754207"/>
      <w:bookmarkStart w:id="56" w:name="_Toc275865616"/>
      <w:bookmarkStart w:id="57" w:name="_Toc480756074"/>
      <w:bookmarkStart w:id="58" w:name="_Toc480789478"/>
      <w:r>
        <w:rPr>
          <w:rFonts w:hint="eastAsia" w:cs="Times New Roman"/>
          <w:bCs/>
          <w:kern w:val="2"/>
          <w:sz w:val="32"/>
          <w:szCs w:val="32"/>
          <w:highlight w:val="none"/>
        </w:rPr>
        <w:t>投标人基本情况表</w:t>
      </w:r>
      <w:bookmarkEnd w:id="53"/>
      <w:bookmarkEnd w:id="54"/>
      <w:bookmarkEnd w:id="55"/>
      <w:bookmarkEnd w:id="56"/>
      <w:bookmarkEnd w:id="57"/>
      <w:bookmarkEnd w:id="58"/>
    </w:p>
    <w:p>
      <w:pPr>
        <w:widowControl w:val="0"/>
        <w:shd w:val="clear" w:color="auto" w:fill="auto"/>
        <w:tabs>
          <w:tab w:val="clear" w:pos="426"/>
        </w:tabs>
        <w:adjustRightInd/>
        <w:snapToGrid/>
        <w:rPr>
          <w:rFonts w:cs="Arial"/>
          <w:b/>
          <w:szCs w:val="21"/>
          <w:highlight w:val="none"/>
        </w:rPr>
      </w:pPr>
      <w:r>
        <w:rPr>
          <w:rFonts w:hint="eastAsia" w:cs="Arial"/>
          <w:b/>
          <w:szCs w:val="21"/>
          <w:highlight w:val="none"/>
        </w:rPr>
        <w:t>一、</w:t>
      </w:r>
      <w:r>
        <w:rPr>
          <w:rFonts w:cs="Arial"/>
          <w:b/>
          <w:szCs w:val="21"/>
          <w:highlight w:val="none"/>
        </w:rPr>
        <w:t>公司基本情况</w:t>
      </w:r>
    </w:p>
    <w:p>
      <w:pPr>
        <w:widowControl w:val="0"/>
        <w:numPr>
          <w:ilvl w:val="1"/>
          <w:numId w:val="29"/>
        </w:numPr>
        <w:shd w:val="clear" w:color="auto" w:fill="auto"/>
        <w:tabs>
          <w:tab w:val="clear" w:pos="426"/>
        </w:tabs>
        <w:adjustRightInd/>
        <w:snapToGrid/>
        <w:ind w:left="0" w:firstLine="426"/>
        <w:rPr>
          <w:rFonts w:cs="Arial"/>
          <w:szCs w:val="21"/>
          <w:highlight w:val="none"/>
        </w:rPr>
      </w:pPr>
      <w:r>
        <w:rPr>
          <w:rFonts w:cs="Arial"/>
          <w:szCs w:val="21"/>
          <w:highlight w:val="none"/>
        </w:rPr>
        <w:t>公司名称：</w:t>
      </w:r>
      <w:r>
        <w:rPr>
          <w:rFonts w:cs="Arial"/>
          <w:szCs w:val="21"/>
          <w:highlight w:val="none"/>
          <w:u w:val="single"/>
        </w:rPr>
        <w:t xml:space="preserve">                              </w:t>
      </w:r>
      <w:r>
        <w:rPr>
          <w:rFonts w:cs="Arial"/>
          <w:szCs w:val="21"/>
          <w:highlight w:val="none"/>
        </w:rPr>
        <w:t xml:space="preserve">  电话号码：</w:t>
      </w:r>
      <w:r>
        <w:rPr>
          <w:rFonts w:cs="Arial"/>
          <w:szCs w:val="21"/>
          <w:highlight w:val="none"/>
          <w:u w:val="single"/>
        </w:rPr>
        <w:t xml:space="preserve">                            </w:t>
      </w:r>
    </w:p>
    <w:p>
      <w:pPr>
        <w:widowControl w:val="0"/>
        <w:numPr>
          <w:ilvl w:val="1"/>
          <w:numId w:val="29"/>
        </w:numPr>
        <w:shd w:val="clear" w:color="auto" w:fill="auto"/>
        <w:tabs>
          <w:tab w:val="clear" w:pos="426"/>
        </w:tabs>
        <w:adjustRightInd/>
        <w:snapToGrid/>
        <w:ind w:left="0" w:firstLine="426"/>
        <w:rPr>
          <w:rFonts w:cs="Arial"/>
          <w:szCs w:val="21"/>
          <w:highlight w:val="none"/>
        </w:rPr>
      </w:pPr>
      <w:r>
        <w:rPr>
          <w:rFonts w:cs="Arial"/>
          <w:szCs w:val="21"/>
          <w:highlight w:val="none"/>
        </w:rPr>
        <w:t>地    址：</w:t>
      </w:r>
      <w:r>
        <w:rPr>
          <w:rFonts w:cs="Arial"/>
          <w:szCs w:val="21"/>
          <w:highlight w:val="none"/>
          <w:u w:val="single"/>
        </w:rPr>
        <w:t xml:space="preserve">                              </w:t>
      </w:r>
      <w:r>
        <w:rPr>
          <w:rFonts w:cs="Arial"/>
          <w:szCs w:val="21"/>
          <w:highlight w:val="none"/>
        </w:rPr>
        <w:t xml:space="preserve">  传    真：</w:t>
      </w:r>
      <w:r>
        <w:rPr>
          <w:rFonts w:cs="Arial"/>
          <w:szCs w:val="21"/>
          <w:highlight w:val="none"/>
          <w:u w:val="single"/>
        </w:rPr>
        <w:t xml:space="preserve">                             </w:t>
      </w:r>
    </w:p>
    <w:p>
      <w:pPr>
        <w:widowControl w:val="0"/>
        <w:numPr>
          <w:ilvl w:val="1"/>
          <w:numId w:val="29"/>
        </w:numPr>
        <w:shd w:val="clear" w:color="auto" w:fill="auto"/>
        <w:tabs>
          <w:tab w:val="clear" w:pos="426"/>
        </w:tabs>
        <w:adjustRightInd/>
        <w:snapToGrid/>
        <w:ind w:left="0" w:firstLine="426"/>
        <w:rPr>
          <w:rFonts w:cs="Arial"/>
          <w:szCs w:val="21"/>
          <w:highlight w:val="none"/>
          <w:u w:val="single"/>
        </w:rPr>
      </w:pPr>
      <w:r>
        <w:rPr>
          <w:rFonts w:cs="Arial"/>
          <w:szCs w:val="21"/>
          <w:highlight w:val="none"/>
        </w:rPr>
        <w:t>注册资金：</w:t>
      </w:r>
      <w:r>
        <w:rPr>
          <w:rFonts w:cs="Arial"/>
          <w:szCs w:val="21"/>
          <w:highlight w:val="none"/>
          <w:u w:val="single"/>
        </w:rPr>
        <w:t xml:space="preserve">                              </w:t>
      </w:r>
      <w:r>
        <w:rPr>
          <w:rFonts w:cs="Arial"/>
          <w:szCs w:val="21"/>
          <w:highlight w:val="none"/>
        </w:rPr>
        <w:t xml:space="preserve">  经济性质：</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p>
    <w:p>
      <w:pPr>
        <w:widowControl w:val="0"/>
        <w:numPr>
          <w:ilvl w:val="1"/>
          <w:numId w:val="29"/>
        </w:numPr>
        <w:shd w:val="clear" w:color="auto" w:fill="auto"/>
        <w:tabs>
          <w:tab w:val="clear" w:pos="426"/>
        </w:tabs>
        <w:adjustRightInd/>
        <w:snapToGrid/>
        <w:ind w:left="0" w:firstLine="426"/>
        <w:rPr>
          <w:rFonts w:cs="Arial"/>
          <w:szCs w:val="21"/>
          <w:highlight w:val="none"/>
        </w:rPr>
      </w:pPr>
      <w:r>
        <w:rPr>
          <w:rFonts w:cs="Arial"/>
          <w:szCs w:val="21"/>
          <w:highlight w:val="none"/>
        </w:rPr>
        <w:t>公司开户银行名称及账号：</w:t>
      </w:r>
      <w:r>
        <w:rPr>
          <w:rFonts w:hint="eastAsia" w:cs="Arial"/>
          <w:szCs w:val="21"/>
          <w:highlight w:val="none"/>
          <w:u w:val="single"/>
        </w:rPr>
        <w:t xml:space="preserve">                                                         </w:t>
      </w:r>
    </w:p>
    <w:p>
      <w:pPr>
        <w:widowControl w:val="0"/>
        <w:numPr>
          <w:ilvl w:val="1"/>
          <w:numId w:val="29"/>
        </w:numPr>
        <w:shd w:val="clear" w:color="auto" w:fill="auto"/>
        <w:tabs>
          <w:tab w:val="clear" w:pos="426"/>
        </w:tabs>
        <w:adjustRightInd/>
        <w:snapToGrid/>
        <w:ind w:left="0" w:firstLine="426"/>
        <w:rPr>
          <w:rFonts w:cs="Arial"/>
          <w:szCs w:val="21"/>
          <w:highlight w:val="none"/>
        </w:rPr>
      </w:pPr>
      <w:r>
        <w:rPr>
          <w:rFonts w:cs="Arial"/>
          <w:szCs w:val="21"/>
          <w:highlight w:val="none"/>
        </w:rPr>
        <w:t>营业注册执照号：</w:t>
      </w:r>
      <w:r>
        <w:rPr>
          <w:rFonts w:hint="eastAsia" w:cs="Arial"/>
          <w:szCs w:val="21"/>
          <w:highlight w:val="none"/>
          <w:u w:val="single"/>
        </w:rPr>
        <w:t xml:space="preserve">                                                                  </w:t>
      </w:r>
    </w:p>
    <w:p>
      <w:pPr>
        <w:widowControl w:val="0"/>
        <w:numPr>
          <w:ilvl w:val="1"/>
          <w:numId w:val="29"/>
        </w:numPr>
        <w:shd w:val="clear" w:color="auto" w:fill="auto"/>
        <w:tabs>
          <w:tab w:val="clear" w:pos="426"/>
        </w:tabs>
        <w:adjustRightInd/>
        <w:snapToGrid/>
        <w:ind w:left="0" w:firstLine="426"/>
        <w:rPr>
          <w:rFonts w:cs="Arial"/>
          <w:szCs w:val="21"/>
          <w:highlight w:val="none"/>
        </w:rPr>
      </w:pPr>
      <w:r>
        <w:rPr>
          <w:rFonts w:cs="Arial"/>
          <w:szCs w:val="21"/>
          <w:highlight w:val="none"/>
        </w:rPr>
        <w:t>公司简介</w:t>
      </w:r>
    </w:p>
    <w:p>
      <w:pPr>
        <w:tabs>
          <w:tab w:val="clear" w:pos="426"/>
        </w:tabs>
        <w:ind w:firstLine="426"/>
        <w:rPr>
          <w:highlight w:val="none"/>
        </w:rPr>
      </w:pPr>
      <w:r>
        <w:rPr>
          <w:rFonts w:hint="eastAsia"/>
          <w:highlight w:val="none"/>
        </w:rPr>
        <w:t>文字描述：</w:t>
      </w:r>
      <w:r>
        <w:rPr>
          <w:rFonts w:hint="eastAsia"/>
          <w:bCs/>
          <w:szCs w:val="21"/>
          <w:highlight w:val="none"/>
          <w:lang w:val="en-GB"/>
        </w:rPr>
        <w:t>发展历程、经营规模及服务理念</w:t>
      </w:r>
      <w:r>
        <w:rPr>
          <w:rFonts w:hint="eastAsia"/>
          <w:highlight w:val="none"/>
        </w:rPr>
        <w:t>、技术力量、财务状况、</w:t>
      </w:r>
      <w:r>
        <w:rPr>
          <w:highlight w:val="none"/>
        </w:rPr>
        <w:t>管理水平</w:t>
      </w:r>
      <w:r>
        <w:rPr>
          <w:rFonts w:hint="eastAsia"/>
          <w:highlight w:val="none"/>
        </w:rPr>
        <w:t>等方面进行阐述；</w:t>
      </w:r>
    </w:p>
    <w:p>
      <w:pPr>
        <w:tabs>
          <w:tab w:val="clear" w:pos="426"/>
        </w:tabs>
        <w:ind w:firstLine="426"/>
        <w:rPr>
          <w:rFonts w:cs="Arial"/>
          <w:szCs w:val="21"/>
          <w:highlight w:val="none"/>
        </w:rPr>
      </w:pPr>
      <w:r>
        <w:rPr>
          <w:rFonts w:hint="eastAsia"/>
          <w:highlight w:val="none"/>
        </w:rPr>
        <w:t>图片描述：</w:t>
      </w:r>
      <w:r>
        <w:rPr>
          <w:rFonts w:hint="eastAsia"/>
          <w:bCs/>
          <w:szCs w:val="21"/>
          <w:highlight w:val="none"/>
          <w:lang w:val="en-GB"/>
        </w:rPr>
        <w:t>经营场所、主要或关键产品介绍、生产场所及服务流程等。</w:t>
      </w:r>
    </w:p>
    <w:p>
      <w:pPr>
        <w:widowControl w:val="0"/>
        <w:shd w:val="clear" w:color="auto" w:fill="auto"/>
        <w:tabs>
          <w:tab w:val="clear" w:pos="426"/>
        </w:tabs>
        <w:adjustRightInd/>
        <w:snapToGrid/>
        <w:rPr>
          <w:rFonts w:cs="Arial"/>
          <w:b/>
          <w:szCs w:val="21"/>
          <w:highlight w:val="none"/>
        </w:rPr>
      </w:pPr>
      <w:r>
        <w:rPr>
          <w:rFonts w:hint="eastAsia" w:cs="Arial"/>
          <w:b/>
          <w:szCs w:val="21"/>
          <w:highlight w:val="none"/>
        </w:rPr>
        <w:t>二、供应商资格证明文件</w:t>
      </w:r>
    </w:p>
    <w:p>
      <w:pPr>
        <w:tabs>
          <w:tab w:val="clear" w:pos="426"/>
        </w:tabs>
        <w:spacing w:beforeLines="50"/>
        <w:ind w:firstLine="424" w:firstLineChars="201"/>
        <w:rPr>
          <w:b/>
          <w:color w:val="FF0000"/>
          <w:highlight w:val="none"/>
        </w:rPr>
      </w:pPr>
      <w:r>
        <w:rPr>
          <w:rFonts w:hint="eastAsia"/>
          <w:b/>
          <w:color w:val="FF0000"/>
          <w:highlight w:val="none"/>
        </w:rPr>
        <w:t>投标人须按本招标文件第一章采购公告第二条“投标人资质要求”提供相关的资质证明，且已接受报名的单位，不代表资格审查通过。投标文件中未提供或提供不完整、不符合要求的，投标文件将按无效标的情形处理。</w:t>
      </w:r>
    </w:p>
    <w:p>
      <w:pPr>
        <w:widowControl w:val="0"/>
        <w:shd w:val="clear" w:color="auto" w:fill="auto"/>
        <w:tabs>
          <w:tab w:val="clear" w:pos="426"/>
        </w:tabs>
        <w:adjustRightInd/>
        <w:snapToGrid/>
        <w:rPr>
          <w:rFonts w:cs="Arial"/>
          <w:b/>
          <w:szCs w:val="21"/>
          <w:highlight w:val="none"/>
        </w:rPr>
      </w:pPr>
      <w:r>
        <w:rPr>
          <w:rFonts w:hint="eastAsia" w:cs="Arial"/>
          <w:b/>
          <w:szCs w:val="21"/>
          <w:highlight w:val="none"/>
        </w:rPr>
        <w:t>三、</w:t>
      </w:r>
      <w:r>
        <w:rPr>
          <w:rFonts w:cs="Arial"/>
          <w:b/>
          <w:szCs w:val="21"/>
          <w:highlight w:val="none"/>
        </w:rPr>
        <w:t>如联合体投标，投标人还必须提供《联合体投标协议》（格式自定）。</w:t>
      </w:r>
    </w:p>
    <w:p>
      <w:pPr>
        <w:tabs>
          <w:tab w:val="clear" w:pos="426"/>
        </w:tabs>
        <w:spacing w:line="500" w:lineRule="exact"/>
        <w:ind w:left="424" w:leftChars="202"/>
        <w:rPr>
          <w:spacing w:val="4"/>
          <w:highlight w:val="none"/>
        </w:rPr>
      </w:pPr>
    </w:p>
    <w:p>
      <w:pPr>
        <w:tabs>
          <w:tab w:val="clear" w:pos="426"/>
        </w:tabs>
        <w:spacing w:line="500" w:lineRule="exact"/>
        <w:ind w:left="424" w:leftChars="202"/>
        <w:rPr>
          <w:spacing w:val="4"/>
          <w:highlight w:val="none"/>
        </w:rPr>
      </w:pPr>
    </w:p>
    <w:p>
      <w:pPr>
        <w:tabs>
          <w:tab w:val="clear" w:pos="426"/>
        </w:tabs>
        <w:spacing w:line="500" w:lineRule="exact"/>
        <w:ind w:left="424" w:leftChars="202"/>
        <w:rPr>
          <w:highlight w:val="none"/>
          <w:u w:val="single"/>
        </w:rPr>
      </w:pPr>
      <w:r>
        <w:rPr>
          <w:rFonts w:hint="eastAsia"/>
          <w:spacing w:val="4"/>
          <w:highlight w:val="none"/>
        </w:rPr>
        <w:t>投标人名称（</w:t>
      </w:r>
      <w:r>
        <w:rPr>
          <w:rFonts w:hint="eastAsia"/>
          <w:highlight w:val="none"/>
        </w:rPr>
        <w:t>单位盖</w:t>
      </w:r>
      <w:r>
        <w:rPr>
          <w:rFonts w:hint="eastAsia"/>
          <w:spacing w:val="4"/>
          <w:highlight w:val="none"/>
        </w:rPr>
        <w:t>公章）：</w:t>
      </w:r>
      <w:r>
        <w:rPr>
          <w:rFonts w:hint="eastAsia"/>
          <w:spacing w:val="4"/>
          <w:highlight w:val="none"/>
          <w:u w:val="single"/>
        </w:rPr>
        <w:t xml:space="preserve">                              </w:t>
      </w:r>
    </w:p>
    <w:p>
      <w:pPr>
        <w:tabs>
          <w:tab w:val="clear" w:pos="426"/>
        </w:tabs>
        <w:spacing w:line="520" w:lineRule="exact"/>
        <w:ind w:left="424" w:leftChars="202"/>
        <w:rPr>
          <w:spacing w:val="4"/>
          <w:highlight w:val="none"/>
        </w:rPr>
      </w:pPr>
      <w:r>
        <w:rPr>
          <w:rFonts w:hint="eastAsia"/>
          <w:highlight w:val="none"/>
        </w:rPr>
        <w:t>法定代表人或投标人授权代表（签名或盖章）：</w:t>
      </w:r>
      <w:r>
        <w:rPr>
          <w:spacing w:val="4"/>
          <w:highlight w:val="none"/>
          <w:u w:val="single"/>
        </w:rPr>
        <w:t xml:space="preserve">        </w:t>
      </w:r>
      <w:r>
        <w:rPr>
          <w:rFonts w:hint="eastAsia"/>
          <w:spacing w:val="4"/>
          <w:highlight w:val="none"/>
          <w:u w:val="single"/>
        </w:rPr>
        <w:t xml:space="preserve"> </w:t>
      </w:r>
      <w:r>
        <w:rPr>
          <w:spacing w:val="4"/>
          <w:highlight w:val="none"/>
          <w:u w:val="single"/>
        </w:rPr>
        <w:t xml:space="preserve"> </w:t>
      </w:r>
      <w:r>
        <w:rPr>
          <w:rFonts w:hint="eastAsia"/>
          <w:spacing w:val="4"/>
          <w:highlight w:val="none"/>
          <w:u w:val="single"/>
        </w:rPr>
        <w:t xml:space="preserve"> </w:t>
      </w:r>
      <w:r>
        <w:rPr>
          <w:spacing w:val="4"/>
          <w:highlight w:val="none"/>
          <w:u w:val="single"/>
        </w:rPr>
        <w:t xml:space="preserve"> </w:t>
      </w:r>
      <w:r>
        <w:rPr>
          <w:rFonts w:hint="eastAsia"/>
          <w:spacing w:val="4"/>
          <w:highlight w:val="none"/>
          <w:u w:val="single"/>
        </w:rPr>
        <w:t xml:space="preserve"> </w:t>
      </w:r>
      <w:r>
        <w:rPr>
          <w:spacing w:val="4"/>
          <w:highlight w:val="none"/>
          <w:u w:val="single"/>
        </w:rPr>
        <w:t xml:space="preserve">   </w:t>
      </w:r>
    </w:p>
    <w:p>
      <w:pPr>
        <w:tabs>
          <w:tab w:val="clear" w:pos="426"/>
        </w:tabs>
        <w:spacing w:line="520" w:lineRule="exact"/>
        <w:ind w:left="424" w:leftChars="202"/>
        <w:rPr>
          <w:spacing w:val="4"/>
          <w:highlight w:val="none"/>
        </w:rPr>
      </w:pPr>
      <w:r>
        <w:rPr>
          <w:rFonts w:hint="eastAsia"/>
          <w:spacing w:val="4"/>
          <w:highlight w:val="none"/>
        </w:rPr>
        <w:t>职务：</w:t>
      </w:r>
      <w:r>
        <w:rPr>
          <w:spacing w:val="4"/>
          <w:highlight w:val="none"/>
          <w:u w:val="single"/>
        </w:rPr>
        <w:t xml:space="preserve">    </w:t>
      </w:r>
      <w:r>
        <w:rPr>
          <w:rFonts w:hint="eastAsia"/>
          <w:spacing w:val="4"/>
          <w:highlight w:val="none"/>
          <w:u w:val="single"/>
        </w:rPr>
        <w:t xml:space="preserve">                                         </w:t>
      </w:r>
      <w:r>
        <w:rPr>
          <w:spacing w:val="4"/>
          <w:highlight w:val="none"/>
          <w:u w:val="single"/>
        </w:rPr>
        <w:t xml:space="preserve">    </w:t>
      </w:r>
    </w:p>
    <w:p>
      <w:pPr>
        <w:tabs>
          <w:tab w:val="clear" w:pos="426"/>
        </w:tabs>
        <w:spacing w:line="520" w:lineRule="exact"/>
        <w:ind w:left="424" w:leftChars="202"/>
        <w:rPr>
          <w:rFonts w:ascii="黑体" w:eastAsia="黑体"/>
          <w:b/>
          <w:bCs/>
          <w:sz w:val="28"/>
          <w:highlight w:val="none"/>
        </w:rPr>
      </w:pPr>
      <w:r>
        <w:rPr>
          <w:rFonts w:hint="eastAsia"/>
          <w:spacing w:val="4"/>
          <w:highlight w:val="none"/>
        </w:rPr>
        <w:t>日期</w:t>
      </w:r>
      <w:r>
        <w:rPr>
          <w:spacing w:val="4"/>
          <w:highlight w:val="none"/>
          <w:u w:val="single"/>
        </w:rPr>
        <w:t xml:space="preserve">     </w:t>
      </w:r>
      <w:r>
        <w:rPr>
          <w:rFonts w:hint="eastAsia"/>
          <w:spacing w:val="4"/>
          <w:highlight w:val="none"/>
          <w:u w:val="single"/>
        </w:rPr>
        <w:t xml:space="preserve">                                          </w:t>
      </w:r>
      <w:r>
        <w:rPr>
          <w:spacing w:val="4"/>
          <w:highlight w:val="none"/>
          <w:u w:val="single"/>
        </w:rPr>
        <w:t xml:space="preserve">    </w:t>
      </w:r>
    </w:p>
    <w:p>
      <w:pPr>
        <w:tabs>
          <w:tab w:val="clear" w:pos="426"/>
        </w:tabs>
        <w:spacing w:line="520" w:lineRule="exact"/>
        <w:ind w:left="424" w:leftChars="202"/>
        <w:rPr>
          <w:rFonts w:ascii="黑体" w:eastAsia="黑体"/>
          <w:b/>
          <w:bCs/>
          <w:sz w:val="28"/>
          <w:highlight w:val="none"/>
        </w:rPr>
      </w:pPr>
    </w:p>
    <w:p>
      <w:pPr>
        <w:tabs>
          <w:tab w:val="clear" w:pos="426"/>
        </w:tabs>
        <w:spacing w:line="520" w:lineRule="exact"/>
        <w:ind w:left="424" w:leftChars="202"/>
        <w:rPr>
          <w:rFonts w:ascii="黑体" w:eastAsia="黑体"/>
          <w:b/>
          <w:bCs/>
          <w:sz w:val="28"/>
          <w:highlight w:val="none"/>
        </w:rPr>
      </w:pPr>
    </w:p>
    <w:p>
      <w:pPr>
        <w:tabs>
          <w:tab w:val="clear" w:pos="426"/>
        </w:tabs>
        <w:spacing w:line="400" w:lineRule="exact"/>
        <w:rPr>
          <w:highlight w:val="none"/>
        </w:rPr>
      </w:pPr>
      <w:r>
        <w:rPr>
          <w:highlight w:val="none"/>
        </w:rPr>
        <w:br w:type="page"/>
      </w:r>
    </w:p>
    <w:p>
      <w:pPr>
        <w:pStyle w:val="8"/>
        <w:keepNext w:val="0"/>
        <w:keepLines w:val="0"/>
        <w:pageBreakBefore w:val="0"/>
        <w:widowControl/>
        <w:numPr>
          <w:ilvl w:val="0"/>
          <w:numId w:val="28"/>
        </w:numPr>
        <w:kinsoku/>
        <w:wordWrap/>
        <w:overflowPunct/>
        <w:topLinePunct w:val="0"/>
        <w:autoSpaceDE/>
        <w:autoSpaceDN/>
        <w:bidi w:val="0"/>
        <w:spacing w:line="360" w:lineRule="auto"/>
        <w:ind w:left="561" w:hanging="420"/>
        <w:textAlignment w:val="auto"/>
        <w:outlineLvl w:val="2"/>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管理体系认证情况</w:t>
      </w:r>
    </w:p>
    <w:p>
      <w:pPr>
        <w:pStyle w:val="8"/>
        <w:keepNext w:val="0"/>
        <w:keepLines w:val="0"/>
        <w:pageBreakBefore w:val="0"/>
        <w:widowControl/>
        <w:numPr>
          <w:ilvl w:val="0"/>
          <w:numId w:val="28"/>
        </w:numPr>
        <w:shd w:val="clear" w:color="auto" w:fill="FFFFFF"/>
        <w:kinsoku/>
        <w:wordWrap/>
        <w:overflowPunct/>
        <w:topLinePunct w:val="0"/>
        <w:autoSpaceDE/>
        <w:autoSpaceDN/>
        <w:bidi w:val="0"/>
        <w:spacing w:line="360" w:lineRule="auto"/>
        <w:ind w:left="561" w:hanging="420"/>
        <w:textAlignment w:val="auto"/>
        <w:outlineLvl w:val="2"/>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zh-CN" w:eastAsia="zh-CN" w:bidi="ar-SA"/>
        </w:rPr>
        <w:t>类似项目业绩</w:t>
      </w:r>
    </w:p>
    <w:p>
      <w:pPr>
        <w:pStyle w:val="8"/>
        <w:keepNext w:val="0"/>
        <w:keepLines w:val="0"/>
        <w:pageBreakBefore w:val="0"/>
        <w:widowControl/>
        <w:numPr>
          <w:ilvl w:val="0"/>
          <w:numId w:val="28"/>
        </w:numPr>
        <w:kinsoku/>
        <w:wordWrap/>
        <w:overflowPunct/>
        <w:topLinePunct w:val="0"/>
        <w:autoSpaceDE/>
        <w:autoSpaceDN/>
        <w:bidi w:val="0"/>
        <w:spacing w:line="360" w:lineRule="auto"/>
        <w:ind w:left="561" w:hanging="420"/>
        <w:textAlignment w:val="auto"/>
        <w:outlineLvl w:val="2"/>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类似项目业绩获奖情况</w:t>
      </w:r>
    </w:p>
    <w:p>
      <w:pPr>
        <w:pStyle w:val="8"/>
        <w:keepNext w:val="0"/>
        <w:keepLines w:val="0"/>
        <w:pageBreakBefore w:val="0"/>
        <w:widowControl/>
        <w:numPr>
          <w:ilvl w:val="0"/>
          <w:numId w:val="28"/>
        </w:numPr>
        <w:kinsoku/>
        <w:wordWrap/>
        <w:overflowPunct/>
        <w:topLinePunct w:val="0"/>
        <w:autoSpaceDE/>
        <w:autoSpaceDN/>
        <w:bidi w:val="0"/>
        <w:spacing w:line="360" w:lineRule="auto"/>
        <w:ind w:left="561" w:hanging="420"/>
        <w:textAlignment w:val="auto"/>
        <w:outlineLvl w:val="2"/>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履约评价情况</w:t>
      </w:r>
    </w:p>
    <w:p>
      <w:pPr>
        <w:keepNext w:val="0"/>
        <w:keepLines w:val="0"/>
        <w:pageBreakBefore w:val="0"/>
        <w:widowControl/>
        <w:numPr>
          <w:ilvl w:val="0"/>
          <w:numId w:val="28"/>
        </w:numPr>
        <w:tabs>
          <w:tab w:val="clear" w:pos="426"/>
        </w:tabs>
        <w:kinsoku/>
        <w:wordWrap/>
        <w:overflowPunct/>
        <w:topLinePunct w:val="0"/>
        <w:autoSpaceDE/>
        <w:autoSpaceDN/>
        <w:bidi w:val="0"/>
        <w:adjustRightInd/>
        <w:snapToGrid/>
        <w:spacing w:line="360" w:lineRule="auto"/>
        <w:ind w:left="561" w:hanging="420"/>
        <w:jc w:val="left"/>
        <w:textAlignment w:val="auto"/>
        <w:outlineLvl w:val="2"/>
        <w:rPr>
          <w:b/>
          <w:sz w:val="24"/>
          <w:highlight w:val="none"/>
        </w:rPr>
      </w:pPr>
      <w:r>
        <w:rPr>
          <w:rFonts w:hint="eastAsia"/>
          <w:b/>
          <w:sz w:val="24"/>
          <w:highlight w:val="none"/>
          <w:lang w:eastAsia="zh-CN"/>
        </w:rPr>
        <w:t>企业信誉</w:t>
      </w:r>
    </w:p>
    <w:p>
      <w:pPr>
        <w:keepNext w:val="0"/>
        <w:keepLines w:val="0"/>
        <w:pageBreakBefore w:val="0"/>
        <w:widowControl/>
        <w:numPr>
          <w:ilvl w:val="0"/>
          <w:numId w:val="28"/>
        </w:numPr>
        <w:tabs>
          <w:tab w:val="clear" w:pos="426"/>
        </w:tabs>
        <w:kinsoku/>
        <w:wordWrap/>
        <w:overflowPunct/>
        <w:topLinePunct w:val="0"/>
        <w:autoSpaceDE/>
        <w:autoSpaceDN/>
        <w:bidi w:val="0"/>
        <w:adjustRightInd/>
        <w:snapToGrid/>
        <w:spacing w:line="360" w:lineRule="auto"/>
        <w:jc w:val="left"/>
        <w:textAlignment w:val="auto"/>
        <w:outlineLvl w:val="2"/>
        <w:rPr>
          <w:b/>
          <w:sz w:val="24"/>
          <w:highlight w:val="none"/>
        </w:rPr>
      </w:pPr>
      <w:r>
        <w:rPr>
          <w:rFonts w:hint="eastAsia"/>
          <w:b/>
          <w:sz w:val="24"/>
          <w:highlight w:val="none"/>
        </w:rPr>
        <w:t>诚信档案</w:t>
      </w:r>
    </w:p>
    <w:p>
      <w:pPr>
        <w:keepNext w:val="0"/>
        <w:keepLines w:val="0"/>
        <w:pageBreakBefore w:val="0"/>
        <w:widowControl/>
        <w:numPr>
          <w:ilvl w:val="0"/>
          <w:numId w:val="28"/>
        </w:numPr>
        <w:tabs>
          <w:tab w:val="clear" w:pos="426"/>
        </w:tabs>
        <w:kinsoku/>
        <w:wordWrap/>
        <w:overflowPunct/>
        <w:topLinePunct w:val="0"/>
        <w:autoSpaceDE/>
        <w:autoSpaceDN/>
        <w:bidi w:val="0"/>
        <w:adjustRightInd/>
        <w:snapToGrid/>
        <w:spacing w:line="360" w:lineRule="auto"/>
        <w:jc w:val="left"/>
        <w:textAlignment w:val="auto"/>
        <w:outlineLvl w:val="2"/>
        <w:rPr>
          <w:rFonts w:hint="eastAsia"/>
          <w:b/>
          <w:sz w:val="24"/>
          <w:highlight w:val="none"/>
        </w:rPr>
      </w:pPr>
      <w:r>
        <w:rPr>
          <w:rFonts w:hint="eastAsia"/>
          <w:b/>
          <w:sz w:val="24"/>
          <w:highlight w:val="none"/>
        </w:rPr>
        <w:t>企业技术人员实力</w:t>
      </w:r>
    </w:p>
    <w:p>
      <w:pPr>
        <w:keepNext w:val="0"/>
        <w:keepLines w:val="0"/>
        <w:pageBreakBefore w:val="0"/>
        <w:widowControl/>
        <w:numPr>
          <w:ilvl w:val="0"/>
          <w:numId w:val="28"/>
        </w:numPr>
        <w:tabs>
          <w:tab w:val="clear" w:pos="426"/>
        </w:tabs>
        <w:kinsoku/>
        <w:wordWrap/>
        <w:overflowPunct/>
        <w:topLinePunct w:val="0"/>
        <w:autoSpaceDE/>
        <w:autoSpaceDN/>
        <w:bidi w:val="0"/>
        <w:adjustRightInd/>
        <w:snapToGrid/>
        <w:spacing w:line="360" w:lineRule="auto"/>
        <w:jc w:val="left"/>
        <w:textAlignment w:val="auto"/>
        <w:outlineLvl w:val="2"/>
        <w:rPr>
          <w:rFonts w:hint="eastAsia"/>
          <w:b/>
          <w:sz w:val="24"/>
          <w:highlight w:val="none"/>
        </w:rPr>
      </w:pPr>
      <w:r>
        <w:rPr>
          <w:rFonts w:hint="eastAsia"/>
          <w:b/>
          <w:sz w:val="24"/>
          <w:highlight w:val="none"/>
        </w:rPr>
        <w:t>拟安排项目班子成员</w:t>
      </w:r>
    </w:p>
    <w:p>
      <w:pPr>
        <w:keepNext w:val="0"/>
        <w:keepLines w:val="0"/>
        <w:pageBreakBefore w:val="0"/>
        <w:widowControl/>
        <w:numPr>
          <w:ilvl w:val="0"/>
          <w:numId w:val="28"/>
        </w:numPr>
        <w:shd w:val="clear" w:color="auto" w:fill="FFFFFF"/>
        <w:tabs>
          <w:tab w:val="clear" w:pos="426"/>
        </w:tabs>
        <w:kinsoku/>
        <w:wordWrap/>
        <w:overflowPunct/>
        <w:topLinePunct w:val="0"/>
        <w:autoSpaceDE/>
        <w:autoSpaceDN/>
        <w:bidi w:val="0"/>
        <w:adjustRightInd/>
        <w:snapToGrid/>
        <w:spacing w:line="360" w:lineRule="auto"/>
        <w:jc w:val="left"/>
        <w:textAlignment w:val="auto"/>
        <w:outlineLvl w:val="2"/>
        <w:rPr>
          <w:rFonts w:hint="eastAsia"/>
          <w:b/>
          <w:sz w:val="24"/>
          <w:highlight w:val="none"/>
        </w:rPr>
      </w:pPr>
      <w:r>
        <w:rPr>
          <w:rFonts w:hint="eastAsia"/>
          <w:b/>
          <w:sz w:val="24"/>
          <w:highlight w:val="none"/>
        </w:rPr>
        <w:t>服务方案</w:t>
      </w:r>
    </w:p>
    <w:p>
      <w:pPr>
        <w:keepNext w:val="0"/>
        <w:keepLines w:val="0"/>
        <w:pageBreakBefore w:val="0"/>
        <w:widowControl/>
        <w:tabs>
          <w:tab w:val="clear" w:pos="426"/>
        </w:tabs>
        <w:kinsoku/>
        <w:wordWrap/>
        <w:overflowPunct/>
        <w:topLinePunct w:val="0"/>
        <w:autoSpaceDE/>
        <w:autoSpaceDN/>
        <w:bidi w:val="0"/>
        <w:spacing w:line="360" w:lineRule="auto"/>
        <w:textAlignment w:val="auto"/>
        <w:rPr>
          <w:sz w:val="24"/>
          <w:highlight w:val="none"/>
        </w:rPr>
      </w:pPr>
      <w:bookmarkStart w:id="59" w:name="_Toc50703730"/>
      <w:bookmarkStart w:id="60" w:name="_Toc50691037"/>
      <w:bookmarkStart w:id="61" w:name="_Toc43264525"/>
      <w:bookmarkStart w:id="62" w:name="_Toc43264518"/>
    </w:p>
    <w:p>
      <w:pPr>
        <w:tabs>
          <w:tab w:val="clear" w:pos="426"/>
        </w:tabs>
        <w:spacing w:line="500" w:lineRule="exact"/>
        <w:rPr>
          <w:sz w:val="24"/>
          <w:highlight w:val="none"/>
        </w:rPr>
      </w:pPr>
    </w:p>
    <w:p>
      <w:pPr>
        <w:numPr>
          <w:ilvl w:val="0"/>
          <w:numId w:val="28"/>
        </w:numPr>
        <w:tabs>
          <w:tab w:val="clear" w:pos="426"/>
        </w:tabs>
        <w:adjustRightInd/>
        <w:snapToGrid/>
        <w:spacing w:before="280" w:after="290" w:line="377" w:lineRule="auto"/>
        <w:jc w:val="left"/>
        <w:outlineLvl w:val="2"/>
        <w:rPr>
          <w:b/>
          <w:sz w:val="24"/>
          <w:highlight w:val="none"/>
        </w:rPr>
      </w:pPr>
      <w:r>
        <w:rPr>
          <w:spacing w:val="4"/>
          <w:highlight w:val="none"/>
          <w:u w:val="single"/>
        </w:rPr>
        <w:br w:type="page"/>
      </w:r>
      <w:bookmarkEnd w:id="59"/>
      <w:bookmarkEnd w:id="60"/>
      <w:bookmarkEnd w:id="61"/>
      <w:bookmarkEnd w:id="62"/>
      <w:r>
        <w:rPr>
          <w:rFonts w:hint="eastAsia"/>
          <w:b/>
          <w:sz w:val="24"/>
          <w:highlight w:val="none"/>
        </w:rPr>
        <w:t>招标代理服务费承诺书</w:t>
      </w: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bookmarkStart w:id="63" w:name="_Toc480789488"/>
      <w:bookmarkStart w:id="64" w:name="_Toc480754217"/>
      <w:bookmarkStart w:id="65" w:name="_Toc275865624"/>
      <w:bookmarkStart w:id="66" w:name="_Toc480756084"/>
      <w:bookmarkStart w:id="67" w:name="_Toc480755938"/>
      <w:r>
        <w:rPr>
          <w:rFonts w:hint="eastAsia" w:cs="Times New Roman"/>
          <w:bCs/>
          <w:kern w:val="2"/>
          <w:sz w:val="32"/>
          <w:szCs w:val="32"/>
          <w:highlight w:val="none"/>
        </w:rPr>
        <w:t>招标代理服务费承诺书</w:t>
      </w:r>
      <w:bookmarkEnd w:id="63"/>
      <w:bookmarkEnd w:id="64"/>
      <w:bookmarkEnd w:id="65"/>
      <w:bookmarkEnd w:id="66"/>
      <w:bookmarkEnd w:id="67"/>
    </w:p>
    <w:p>
      <w:pPr>
        <w:tabs>
          <w:tab w:val="clear" w:pos="426"/>
        </w:tabs>
        <w:adjustRightInd/>
        <w:snapToGrid/>
        <w:rPr>
          <w:b/>
          <w:highlight w:val="none"/>
        </w:rPr>
      </w:pPr>
    </w:p>
    <w:p>
      <w:pPr>
        <w:tabs>
          <w:tab w:val="clear" w:pos="426"/>
        </w:tabs>
        <w:adjustRightInd/>
        <w:snapToGrid/>
        <w:rPr>
          <w:b/>
          <w:highlight w:val="none"/>
        </w:rPr>
      </w:pPr>
      <w:r>
        <w:rPr>
          <w:rFonts w:hint="eastAsia"/>
          <w:b/>
          <w:highlight w:val="none"/>
        </w:rPr>
        <w:t>深圳市深水水务咨询有限公司：</w:t>
      </w:r>
    </w:p>
    <w:p>
      <w:pPr>
        <w:tabs>
          <w:tab w:val="clear" w:pos="426"/>
        </w:tabs>
        <w:adjustRightInd/>
        <w:snapToGrid/>
        <w:ind w:firstLine="420" w:firstLineChars="200"/>
        <w:rPr>
          <w:szCs w:val="21"/>
          <w:highlight w:val="none"/>
        </w:rPr>
      </w:pPr>
      <w:r>
        <w:rPr>
          <w:rFonts w:hint="eastAsia"/>
          <w:highlight w:val="none"/>
        </w:rPr>
        <w:t>本公司</w:t>
      </w:r>
      <w:r>
        <w:rPr>
          <w:rFonts w:hint="eastAsia"/>
          <w:highlight w:val="none"/>
          <w:u w:val="single"/>
        </w:rPr>
        <w:t xml:space="preserve">  (投标人名称)  </w:t>
      </w:r>
      <w:r>
        <w:rPr>
          <w:rFonts w:hint="eastAsia"/>
          <w:highlight w:val="none"/>
        </w:rPr>
        <w:t>在参加</w:t>
      </w:r>
      <w:r>
        <w:rPr>
          <w:rFonts w:hint="eastAsia"/>
          <w:highlight w:val="none"/>
          <w:u w:val="single"/>
        </w:rPr>
        <w:t xml:space="preserve"> </w:t>
      </w:r>
      <w:r>
        <w:rPr>
          <w:rFonts w:hint="eastAsia"/>
          <w:b/>
          <w:highlight w:val="none"/>
          <w:u w:val="single"/>
        </w:rPr>
        <w:t xml:space="preserve"> </w:t>
      </w:r>
      <w:r>
        <w:rPr>
          <w:rFonts w:hint="eastAsia"/>
          <w:highlight w:val="none"/>
          <w:u w:val="single"/>
        </w:rPr>
        <w:t xml:space="preserve">（项目名称） </w:t>
      </w:r>
      <w:r>
        <w:rPr>
          <w:rFonts w:hint="eastAsia"/>
          <w:b/>
          <w:highlight w:val="none"/>
          <w:u w:val="single"/>
        </w:rPr>
        <w:t xml:space="preserve"> </w:t>
      </w:r>
      <w:r>
        <w:rPr>
          <w:rFonts w:hint="eastAsia"/>
          <w:highlight w:val="none"/>
        </w:rPr>
        <w:t>(项目编号：</w:t>
      </w:r>
      <w:r>
        <w:rPr>
          <w:rFonts w:hint="eastAsia"/>
          <w:highlight w:val="none"/>
          <w:u w:val="single"/>
        </w:rPr>
        <w:t xml:space="preserve">  （项目编号）  </w:t>
      </w:r>
      <w:r>
        <w:rPr>
          <w:rFonts w:hint="eastAsia"/>
          <w:highlight w:val="none"/>
        </w:rPr>
        <w:t>)的招标中如获中标</w:t>
      </w:r>
      <w:r>
        <w:rPr>
          <w:rFonts w:hint="eastAsia"/>
          <w:szCs w:val="21"/>
          <w:highlight w:val="none"/>
        </w:rPr>
        <w:t>，我公司保证按照招标文件</w:t>
      </w:r>
      <w:r>
        <w:rPr>
          <w:rFonts w:hint="eastAsia"/>
          <w:highlight w:val="none"/>
        </w:rPr>
        <w:t>的</w:t>
      </w:r>
      <w:r>
        <w:rPr>
          <w:rFonts w:hint="eastAsia"/>
          <w:szCs w:val="21"/>
          <w:highlight w:val="none"/>
        </w:rPr>
        <w:t>规定缴纳“招标代理服务费”后，凭领取人身份证复印件并加盖公章领取《中标通知书》。如采用电汇或银行转账，我</w:t>
      </w:r>
      <w:r>
        <w:rPr>
          <w:rFonts w:hint="eastAsia"/>
          <w:highlight w:val="none"/>
        </w:rPr>
        <w:t>公</w:t>
      </w:r>
      <w:r>
        <w:rPr>
          <w:rFonts w:hint="eastAsia"/>
          <w:szCs w:val="21"/>
          <w:highlight w:val="none"/>
        </w:rPr>
        <w:t>司将同时递交招标代理服务费缴费凭证复印件并加盖公章。</w:t>
      </w:r>
    </w:p>
    <w:p>
      <w:pPr>
        <w:tabs>
          <w:tab w:val="clear" w:pos="426"/>
        </w:tabs>
        <w:adjustRightInd/>
        <w:snapToGrid/>
        <w:ind w:firstLine="420" w:firstLineChars="200"/>
        <w:rPr>
          <w:highlight w:val="none"/>
        </w:rPr>
      </w:pPr>
      <w:r>
        <w:rPr>
          <w:rFonts w:hint="eastAsia"/>
          <w:highlight w:val="none"/>
        </w:rPr>
        <w:t>如我公司违反上款承诺，愿凭贵公司开出的相关通知，同意（采购代理机构名称）办理支付手续，扣除我公司提交的全部投标保证金，并愿承担由此引起的一切法律责任。</w:t>
      </w:r>
    </w:p>
    <w:p>
      <w:pPr>
        <w:tabs>
          <w:tab w:val="clear" w:pos="426"/>
        </w:tabs>
        <w:adjustRightInd/>
        <w:snapToGrid/>
        <w:ind w:firstLine="420" w:firstLineChars="200"/>
        <w:rPr>
          <w:highlight w:val="none"/>
        </w:rPr>
      </w:pPr>
      <w:r>
        <w:rPr>
          <w:rFonts w:hint="eastAsia"/>
          <w:highlight w:val="none"/>
        </w:rPr>
        <w:t>特此承诺!</w:t>
      </w:r>
    </w:p>
    <w:p>
      <w:pPr>
        <w:tabs>
          <w:tab w:val="clear" w:pos="426"/>
        </w:tabs>
        <w:spacing w:line="520" w:lineRule="exact"/>
        <w:ind w:left="424" w:leftChars="202"/>
        <w:rPr>
          <w:highlight w:val="none"/>
          <w:u w:val="single"/>
        </w:rPr>
      </w:pPr>
      <w:r>
        <w:rPr>
          <w:rFonts w:hint="eastAsia"/>
          <w:highlight w:val="none"/>
        </w:rPr>
        <w:t>投标人名称(盖公章):</w:t>
      </w:r>
      <w:r>
        <w:rPr>
          <w:rFonts w:hint="eastAsia"/>
          <w:highlight w:val="none"/>
          <w:u w:val="single"/>
        </w:rPr>
        <w:t xml:space="preserve">                                                      </w:t>
      </w:r>
    </w:p>
    <w:p>
      <w:pPr>
        <w:tabs>
          <w:tab w:val="clear" w:pos="426"/>
        </w:tabs>
        <w:spacing w:line="520" w:lineRule="exact"/>
        <w:ind w:left="424" w:leftChars="202"/>
        <w:rPr>
          <w:highlight w:val="none"/>
          <w:u w:val="single"/>
        </w:rPr>
      </w:pPr>
      <w:r>
        <w:rPr>
          <w:rFonts w:hint="eastAsia"/>
          <w:highlight w:val="none"/>
        </w:rPr>
        <w:t>投标人地址:</w:t>
      </w:r>
      <w:r>
        <w:rPr>
          <w:rFonts w:hint="eastAsia"/>
          <w:highlight w:val="none"/>
          <w:u w:val="single"/>
        </w:rPr>
        <w:t xml:space="preserve">                                                              </w:t>
      </w:r>
    </w:p>
    <w:p>
      <w:pPr>
        <w:tabs>
          <w:tab w:val="clear" w:pos="426"/>
        </w:tabs>
        <w:spacing w:line="520" w:lineRule="exact"/>
        <w:ind w:left="424" w:leftChars="202"/>
        <w:rPr>
          <w:highlight w:val="none"/>
        </w:rPr>
      </w:pPr>
      <w:r>
        <w:rPr>
          <w:rFonts w:hint="eastAsia"/>
          <w:highlight w:val="none"/>
        </w:rPr>
        <w:t>电话:</w:t>
      </w:r>
      <w:r>
        <w:rPr>
          <w:rFonts w:hint="eastAsia"/>
          <w:highlight w:val="none"/>
          <w:u w:val="single"/>
        </w:rPr>
        <w:t xml:space="preserve">                                                                    </w:t>
      </w:r>
    </w:p>
    <w:p>
      <w:pPr>
        <w:tabs>
          <w:tab w:val="clear" w:pos="426"/>
        </w:tabs>
        <w:spacing w:line="520" w:lineRule="exact"/>
        <w:ind w:left="424" w:leftChars="202"/>
        <w:rPr>
          <w:highlight w:val="none"/>
        </w:rPr>
      </w:pPr>
      <w:r>
        <w:rPr>
          <w:rFonts w:hint="eastAsia"/>
          <w:highlight w:val="none"/>
        </w:rPr>
        <w:t>传真:</w:t>
      </w:r>
      <w:r>
        <w:rPr>
          <w:rFonts w:hint="eastAsia"/>
          <w:highlight w:val="none"/>
          <w:u w:val="single"/>
        </w:rPr>
        <w:t xml:space="preserve">                                                                    </w:t>
      </w:r>
    </w:p>
    <w:p>
      <w:pPr>
        <w:tabs>
          <w:tab w:val="clear" w:pos="426"/>
        </w:tabs>
        <w:spacing w:line="520" w:lineRule="exact"/>
        <w:ind w:left="424" w:leftChars="202"/>
        <w:rPr>
          <w:highlight w:val="none"/>
          <w:u w:val="single"/>
        </w:rPr>
      </w:pPr>
      <w:r>
        <w:rPr>
          <w:rFonts w:hint="eastAsia"/>
          <w:highlight w:val="none"/>
        </w:rPr>
        <w:t>法定代表人或投标人授权代表（签名或盖章）</w:t>
      </w:r>
      <w:r>
        <w:rPr>
          <w:rFonts w:hint="eastAsia"/>
          <w:highlight w:val="none"/>
          <w:u w:val="single"/>
        </w:rPr>
        <w:t xml:space="preserve">                                 </w:t>
      </w:r>
    </w:p>
    <w:p>
      <w:pPr>
        <w:tabs>
          <w:tab w:val="clear" w:pos="426"/>
        </w:tabs>
        <w:spacing w:line="520" w:lineRule="exact"/>
        <w:ind w:left="424" w:leftChars="202"/>
        <w:rPr>
          <w:highlight w:val="none"/>
        </w:rPr>
      </w:pPr>
    </w:p>
    <w:p>
      <w:pPr>
        <w:tabs>
          <w:tab w:val="clear" w:pos="426"/>
        </w:tabs>
        <w:rPr>
          <w:b/>
          <w:szCs w:val="21"/>
          <w:highlight w:val="none"/>
        </w:rPr>
      </w:pPr>
      <w:r>
        <w:rPr>
          <w:b/>
          <w:highlight w:val="none"/>
        </w:rPr>
        <w:br w:type="page"/>
      </w: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r>
        <w:rPr>
          <w:rFonts w:hint="eastAsia" w:cs="Times New Roman"/>
          <w:bCs/>
          <w:kern w:val="2"/>
          <w:sz w:val="32"/>
          <w:szCs w:val="32"/>
          <w:highlight w:val="none"/>
        </w:rPr>
        <w:t>招标代理服务费发票开具须知</w:t>
      </w:r>
    </w:p>
    <w:tbl>
      <w:tblPr>
        <w:tblStyle w:val="4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159" w:type="dxa"/>
            <w:vAlign w:val="center"/>
          </w:tcPr>
          <w:p>
            <w:pPr>
              <w:tabs>
                <w:tab w:val="clear" w:pos="426"/>
              </w:tabs>
              <w:spacing w:line="520" w:lineRule="exact"/>
              <w:rPr>
                <w:b/>
                <w:highlight w:val="none"/>
              </w:rPr>
            </w:pPr>
            <w:r>
              <w:rPr>
                <w:rFonts w:hint="eastAsia"/>
                <w:b/>
                <w:highlight w:val="none"/>
              </w:rPr>
              <w:t>发票类型</w:t>
            </w:r>
          </w:p>
        </w:tc>
        <w:tc>
          <w:tcPr>
            <w:tcW w:w="7363" w:type="dxa"/>
            <w:vAlign w:val="center"/>
          </w:tcPr>
          <w:p>
            <w:pPr>
              <w:tabs>
                <w:tab w:val="clear" w:pos="426"/>
              </w:tabs>
              <w:spacing w:line="520" w:lineRule="exact"/>
              <w:ind w:firstLine="420" w:firstLineChars="200"/>
              <w:rPr>
                <w:highlight w:val="none"/>
              </w:rPr>
            </w:pPr>
            <w:r>
              <w:rPr>
                <w:rFonts w:hint="eastAsia"/>
                <w:highlight w:val="none"/>
              </w:rPr>
              <w:t>□增值税普通发票          □增值税专用发票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jc w:val="center"/>
        </w:trPr>
        <w:tc>
          <w:tcPr>
            <w:tcW w:w="8522" w:type="dxa"/>
            <w:gridSpan w:val="2"/>
            <w:vAlign w:val="center"/>
          </w:tcPr>
          <w:p>
            <w:pPr>
              <w:tabs>
                <w:tab w:val="clear" w:pos="426"/>
              </w:tabs>
              <w:spacing w:line="520" w:lineRule="exact"/>
              <w:rPr>
                <w:highlight w:val="none"/>
              </w:rPr>
            </w:pPr>
            <w:r>
              <w:rPr>
                <w:rFonts w:hint="eastAsia"/>
                <w:highlight w:val="none"/>
              </w:rPr>
              <w:t>如选择增值税专用发票，需提供以下材料，投标时密封于开标信封中：</w:t>
            </w:r>
          </w:p>
          <w:p>
            <w:pPr>
              <w:tabs>
                <w:tab w:val="clear" w:pos="426"/>
              </w:tabs>
              <w:spacing w:line="520" w:lineRule="exact"/>
              <w:rPr>
                <w:highlight w:val="none"/>
              </w:rPr>
            </w:pPr>
            <w:r>
              <w:rPr>
                <w:rFonts w:hint="eastAsia"/>
                <w:highlight w:val="none"/>
              </w:rPr>
              <w:t xml:space="preserve">1、营业执照、一般纳税人资格认定税务通知书或其他可证明具有该项资格证明文件的复印件，加盖单位公章； </w:t>
            </w:r>
          </w:p>
          <w:p>
            <w:pPr>
              <w:tabs>
                <w:tab w:val="clear" w:pos="426"/>
              </w:tabs>
              <w:spacing w:line="520" w:lineRule="exact"/>
              <w:rPr>
                <w:highlight w:val="none"/>
              </w:rPr>
            </w:pPr>
            <w:r>
              <w:rPr>
                <w:rFonts w:hint="eastAsia"/>
                <w:highlight w:val="none"/>
              </w:rPr>
              <w:t>2、客户的开票资料（单位名称、纳税人识别号、地址、电话、开户行全称及账号</w:t>
            </w:r>
            <w:r>
              <w:rPr>
                <w:highlight w:val="none"/>
              </w:rPr>
              <w:t>）</w:t>
            </w:r>
            <w:r>
              <w:rPr>
                <w:rFonts w:hint="eastAsia"/>
                <w:highlight w:val="none"/>
              </w:rPr>
              <w:t>，加盖单位公章。</w:t>
            </w:r>
          </w:p>
        </w:tc>
      </w:tr>
    </w:tbl>
    <w:p>
      <w:pPr>
        <w:tabs>
          <w:tab w:val="clear" w:pos="426"/>
        </w:tabs>
        <w:rPr>
          <w:b/>
          <w:szCs w:val="21"/>
          <w:highlight w:val="none"/>
        </w:rPr>
      </w:pPr>
      <w:r>
        <w:rPr>
          <w:rFonts w:hint="eastAsia"/>
          <w:b/>
          <w:sz w:val="84"/>
          <w:szCs w:val="84"/>
          <w:highlight w:val="none"/>
          <w:u w:val="dashedHeavy"/>
        </w:rPr>
        <w:t xml:space="preserve">                      </w:t>
      </w:r>
      <w:r>
        <w:rPr>
          <w:rFonts w:hint="eastAsia"/>
          <w:b/>
          <w:szCs w:val="21"/>
          <w:highlight w:val="none"/>
        </w:rPr>
        <w:t xml:space="preserve"> </w:t>
      </w:r>
    </w:p>
    <w:p>
      <w:pPr>
        <w:tabs>
          <w:tab w:val="clear" w:pos="426"/>
        </w:tabs>
        <w:rPr>
          <w:b/>
          <w:szCs w:val="21"/>
          <w:highlight w:val="none"/>
        </w:rPr>
      </w:pPr>
    </w:p>
    <w:p>
      <w:pPr>
        <w:tabs>
          <w:tab w:val="clear" w:pos="426"/>
        </w:tabs>
        <w:jc w:val="center"/>
        <w:rPr>
          <w:b/>
          <w:szCs w:val="21"/>
          <w:highlight w:val="none"/>
        </w:rPr>
      </w:pPr>
      <w:r>
        <w:rPr>
          <w:rFonts w:hint="eastAsia"/>
          <w:b/>
          <w:szCs w:val="21"/>
          <w:highlight w:val="none"/>
        </w:rPr>
        <w:t>附：缴纳</w:t>
      </w:r>
      <w:r>
        <w:rPr>
          <w:b/>
          <w:szCs w:val="21"/>
          <w:highlight w:val="none"/>
        </w:rPr>
        <w:t>招标代理服务费</w:t>
      </w:r>
      <w:r>
        <w:rPr>
          <w:rFonts w:hint="eastAsia"/>
          <w:b/>
          <w:szCs w:val="21"/>
          <w:highlight w:val="none"/>
        </w:rPr>
        <w:t>账号</w:t>
      </w:r>
      <w:r>
        <w:rPr>
          <w:b/>
          <w:szCs w:val="21"/>
          <w:highlight w:val="none"/>
        </w:rPr>
        <w:t>：</w:t>
      </w:r>
    </w:p>
    <w:tbl>
      <w:tblPr>
        <w:tblStyle w:val="44"/>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5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szCs w:val="21"/>
                <w:highlight w:val="none"/>
              </w:rPr>
            </w:pPr>
            <w:r>
              <w:rPr>
                <w:b/>
                <w:szCs w:val="21"/>
                <w:highlight w:val="none"/>
              </w:rPr>
              <w:t>收款人名称</w:t>
            </w:r>
          </w:p>
        </w:tc>
        <w:tc>
          <w:tcPr>
            <w:tcW w:w="5579" w:type="dxa"/>
            <w:vAlign w:val="center"/>
          </w:tcPr>
          <w:p>
            <w:pPr>
              <w:tabs>
                <w:tab w:val="clear" w:pos="426"/>
              </w:tabs>
              <w:spacing w:line="240" w:lineRule="auto"/>
              <w:jc w:val="center"/>
              <w:rPr>
                <w:szCs w:val="21"/>
                <w:highlight w:val="none"/>
              </w:rPr>
            </w:pPr>
            <w:r>
              <w:rPr>
                <w:rFonts w:hint="eastAsia"/>
                <w:szCs w:val="21"/>
                <w:highlight w:val="none"/>
              </w:rPr>
              <w:t>深圳市深水水务咨询有限公司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szCs w:val="21"/>
                <w:highlight w:val="none"/>
              </w:rPr>
            </w:pPr>
            <w:r>
              <w:rPr>
                <w:b/>
                <w:szCs w:val="21"/>
                <w:highlight w:val="none"/>
              </w:rPr>
              <w:t>开户银行</w:t>
            </w:r>
          </w:p>
        </w:tc>
        <w:tc>
          <w:tcPr>
            <w:tcW w:w="5579" w:type="dxa"/>
            <w:vAlign w:val="center"/>
          </w:tcPr>
          <w:p>
            <w:pPr>
              <w:tabs>
                <w:tab w:val="clear" w:pos="426"/>
              </w:tabs>
              <w:spacing w:line="240" w:lineRule="auto"/>
              <w:jc w:val="center"/>
              <w:rPr>
                <w:b/>
                <w:szCs w:val="21"/>
                <w:highlight w:val="none"/>
              </w:rPr>
            </w:pPr>
            <w:r>
              <w:rPr>
                <w:rFonts w:hint="eastAsia"/>
                <w:highlight w:val="none"/>
              </w:rPr>
              <w:t>中国工商银行深圳红围支行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szCs w:val="21"/>
                <w:highlight w:val="none"/>
              </w:rPr>
            </w:pPr>
            <w:r>
              <w:rPr>
                <w:rFonts w:hint="eastAsia"/>
                <w:b/>
                <w:szCs w:val="21"/>
                <w:highlight w:val="none"/>
              </w:rPr>
              <w:t>账</w:t>
            </w:r>
            <w:r>
              <w:rPr>
                <w:b/>
                <w:szCs w:val="21"/>
                <w:highlight w:val="none"/>
              </w:rPr>
              <w:t xml:space="preserve">    号</w:t>
            </w:r>
          </w:p>
        </w:tc>
        <w:tc>
          <w:tcPr>
            <w:tcW w:w="5579" w:type="dxa"/>
            <w:vAlign w:val="center"/>
          </w:tcPr>
          <w:p>
            <w:pPr>
              <w:tabs>
                <w:tab w:val="clear" w:pos="426"/>
              </w:tabs>
              <w:spacing w:line="240" w:lineRule="auto"/>
              <w:jc w:val="center"/>
              <w:rPr>
                <w:b/>
                <w:szCs w:val="21"/>
                <w:highlight w:val="none"/>
              </w:rPr>
            </w:pPr>
            <w:r>
              <w:rPr>
                <w:highlight w:val="none"/>
              </w:rPr>
              <w:t>4000021219200366130</w:t>
            </w:r>
          </w:p>
        </w:tc>
      </w:tr>
    </w:tbl>
    <w:p>
      <w:pPr>
        <w:tabs>
          <w:tab w:val="clear" w:pos="426"/>
        </w:tabs>
        <w:rPr>
          <w:rFonts w:cs="Arial"/>
          <w:bCs/>
          <w:sz w:val="24"/>
          <w:highlight w:val="none"/>
        </w:rPr>
      </w:pPr>
    </w:p>
    <w:p>
      <w:pPr>
        <w:numPr>
          <w:ilvl w:val="0"/>
          <w:numId w:val="28"/>
        </w:numPr>
        <w:tabs>
          <w:tab w:val="clear" w:pos="426"/>
        </w:tabs>
        <w:adjustRightInd/>
        <w:snapToGrid/>
        <w:spacing w:before="280" w:after="290" w:line="377" w:lineRule="auto"/>
        <w:jc w:val="left"/>
        <w:outlineLvl w:val="2"/>
        <w:rPr>
          <w:b/>
          <w:sz w:val="24"/>
          <w:highlight w:val="none"/>
        </w:rPr>
      </w:pPr>
      <w:r>
        <w:rPr>
          <w:bCs/>
          <w:highlight w:val="none"/>
        </w:rPr>
        <w:br w:type="page"/>
      </w:r>
      <w:r>
        <w:rPr>
          <w:rFonts w:hint="eastAsia"/>
          <w:b/>
          <w:sz w:val="24"/>
          <w:highlight w:val="none"/>
        </w:rPr>
        <w:t>招标文件要求的其他内容及投标人认为需要加以说明的其他内容</w:t>
      </w:r>
    </w:p>
    <w:p>
      <w:pPr>
        <w:tabs>
          <w:tab w:val="clear" w:pos="426"/>
        </w:tabs>
        <w:ind w:firstLine="424" w:firstLineChars="202"/>
        <w:rPr>
          <w:rFonts w:cs="Arial"/>
          <w:bCs/>
          <w:szCs w:val="21"/>
          <w:highlight w:val="none"/>
        </w:rPr>
      </w:pPr>
      <w:r>
        <w:rPr>
          <w:rFonts w:hint="eastAsia"/>
          <w:highlight w:val="none"/>
        </w:rPr>
        <w:t>提供招标公告和评标信息中关于投标人的其他相关证明文件（如评标信息中涉及的各种证件（身份证除外）、设备发票等，未涉及的可以不提供）</w:t>
      </w:r>
    </w:p>
    <w:p>
      <w:pPr>
        <w:tabs>
          <w:tab w:val="clear" w:pos="426"/>
        </w:tabs>
        <w:rPr>
          <w:rFonts w:cs="Arial"/>
          <w:bCs/>
          <w:szCs w:val="21"/>
          <w:highlight w:val="none"/>
        </w:rPr>
      </w:pPr>
    </w:p>
    <w:p>
      <w:pPr>
        <w:tabs>
          <w:tab w:val="clear" w:pos="426"/>
        </w:tabs>
        <w:rPr>
          <w:rFonts w:cs="Arial"/>
          <w:bCs/>
          <w:szCs w:val="21"/>
          <w:highlight w:val="none"/>
        </w:rPr>
      </w:pPr>
    </w:p>
    <w:p>
      <w:pPr>
        <w:tabs>
          <w:tab w:val="clear" w:pos="426"/>
        </w:tabs>
        <w:rPr>
          <w:rFonts w:cs="Arial"/>
          <w:bCs/>
          <w:szCs w:val="21"/>
          <w:highlight w:val="none"/>
        </w:rPr>
      </w:pPr>
    </w:p>
    <w:p>
      <w:pPr>
        <w:pStyle w:val="42"/>
        <w:tabs>
          <w:tab w:val="clear" w:pos="426"/>
        </w:tabs>
        <w:rPr>
          <w:highlight w:val="none"/>
        </w:rPr>
      </w:pPr>
      <w:bookmarkStart w:id="68" w:name="_Toc398220528"/>
      <w:r>
        <w:rPr>
          <w:highlight w:val="none"/>
        </w:rPr>
        <w:br w:type="page"/>
      </w:r>
      <w:bookmarkStart w:id="69" w:name="_Toc21002"/>
      <w:r>
        <w:rPr>
          <w:rFonts w:hint="eastAsia"/>
          <w:highlight w:val="none"/>
        </w:rPr>
        <w:t>第二册  通用条款</w:t>
      </w:r>
      <w:bookmarkEnd w:id="68"/>
      <w:bookmarkEnd w:id="69"/>
    </w:p>
    <w:p>
      <w:pPr>
        <w:jc w:val="center"/>
        <w:rPr>
          <w:b/>
          <w:highlight w:val="none"/>
        </w:rPr>
      </w:pPr>
      <w:bookmarkStart w:id="70" w:name="_Toc398220529"/>
      <w:bookmarkStart w:id="71" w:name="_Toc432592821"/>
      <w:r>
        <w:rPr>
          <w:rFonts w:hint="eastAsia"/>
          <w:b/>
          <w:highlight w:val="none"/>
        </w:rPr>
        <w:t>（投标人须知）</w:t>
      </w:r>
    </w:p>
    <w:p>
      <w:pPr>
        <w:pStyle w:val="4"/>
        <w:rPr>
          <w:highlight w:val="none"/>
        </w:rPr>
      </w:pPr>
      <w:bookmarkStart w:id="72" w:name="_Toc9887"/>
      <w:r>
        <w:rPr>
          <w:rFonts w:hint="eastAsia"/>
          <w:highlight w:val="none"/>
        </w:rPr>
        <w:t>第一章 总则</w:t>
      </w:r>
      <w:bookmarkEnd w:id="70"/>
      <w:bookmarkEnd w:id="71"/>
      <w:bookmarkEnd w:id="72"/>
    </w:p>
    <w:p>
      <w:pPr>
        <w:tabs>
          <w:tab w:val="clear" w:pos="426"/>
        </w:tabs>
        <w:rPr>
          <w:highlight w:val="none"/>
        </w:rPr>
      </w:pPr>
      <w:r>
        <w:rPr>
          <w:rFonts w:hint="eastAsia"/>
          <w:highlight w:val="none"/>
        </w:rPr>
        <w:t>1.通用条款说明</w:t>
      </w:r>
    </w:p>
    <w:p>
      <w:pPr>
        <w:tabs>
          <w:tab w:val="clear" w:pos="426"/>
        </w:tabs>
        <w:rPr>
          <w:highlight w:val="none"/>
        </w:rPr>
      </w:pPr>
      <w:r>
        <w:rPr>
          <w:rFonts w:hint="eastAsia"/>
          <w:highlight w:val="none"/>
        </w:rPr>
        <w:t>1.1采购代理机构发出招标文件通用条款版本，列出深圳市政府采购项目进行招标采购所适用的通用条款内容。如有需要，采购代理机构可以对这些条款增加附录或补充内容。</w:t>
      </w:r>
    </w:p>
    <w:p>
      <w:pPr>
        <w:tabs>
          <w:tab w:val="clear" w:pos="426"/>
        </w:tabs>
        <w:rPr>
          <w:highlight w:val="none"/>
        </w:rPr>
      </w:pPr>
      <w:bookmarkStart w:id="73" w:name="_Toc60631622"/>
      <w:bookmarkStart w:id="74" w:name="_Toc73521549"/>
      <w:bookmarkStart w:id="75" w:name="_Toc73518119"/>
      <w:bookmarkStart w:id="76" w:name="_Toc73517641"/>
      <w:bookmarkStart w:id="77" w:name="_Toc100052366"/>
      <w:bookmarkStart w:id="78" w:name="_Toc73521637"/>
      <w:bookmarkStart w:id="79" w:name="_Toc60560627"/>
      <w:bookmarkStart w:id="80" w:name="_Toc73518121"/>
      <w:bookmarkStart w:id="81" w:name="_Toc73521551"/>
      <w:bookmarkStart w:id="82" w:name="_Toc60631624"/>
      <w:bookmarkStart w:id="83" w:name="_Toc60560629"/>
      <w:bookmarkStart w:id="84" w:name="_Toc100052368"/>
      <w:bookmarkStart w:id="85" w:name="_Toc73517643"/>
      <w:bookmarkStart w:id="86" w:name="_Toc73521639"/>
      <w:r>
        <w:rPr>
          <w:rFonts w:hint="eastAsia"/>
          <w:highlight w:val="none"/>
        </w:rPr>
        <w:t>2</w:t>
      </w:r>
      <w:r>
        <w:rPr>
          <w:highlight w:val="none"/>
        </w:rPr>
        <w:t>．</w:t>
      </w:r>
      <w:r>
        <w:rPr>
          <w:rFonts w:hint="eastAsia"/>
          <w:highlight w:val="none"/>
        </w:rPr>
        <w:t>招标说明</w:t>
      </w:r>
      <w:bookmarkEnd w:id="73"/>
      <w:bookmarkEnd w:id="74"/>
      <w:bookmarkEnd w:id="75"/>
      <w:bookmarkEnd w:id="76"/>
      <w:bookmarkEnd w:id="77"/>
      <w:bookmarkEnd w:id="78"/>
      <w:bookmarkEnd w:id="79"/>
    </w:p>
    <w:p>
      <w:pPr>
        <w:tabs>
          <w:tab w:val="clear" w:pos="426"/>
        </w:tabs>
        <w:rPr>
          <w:color w:val="000000"/>
          <w:szCs w:val="21"/>
          <w:highlight w:val="none"/>
        </w:rPr>
      </w:pPr>
      <w:r>
        <w:rPr>
          <w:rFonts w:hint="eastAsia"/>
          <w:highlight w:val="none"/>
        </w:rPr>
        <w:t>本项目按照《深圳经济特区政府采购条例》《深圳网上政府采购管理暂行办法》《深圳市政府采购评标定标分离管理暂行办法》的规定，并参考有关法规、政策、规章、规定通过招标择优选定供应商。</w:t>
      </w:r>
      <w:r>
        <w:rPr>
          <w:rFonts w:hint="eastAsia"/>
          <w:color w:val="000000"/>
          <w:szCs w:val="21"/>
          <w:highlight w:val="none"/>
        </w:rPr>
        <w:t>本招标文件适用于</w:t>
      </w:r>
      <w:r>
        <w:rPr>
          <w:rFonts w:hint="eastAsia"/>
          <w:szCs w:val="21"/>
          <w:highlight w:val="none"/>
        </w:rPr>
        <w:t>采购公告中所述项目的</w:t>
      </w:r>
      <w:r>
        <w:rPr>
          <w:rFonts w:hint="eastAsia"/>
          <w:color w:val="000000"/>
          <w:szCs w:val="21"/>
          <w:highlight w:val="none"/>
        </w:rPr>
        <w:t>政府采购。</w:t>
      </w:r>
    </w:p>
    <w:p>
      <w:pPr>
        <w:tabs>
          <w:tab w:val="clear" w:pos="426"/>
        </w:tabs>
        <w:rPr>
          <w:color w:val="000000"/>
          <w:szCs w:val="21"/>
          <w:highlight w:val="none"/>
        </w:rPr>
      </w:pPr>
      <w:r>
        <w:rPr>
          <w:rFonts w:hint="eastAsia"/>
          <w:color w:val="000000"/>
          <w:szCs w:val="21"/>
          <w:highlight w:val="none"/>
        </w:rPr>
        <w:t>本招标文件的解释权归属深圳市深水水务咨询有限公司。</w:t>
      </w:r>
    </w:p>
    <w:p>
      <w:pPr>
        <w:tabs>
          <w:tab w:val="clear" w:pos="426"/>
        </w:tabs>
        <w:rPr>
          <w:highlight w:val="none"/>
        </w:rPr>
      </w:pPr>
      <w:bookmarkStart w:id="87" w:name="_Toc73521638"/>
      <w:bookmarkStart w:id="88" w:name="_Toc73518120"/>
      <w:bookmarkStart w:id="89" w:name="_Toc73521550"/>
      <w:bookmarkStart w:id="90" w:name="_Toc73517642"/>
      <w:bookmarkStart w:id="91" w:name="_Toc60631623"/>
      <w:bookmarkStart w:id="92" w:name="_Toc100052367"/>
      <w:bookmarkStart w:id="93" w:name="_Toc60560628"/>
      <w:r>
        <w:rPr>
          <w:rFonts w:hint="eastAsia"/>
          <w:highlight w:val="none"/>
        </w:rPr>
        <w:t>3．定义</w:t>
      </w:r>
      <w:bookmarkEnd w:id="87"/>
      <w:bookmarkEnd w:id="88"/>
      <w:bookmarkEnd w:id="89"/>
      <w:bookmarkEnd w:id="90"/>
      <w:bookmarkEnd w:id="91"/>
      <w:bookmarkEnd w:id="92"/>
      <w:bookmarkEnd w:id="93"/>
    </w:p>
    <w:p>
      <w:pPr>
        <w:tabs>
          <w:tab w:val="clear" w:pos="426"/>
        </w:tabs>
        <w:rPr>
          <w:highlight w:val="none"/>
        </w:rPr>
      </w:pPr>
      <w:r>
        <w:rPr>
          <w:highlight w:val="none"/>
        </w:rPr>
        <w:t>招标文件中下列术语应解释为：</w:t>
      </w:r>
    </w:p>
    <w:p>
      <w:pPr>
        <w:tabs>
          <w:tab w:val="clear" w:pos="426"/>
        </w:tabs>
        <w:rPr>
          <w:highlight w:val="none"/>
        </w:rPr>
      </w:pPr>
      <w:r>
        <w:rPr>
          <w:rFonts w:hint="eastAsia"/>
          <w:szCs w:val="21"/>
          <w:highlight w:val="none"/>
        </w:rPr>
        <w:t>3.</w:t>
      </w:r>
      <w:r>
        <w:rPr>
          <w:szCs w:val="21"/>
          <w:highlight w:val="none"/>
        </w:rPr>
        <w:t>1</w:t>
      </w:r>
      <w:r>
        <w:rPr>
          <w:rFonts w:hint="eastAsia"/>
          <w:szCs w:val="21"/>
          <w:highlight w:val="none"/>
        </w:rPr>
        <w:t>“采购代理机构”</w:t>
      </w:r>
      <w:r>
        <w:rPr>
          <w:rFonts w:hint="eastAsia"/>
          <w:highlight w:val="none"/>
        </w:rPr>
        <w:t>系指政府设立的负责本级财政性资金的集中采购和招标组织工作的专门机构；本项目</w:t>
      </w:r>
      <w:r>
        <w:rPr>
          <w:highlight w:val="none"/>
        </w:rPr>
        <w:t>系指</w:t>
      </w:r>
      <w:r>
        <w:rPr>
          <w:rFonts w:hint="eastAsia"/>
          <w:highlight w:val="none"/>
        </w:rPr>
        <w:t>深圳市深水水务咨询有限公司；</w:t>
      </w:r>
    </w:p>
    <w:p>
      <w:pPr>
        <w:tabs>
          <w:tab w:val="clear" w:pos="426"/>
        </w:tabs>
        <w:rPr>
          <w:highlight w:val="none"/>
        </w:rPr>
      </w:pPr>
      <w:r>
        <w:rPr>
          <w:rFonts w:hint="eastAsia"/>
          <w:highlight w:val="none"/>
        </w:rPr>
        <w:t xml:space="preserve">3.2“采购人”或“采购单位”：系指利用财政性资金依法进行政府采购的国家机关、事业单位、团体组织； </w:t>
      </w:r>
    </w:p>
    <w:p>
      <w:pPr>
        <w:tabs>
          <w:tab w:val="clear" w:pos="426"/>
        </w:tabs>
        <w:rPr>
          <w:highlight w:val="none"/>
        </w:rPr>
      </w:pPr>
      <w:r>
        <w:rPr>
          <w:rFonts w:hint="eastAsia"/>
          <w:highlight w:val="none"/>
        </w:rPr>
        <w:t>3.3“投标人”或“投标方”，即供应商，是指参加投标竞争并愿意按照招标文件要求向采购人提供货物、工程或者服务的依法成立的法人、其他组织或者自然人；</w:t>
      </w:r>
    </w:p>
    <w:p>
      <w:pPr>
        <w:tabs>
          <w:tab w:val="clear" w:pos="426"/>
        </w:tabs>
        <w:rPr>
          <w:highlight w:val="none"/>
        </w:rPr>
      </w:pPr>
      <w:r>
        <w:rPr>
          <w:rFonts w:hint="eastAsia"/>
          <w:highlight w:val="none"/>
        </w:rPr>
        <w:t>3.4“评标委员会”和“谈判小组”是依据《深圳经济特区政府采购条例》有关规定组建的专门负责本次招标其评标（谈判）工作的临时性机构；</w:t>
      </w:r>
    </w:p>
    <w:p>
      <w:pPr>
        <w:tabs>
          <w:tab w:val="clear" w:pos="426"/>
        </w:tabs>
        <w:rPr>
          <w:highlight w:val="none"/>
        </w:rPr>
      </w:pPr>
      <w:r>
        <w:rPr>
          <w:rFonts w:hint="eastAsia"/>
          <w:highlight w:val="none"/>
        </w:rPr>
        <w:t>3.5“日期”</w:t>
      </w:r>
      <w:r>
        <w:rPr>
          <w:highlight w:val="none"/>
        </w:rPr>
        <w:t>指</w:t>
      </w:r>
      <w:r>
        <w:rPr>
          <w:rFonts w:hint="eastAsia"/>
          <w:highlight w:val="none"/>
        </w:rPr>
        <w:t>公历日；</w:t>
      </w:r>
    </w:p>
    <w:p>
      <w:pPr>
        <w:tabs>
          <w:tab w:val="clear" w:pos="426"/>
        </w:tabs>
        <w:rPr>
          <w:highlight w:val="none"/>
        </w:rPr>
      </w:pPr>
      <w:r>
        <w:rPr>
          <w:rFonts w:hint="eastAsia"/>
          <w:highlight w:val="none"/>
        </w:rPr>
        <w:t>3.6“合同”指由本次招标所产生的合同或合约文件；</w:t>
      </w:r>
    </w:p>
    <w:p>
      <w:pPr>
        <w:tabs>
          <w:tab w:val="clear" w:pos="426"/>
        </w:tabs>
        <w:rPr>
          <w:highlight w:val="none"/>
        </w:rPr>
      </w:pPr>
      <w:r>
        <w:rPr>
          <w:rFonts w:hint="eastAsia"/>
          <w:highlight w:val="none"/>
        </w:rPr>
        <w:t>3.7招标文件中的标题或题名仅起引导作用，而不应视为对招标文件内容的理解和解释。</w:t>
      </w:r>
    </w:p>
    <w:p>
      <w:pPr>
        <w:tabs>
          <w:tab w:val="clear" w:pos="426"/>
        </w:tabs>
        <w:rPr>
          <w:highlight w:val="none"/>
        </w:rPr>
      </w:pPr>
      <w:r>
        <w:rPr>
          <w:rFonts w:hint="eastAsia"/>
          <w:highlight w:val="none"/>
        </w:rPr>
        <w:t>4. 政府采购供应商责任</w:t>
      </w:r>
    </w:p>
    <w:p>
      <w:pPr>
        <w:tabs>
          <w:tab w:val="clear" w:pos="426"/>
        </w:tabs>
        <w:rPr>
          <w:highlight w:val="none"/>
        </w:rPr>
      </w:pPr>
      <w:r>
        <w:rPr>
          <w:rFonts w:hint="eastAsia"/>
          <w:highlight w:val="none"/>
        </w:rPr>
        <w:t>4.1欢迎诚信、有实力和有社会责任心的供应商参与政府采购事业。</w:t>
      </w:r>
    </w:p>
    <w:p>
      <w:pPr>
        <w:tabs>
          <w:tab w:val="clear" w:pos="426"/>
        </w:tabs>
        <w:rPr>
          <w:highlight w:val="none"/>
        </w:rPr>
      </w:pPr>
      <w:r>
        <w:rPr>
          <w:rFonts w:hint="eastAsia"/>
          <w:highlight w:val="none"/>
        </w:rPr>
        <w:t>4.2供应商在政府采购项目投标过程中应诚实守信，不弄虚作假，不隐瞒真实情况，不围标串标，不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pPr>
        <w:tabs>
          <w:tab w:val="clear" w:pos="426"/>
        </w:tabs>
        <w:rPr>
          <w:highlight w:val="none"/>
        </w:rPr>
      </w:pPr>
      <w:r>
        <w:rPr>
          <w:rFonts w:hint="eastAsia"/>
          <w:highlight w:val="none"/>
        </w:rPr>
        <w:t>5．</w:t>
      </w:r>
      <w:bookmarkEnd w:id="80"/>
      <w:bookmarkEnd w:id="81"/>
      <w:bookmarkEnd w:id="82"/>
      <w:bookmarkEnd w:id="83"/>
      <w:bookmarkEnd w:id="84"/>
      <w:bookmarkEnd w:id="85"/>
      <w:bookmarkEnd w:id="86"/>
      <w:r>
        <w:rPr>
          <w:rFonts w:hint="eastAsia"/>
          <w:highlight w:val="none"/>
        </w:rPr>
        <w:t>合格的投标人</w:t>
      </w:r>
    </w:p>
    <w:p>
      <w:pPr>
        <w:widowControl w:val="0"/>
        <w:shd w:val="clear" w:color="auto" w:fill="auto"/>
        <w:tabs>
          <w:tab w:val="clear" w:pos="426"/>
        </w:tabs>
        <w:autoSpaceDE w:val="0"/>
        <w:autoSpaceDN w:val="0"/>
        <w:rPr>
          <w:szCs w:val="21"/>
          <w:highlight w:val="none"/>
        </w:rPr>
      </w:pPr>
      <w:bookmarkStart w:id="94" w:name="_Toc100052370"/>
      <w:bookmarkStart w:id="95" w:name="_Toc73518123"/>
      <w:bookmarkStart w:id="96" w:name="_Toc60631626"/>
      <w:bookmarkStart w:id="97" w:name="_Toc73521553"/>
      <w:bookmarkStart w:id="98" w:name="_Toc73517645"/>
      <w:bookmarkStart w:id="99" w:name="_Toc73521641"/>
      <w:bookmarkStart w:id="100" w:name="_Toc60560631"/>
      <w:r>
        <w:rPr>
          <w:rFonts w:hint="eastAsia"/>
          <w:szCs w:val="21"/>
          <w:highlight w:val="none"/>
        </w:rPr>
        <w:t>5.1 投标人是响应招标并且符合招标文件规定资格条件和参加投标竞争的法人、其他组织或者自然人。</w:t>
      </w:r>
    </w:p>
    <w:p>
      <w:pPr>
        <w:widowControl w:val="0"/>
        <w:shd w:val="clear" w:color="auto" w:fill="auto"/>
        <w:tabs>
          <w:tab w:val="clear" w:pos="426"/>
        </w:tabs>
        <w:autoSpaceDE w:val="0"/>
        <w:autoSpaceDN w:val="0"/>
        <w:rPr>
          <w:szCs w:val="21"/>
          <w:highlight w:val="none"/>
          <w:lang w:eastAsia="zh-TW"/>
        </w:rPr>
      </w:pPr>
      <w:r>
        <w:rPr>
          <w:rFonts w:hint="eastAsia"/>
          <w:szCs w:val="21"/>
          <w:highlight w:val="none"/>
        </w:rPr>
        <w:t xml:space="preserve">5.2 </w:t>
      </w:r>
      <w:r>
        <w:rPr>
          <w:rFonts w:hint="eastAsia"/>
          <w:szCs w:val="21"/>
          <w:highlight w:val="none"/>
          <w:lang w:eastAsia="zh-TW"/>
        </w:rPr>
        <w:t>合格的投标人</w:t>
      </w:r>
    </w:p>
    <w:p>
      <w:pPr>
        <w:widowControl w:val="0"/>
        <w:shd w:val="clear" w:color="auto" w:fill="auto"/>
        <w:tabs>
          <w:tab w:val="clear" w:pos="426"/>
        </w:tabs>
        <w:autoSpaceDE w:val="0"/>
        <w:autoSpaceDN w:val="0"/>
        <w:rPr>
          <w:szCs w:val="21"/>
          <w:highlight w:val="none"/>
        </w:rPr>
      </w:pPr>
      <w:r>
        <w:rPr>
          <w:rFonts w:hint="eastAsia"/>
          <w:szCs w:val="21"/>
          <w:highlight w:val="none"/>
        </w:rPr>
        <w:t xml:space="preserve">5.2.1 </w:t>
      </w:r>
      <w:r>
        <w:rPr>
          <w:szCs w:val="21"/>
          <w:highlight w:val="none"/>
        </w:rPr>
        <w:t>具有独立承担民事责任的能力。</w:t>
      </w:r>
    </w:p>
    <w:p>
      <w:pPr>
        <w:widowControl w:val="0"/>
        <w:shd w:val="clear" w:color="auto" w:fill="auto"/>
        <w:tabs>
          <w:tab w:val="clear" w:pos="426"/>
        </w:tabs>
        <w:autoSpaceDE w:val="0"/>
        <w:autoSpaceDN w:val="0"/>
        <w:rPr>
          <w:szCs w:val="21"/>
          <w:highlight w:val="none"/>
        </w:rPr>
      </w:pPr>
      <w:r>
        <w:rPr>
          <w:rFonts w:hint="eastAsia"/>
          <w:szCs w:val="21"/>
          <w:highlight w:val="none"/>
        </w:rPr>
        <w:t xml:space="preserve">5.2.2 </w:t>
      </w:r>
      <w:r>
        <w:rPr>
          <w:szCs w:val="21"/>
          <w:highlight w:val="none"/>
        </w:rPr>
        <w:t>具有良好的商业信誉和健全的财务会计制度</w:t>
      </w:r>
      <w:r>
        <w:rPr>
          <w:rFonts w:hint="eastAsia"/>
          <w:szCs w:val="21"/>
          <w:highlight w:val="none"/>
        </w:rPr>
        <w:t>。</w:t>
      </w:r>
    </w:p>
    <w:p>
      <w:pPr>
        <w:widowControl w:val="0"/>
        <w:shd w:val="clear" w:color="auto" w:fill="auto"/>
        <w:tabs>
          <w:tab w:val="clear" w:pos="426"/>
        </w:tabs>
        <w:autoSpaceDE w:val="0"/>
        <w:autoSpaceDN w:val="0"/>
        <w:rPr>
          <w:szCs w:val="21"/>
          <w:highlight w:val="none"/>
        </w:rPr>
      </w:pPr>
      <w:r>
        <w:rPr>
          <w:rFonts w:hint="eastAsia"/>
          <w:szCs w:val="21"/>
          <w:highlight w:val="none"/>
        </w:rPr>
        <w:t xml:space="preserve">5.2.3 </w:t>
      </w:r>
      <w:r>
        <w:rPr>
          <w:szCs w:val="21"/>
          <w:highlight w:val="none"/>
        </w:rPr>
        <w:t>具有履行合同所必需的设备和专业技术能力</w:t>
      </w:r>
      <w:r>
        <w:rPr>
          <w:rFonts w:hint="eastAsia"/>
          <w:szCs w:val="21"/>
          <w:highlight w:val="none"/>
        </w:rPr>
        <w:t>。</w:t>
      </w:r>
    </w:p>
    <w:p>
      <w:pPr>
        <w:widowControl w:val="0"/>
        <w:shd w:val="clear" w:color="auto" w:fill="auto"/>
        <w:tabs>
          <w:tab w:val="clear" w:pos="426"/>
        </w:tabs>
        <w:autoSpaceDE w:val="0"/>
        <w:autoSpaceDN w:val="0"/>
        <w:rPr>
          <w:szCs w:val="21"/>
          <w:highlight w:val="none"/>
        </w:rPr>
      </w:pPr>
      <w:r>
        <w:rPr>
          <w:rFonts w:hint="eastAsia"/>
          <w:szCs w:val="21"/>
          <w:highlight w:val="none"/>
        </w:rPr>
        <w:t xml:space="preserve">5.2.4 </w:t>
      </w:r>
      <w:r>
        <w:rPr>
          <w:szCs w:val="21"/>
          <w:highlight w:val="none"/>
        </w:rPr>
        <w:t>有依法缴纳税收和社会保障资金的良好记录</w:t>
      </w:r>
      <w:r>
        <w:rPr>
          <w:rFonts w:hint="eastAsia"/>
          <w:szCs w:val="21"/>
          <w:highlight w:val="none"/>
        </w:rPr>
        <w:t>。</w:t>
      </w:r>
    </w:p>
    <w:p>
      <w:pPr>
        <w:widowControl w:val="0"/>
        <w:shd w:val="clear" w:color="auto" w:fill="auto"/>
        <w:tabs>
          <w:tab w:val="clear" w:pos="426"/>
        </w:tabs>
        <w:autoSpaceDE w:val="0"/>
        <w:autoSpaceDN w:val="0"/>
        <w:rPr>
          <w:szCs w:val="21"/>
          <w:highlight w:val="none"/>
        </w:rPr>
      </w:pPr>
      <w:r>
        <w:rPr>
          <w:rFonts w:hint="eastAsia"/>
          <w:szCs w:val="21"/>
          <w:highlight w:val="none"/>
        </w:rPr>
        <w:t xml:space="preserve">5.2.5 </w:t>
      </w:r>
      <w:r>
        <w:rPr>
          <w:szCs w:val="21"/>
          <w:highlight w:val="none"/>
        </w:rPr>
        <w:t>参加政府采购活动前三年内，在经营活动中没有重大违法记录</w:t>
      </w:r>
      <w:r>
        <w:rPr>
          <w:rFonts w:hint="eastAsia"/>
          <w:szCs w:val="21"/>
          <w:highlight w:val="none"/>
        </w:rPr>
        <w:t>。</w:t>
      </w:r>
    </w:p>
    <w:p>
      <w:pPr>
        <w:widowControl w:val="0"/>
        <w:shd w:val="clear" w:color="auto" w:fill="auto"/>
        <w:tabs>
          <w:tab w:val="clear" w:pos="426"/>
        </w:tabs>
        <w:autoSpaceDE w:val="0"/>
        <w:autoSpaceDN w:val="0"/>
        <w:rPr>
          <w:szCs w:val="21"/>
          <w:highlight w:val="none"/>
        </w:rPr>
      </w:pPr>
      <w:r>
        <w:rPr>
          <w:rFonts w:hint="eastAsia"/>
          <w:szCs w:val="21"/>
          <w:highlight w:val="none"/>
        </w:rPr>
        <w:t xml:space="preserve">5.2.6 </w:t>
      </w:r>
      <w:r>
        <w:rPr>
          <w:szCs w:val="21"/>
          <w:highlight w:val="none"/>
        </w:rPr>
        <w:t>法律、行政法规规定的其他条件</w:t>
      </w:r>
      <w:r>
        <w:rPr>
          <w:rFonts w:hint="eastAsia"/>
          <w:szCs w:val="21"/>
          <w:highlight w:val="none"/>
        </w:rPr>
        <w:t>。</w:t>
      </w:r>
    </w:p>
    <w:p>
      <w:pPr>
        <w:widowControl w:val="0"/>
        <w:shd w:val="clear" w:color="auto" w:fill="auto"/>
        <w:tabs>
          <w:tab w:val="clear" w:pos="426"/>
        </w:tabs>
        <w:autoSpaceDE w:val="0"/>
        <w:autoSpaceDN w:val="0"/>
        <w:rPr>
          <w:szCs w:val="21"/>
          <w:highlight w:val="none"/>
        </w:rPr>
      </w:pPr>
      <w:r>
        <w:rPr>
          <w:rFonts w:hint="eastAsia"/>
          <w:szCs w:val="21"/>
          <w:highlight w:val="none"/>
        </w:rPr>
        <w:t>5.2.7 只有在法律上和财务上独立、合法运作并独立于采购人和政府采购代理机构的供货商才能参加投标。</w:t>
      </w:r>
    </w:p>
    <w:p>
      <w:pPr>
        <w:widowControl w:val="0"/>
        <w:shd w:val="clear" w:color="auto" w:fill="auto"/>
        <w:tabs>
          <w:tab w:val="clear" w:pos="426"/>
        </w:tabs>
        <w:autoSpaceDE w:val="0"/>
        <w:autoSpaceDN w:val="0"/>
        <w:rPr>
          <w:b/>
          <w:szCs w:val="21"/>
          <w:highlight w:val="none"/>
        </w:rPr>
      </w:pPr>
      <w:r>
        <w:rPr>
          <w:rFonts w:hint="eastAsia"/>
          <w:szCs w:val="21"/>
          <w:highlight w:val="none"/>
        </w:rPr>
        <w:t>5.2.8 法定代表人或单位负责人为同一人或者存在直接控股、管理关系的不同单位不得同时参与同一个项目（包组）的竞争。</w:t>
      </w:r>
    </w:p>
    <w:p>
      <w:pPr>
        <w:widowControl w:val="0"/>
        <w:shd w:val="clear" w:color="auto" w:fill="auto"/>
        <w:tabs>
          <w:tab w:val="clear" w:pos="426"/>
        </w:tabs>
        <w:autoSpaceDE w:val="0"/>
        <w:autoSpaceDN w:val="0"/>
        <w:rPr>
          <w:szCs w:val="21"/>
          <w:highlight w:val="none"/>
        </w:rPr>
      </w:pPr>
      <w:r>
        <w:rPr>
          <w:rFonts w:hint="eastAsia"/>
          <w:szCs w:val="21"/>
          <w:highlight w:val="none"/>
        </w:rPr>
        <w:t>5.2.9 符合</w:t>
      </w:r>
      <w:r>
        <w:rPr>
          <w:rFonts w:hint="eastAsia" w:cs="黑体"/>
          <w:szCs w:val="21"/>
          <w:highlight w:val="none"/>
        </w:rPr>
        <w:t>第一章采购公告“投标人资格要求”</w:t>
      </w:r>
      <w:r>
        <w:rPr>
          <w:rFonts w:hint="eastAsia"/>
          <w:szCs w:val="21"/>
          <w:highlight w:val="none"/>
        </w:rPr>
        <w:t>的条款</w:t>
      </w:r>
      <w:r>
        <w:rPr>
          <w:rFonts w:hint="eastAsia" w:cs="黑体"/>
          <w:szCs w:val="21"/>
          <w:highlight w:val="none"/>
        </w:rPr>
        <w:t>。</w:t>
      </w:r>
    </w:p>
    <w:p>
      <w:pPr>
        <w:widowControl w:val="0"/>
        <w:shd w:val="clear" w:color="auto" w:fill="auto"/>
        <w:tabs>
          <w:tab w:val="clear" w:pos="426"/>
        </w:tabs>
        <w:autoSpaceDE w:val="0"/>
        <w:autoSpaceDN w:val="0"/>
        <w:rPr>
          <w:szCs w:val="21"/>
          <w:highlight w:val="none"/>
        </w:rPr>
      </w:pPr>
      <w:r>
        <w:rPr>
          <w:rFonts w:hint="eastAsia"/>
          <w:szCs w:val="21"/>
          <w:highlight w:val="none"/>
        </w:rPr>
        <w:t>5.3 中标人是指经法定程序确定并授予合同的投标人。</w:t>
      </w:r>
    </w:p>
    <w:p>
      <w:pPr>
        <w:tabs>
          <w:tab w:val="clear" w:pos="426"/>
        </w:tabs>
        <w:rPr>
          <w:highlight w:val="none"/>
        </w:rPr>
      </w:pPr>
      <w:r>
        <w:rPr>
          <w:rFonts w:hint="eastAsia"/>
          <w:highlight w:val="none"/>
        </w:rPr>
        <w:t>6．联合体投标</w:t>
      </w:r>
    </w:p>
    <w:p>
      <w:pPr>
        <w:tabs>
          <w:tab w:val="clear" w:pos="426"/>
        </w:tabs>
        <w:rPr>
          <w:highlight w:val="none"/>
        </w:rPr>
      </w:pPr>
      <w:r>
        <w:rPr>
          <w:rFonts w:hint="eastAsia"/>
          <w:highlight w:val="none"/>
        </w:rPr>
        <w:t>6.1　以下有关联合体投标的条款仅适用于允许投标人组成联合体投标的项目。</w:t>
      </w:r>
    </w:p>
    <w:p>
      <w:pPr>
        <w:tabs>
          <w:tab w:val="clear" w:pos="426"/>
        </w:tabs>
        <w:rPr>
          <w:highlight w:val="none"/>
        </w:rPr>
      </w:pPr>
      <w:r>
        <w:rPr>
          <w:rFonts w:hint="eastAsia"/>
          <w:highlight w:val="none"/>
        </w:rPr>
        <w:t>6.2　由两个或两个以上的自然人、法人或者其他组织可以组成一个联合体，以一个供应商的身份共同投标时，应符合以下原则：</w:t>
      </w:r>
    </w:p>
    <w:p>
      <w:pPr>
        <w:tabs>
          <w:tab w:val="clear" w:pos="426"/>
        </w:tabs>
        <w:rPr>
          <w:color w:val="000000"/>
          <w:highlight w:val="none"/>
        </w:rPr>
      </w:pPr>
      <w:r>
        <w:rPr>
          <w:rFonts w:hint="eastAsia"/>
          <w:color w:val="000000"/>
          <w:highlight w:val="none"/>
        </w:rPr>
        <w:t>6.2.</w:t>
      </w:r>
      <w:r>
        <w:rPr>
          <w:rFonts w:hint="eastAsia"/>
          <w:bCs/>
          <w:color w:val="000000"/>
          <w:highlight w:val="none"/>
        </w:rPr>
        <w:t>1投标联合体应满足采购公告有关投标人资格要求中对联合体的要求；</w:t>
      </w:r>
    </w:p>
    <w:p>
      <w:pPr>
        <w:tabs>
          <w:tab w:val="clear" w:pos="426"/>
        </w:tabs>
        <w:rPr>
          <w:color w:val="000000"/>
          <w:highlight w:val="none"/>
        </w:rPr>
      </w:pPr>
      <w:r>
        <w:rPr>
          <w:rFonts w:hint="eastAsia"/>
          <w:color w:val="000000"/>
          <w:highlight w:val="none"/>
        </w:rPr>
        <w:t>6.2.2对于采购公告中所要求投标人应具有的某一资质，若联合体各方均具有，则将以联合体各方中最低的资质等级作为联合体在这一资质条件上的资质等级；联合体各方的不同资质可优势互补。</w:t>
      </w:r>
    </w:p>
    <w:p>
      <w:pPr>
        <w:tabs>
          <w:tab w:val="clear" w:pos="426"/>
        </w:tabs>
        <w:rPr>
          <w:color w:val="000000"/>
          <w:highlight w:val="none"/>
        </w:rPr>
      </w:pPr>
      <w:r>
        <w:rPr>
          <w:rFonts w:hint="eastAsia"/>
          <w:color w:val="000000"/>
          <w:highlight w:val="none"/>
        </w:rPr>
        <w:t>6.2.3投标人的投标文件及中标后签署的合同协议对联合体各方均具法律约束力；</w:t>
      </w:r>
    </w:p>
    <w:p>
      <w:pPr>
        <w:tabs>
          <w:tab w:val="clear" w:pos="426"/>
        </w:tabs>
        <w:rPr>
          <w:color w:val="000000"/>
          <w:highlight w:val="none"/>
        </w:rPr>
      </w:pPr>
      <w:r>
        <w:rPr>
          <w:rFonts w:hint="eastAsia"/>
          <w:color w:val="000000"/>
          <w:highlight w:val="none"/>
        </w:rPr>
        <w:t>6.2.4联合体各方应当签订共同投标协议，明确约定各方拟承担的工作和责任，并将该共同投标协议随投标文件一并递交给政府采购代理机构；</w:t>
      </w:r>
    </w:p>
    <w:p>
      <w:pPr>
        <w:tabs>
          <w:tab w:val="clear" w:pos="426"/>
        </w:tabs>
        <w:rPr>
          <w:color w:val="000000"/>
          <w:highlight w:val="none"/>
        </w:rPr>
      </w:pPr>
      <w:r>
        <w:rPr>
          <w:rFonts w:hint="eastAsia"/>
          <w:color w:val="000000"/>
          <w:highlight w:val="none"/>
        </w:rPr>
        <w:t>6.2.5联合体的各方应当共同推荐一联合体投标授权代表人，由联合体各方提交一份授权书，证明其有资格代表联合体各方签署投标文件，该授权书作为投标文件的组成部分一并提交给政府采购代理机构；</w:t>
      </w:r>
    </w:p>
    <w:p>
      <w:pPr>
        <w:tabs>
          <w:tab w:val="clear" w:pos="426"/>
        </w:tabs>
        <w:rPr>
          <w:color w:val="000000"/>
          <w:highlight w:val="none"/>
        </w:rPr>
      </w:pPr>
      <w:r>
        <w:rPr>
          <w:rFonts w:hint="eastAsia"/>
          <w:color w:val="000000"/>
          <w:highlight w:val="none"/>
        </w:rPr>
        <w:t>6.2.6参加联合体的各方不得再以自己的名义单独投标，不得同时参加两个或两个以上的联合体投标、不得以分包商或其它形式参与投标，出现上述情况者，其投标和与此有关联合体、总包单位的投标将被拒绝；</w:t>
      </w:r>
    </w:p>
    <w:p>
      <w:pPr>
        <w:tabs>
          <w:tab w:val="clear" w:pos="426"/>
        </w:tabs>
        <w:rPr>
          <w:color w:val="000000"/>
          <w:highlight w:val="none"/>
        </w:rPr>
      </w:pPr>
      <w:r>
        <w:rPr>
          <w:rFonts w:hint="eastAsia"/>
          <w:color w:val="000000"/>
          <w:highlight w:val="none"/>
        </w:rPr>
        <w:t>6.2.7除非另有规定或说明，本须知中“投标人”一词亦指联合体各方。</w:t>
      </w:r>
    </w:p>
    <w:p>
      <w:pPr>
        <w:tabs>
          <w:tab w:val="clear" w:pos="426"/>
        </w:tabs>
        <w:rPr>
          <w:highlight w:val="none"/>
        </w:rPr>
      </w:pPr>
      <w:r>
        <w:rPr>
          <w:rFonts w:hint="eastAsia"/>
          <w:highlight w:val="none"/>
        </w:rPr>
        <w:t>7. 合格的服务和货物</w:t>
      </w:r>
    </w:p>
    <w:p>
      <w:pPr>
        <w:widowControl w:val="0"/>
        <w:shd w:val="clear" w:color="auto" w:fill="auto"/>
        <w:tabs>
          <w:tab w:val="clear" w:pos="426"/>
        </w:tabs>
        <w:autoSpaceDE w:val="0"/>
        <w:autoSpaceDN w:val="0"/>
        <w:rPr>
          <w:szCs w:val="21"/>
          <w:highlight w:val="none"/>
        </w:rPr>
      </w:pPr>
      <w:r>
        <w:rPr>
          <w:rFonts w:hint="eastAsia"/>
          <w:szCs w:val="21"/>
          <w:highlight w:val="none"/>
        </w:rPr>
        <w:t>7.1 “服务” 是指投标人按招标文件规定完成的全部服务内容，其中包括完成服务所需的货物，及须承担的技术支持、培训和其它伴随服务。</w:t>
      </w:r>
    </w:p>
    <w:p>
      <w:pPr>
        <w:widowControl w:val="0"/>
        <w:shd w:val="clear" w:color="auto" w:fill="auto"/>
        <w:tabs>
          <w:tab w:val="clear" w:pos="426"/>
        </w:tabs>
        <w:autoSpaceDE w:val="0"/>
        <w:autoSpaceDN w:val="0"/>
        <w:rPr>
          <w:rFonts w:cs="黑体"/>
          <w:b/>
          <w:bCs/>
          <w:szCs w:val="21"/>
          <w:highlight w:val="none"/>
        </w:rPr>
      </w:pPr>
      <w:r>
        <w:rPr>
          <w:rFonts w:hint="eastAsia"/>
          <w:szCs w:val="21"/>
          <w:highlight w:val="none"/>
        </w:rPr>
        <w:t>7.2 “货物”是指投标人制造或组织符合招标文件要求的货物等。投标的货物必须是其合法生产、合法来源的符合国家有关标准要求的货物，并满足招标文件规定的规格、参数、质量、价格、有效期、售后服务等要求。</w:t>
      </w:r>
    </w:p>
    <w:p>
      <w:pPr>
        <w:widowControl w:val="0"/>
        <w:shd w:val="clear" w:color="auto" w:fill="auto"/>
        <w:tabs>
          <w:tab w:val="clear" w:pos="426"/>
        </w:tabs>
        <w:autoSpaceDE w:val="0"/>
        <w:autoSpaceDN w:val="0"/>
        <w:rPr>
          <w:szCs w:val="21"/>
          <w:highlight w:val="none"/>
        </w:rPr>
      </w:pPr>
      <w:r>
        <w:rPr>
          <w:rFonts w:hint="eastAsia"/>
          <w:szCs w:val="21"/>
          <w:highlight w:val="none"/>
        </w:rPr>
        <w:t>7.3 投标人提供的所有服务，其质量、技术等特征必须符合国家、行业现行法律、法规的相关标准和《中华人民共和国政府采购法》的有关规定及用户需求。</w:t>
      </w:r>
    </w:p>
    <w:p>
      <w:pPr>
        <w:widowControl w:val="0"/>
        <w:shd w:val="clear" w:color="auto" w:fill="auto"/>
        <w:tabs>
          <w:tab w:val="clear" w:pos="426"/>
        </w:tabs>
        <w:autoSpaceDE w:val="0"/>
        <w:autoSpaceDN w:val="0"/>
        <w:rPr>
          <w:szCs w:val="21"/>
          <w:highlight w:val="none"/>
        </w:rPr>
      </w:pPr>
      <w:r>
        <w:rPr>
          <w:rFonts w:hint="eastAsia"/>
          <w:szCs w:val="21"/>
          <w:highlight w:val="none"/>
        </w:rPr>
        <w:t>7.4 采购人有权拒绝接受任何不合格的服务，由此产生的费用及相关后果均由供应商自行承担。</w:t>
      </w:r>
    </w:p>
    <w:p>
      <w:pPr>
        <w:widowControl w:val="0"/>
        <w:shd w:val="clear" w:color="auto" w:fill="auto"/>
        <w:tabs>
          <w:tab w:val="clear" w:pos="426"/>
        </w:tabs>
        <w:autoSpaceDE w:val="0"/>
        <w:autoSpaceDN w:val="0"/>
        <w:rPr>
          <w:szCs w:val="21"/>
          <w:highlight w:val="none"/>
        </w:rPr>
      </w:pPr>
      <w:r>
        <w:rPr>
          <w:rFonts w:hint="eastAsia"/>
          <w:szCs w:val="21"/>
          <w:highlight w:val="none"/>
        </w:rPr>
        <w:t>7.5 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pPr>
        <w:tabs>
          <w:tab w:val="clear" w:pos="426"/>
        </w:tabs>
        <w:rPr>
          <w:highlight w:val="none"/>
        </w:rPr>
      </w:pPr>
      <w:r>
        <w:rPr>
          <w:rFonts w:hint="eastAsia"/>
          <w:highlight w:val="none"/>
        </w:rPr>
        <w:t>8．投标费用</w:t>
      </w:r>
      <w:bookmarkEnd w:id="94"/>
      <w:bookmarkEnd w:id="95"/>
      <w:bookmarkEnd w:id="96"/>
      <w:bookmarkEnd w:id="97"/>
      <w:bookmarkEnd w:id="98"/>
      <w:bookmarkEnd w:id="99"/>
      <w:bookmarkEnd w:id="100"/>
    </w:p>
    <w:p>
      <w:pPr>
        <w:tabs>
          <w:tab w:val="clear" w:pos="426"/>
        </w:tabs>
        <w:rPr>
          <w:highlight w:val="none"/>
        </w:rPr>
      </w:pPr>
      <w:r>
        <w:rPr>
          <w:rFonts w:hint="eastAsia"/>
          <w:highlight w:val="none"/>
        </w:rPr>
        <w:t>不论投标结果如何，投标人应承担其编制投标文件与递交投标文件所涉及的一切费用。</w:t>
      </w:r>
      <w:r>
        <w:rPr>
          <w:rFonts w:hint="eastAsia"/>
          <w:szCs w:val="21"/>
          <w:highlight w:val="none"/>
          <w:lang w:eastAsia="zh-TW"/>
        </w:rPr>
        <w:t>不论投标的结果如何</w:t>
      </w:r>
      <w:r>
        <w:rPr>
          <w:rFonts w:hint="eastAsia"/>
          <w:szCs w:val="21"/>
          <w:highlight w:val="none"/>
        </w:rPr>
        <w:t>，</w:t>
      </w:r>
      <w:r>
        <w:rPr>
          <w:rFonts w:hint="eastAsia"/>
          <w:szCs w:val="21"/>
          <w:highlight w:val="none"/>
          <w:lang w:eastAsia="zh-TW"/>
        </w:rPr>
        <w:t>招标采购单位均无义务和责任承担这些费用</w:t>
      </w:r>
      <w:r>
        <w:rPr>
          <w:rFonts w:hint="eastAsia"/>
          <w:szCs w:val="21"/>
          <w:highlight w:val="none"/>
        </w:rPr>
        <w:t>。</w:t>
      </w:r>
    </w:p>
    <w:p>
      <w:pPr>
        <w:tabs>
          <w:tab w:val="clear" w:pos="426"/>
        </w:tabs>
        <w:rPr>
          <w:highlight w:val="none"/>
        </w:rPr>
      </w:pPr>
      <w:bookmarkStart w:id="101" w:name="_Toc73521642"/>
      <w:bookmarkStart w:id="102" w:name="_Toc100052371"/>
      <w:bookmarkStart w:id="103" w:name="_Toc73518124"/>
      <w:bookmarkStart w:id="104" w:name="_Toc60631627"/>
      <w:bookmarkStart w:id="105" w:name="_Toc73517646"/>
      <w:bookmarkStart w:id="106" w:name="_Toc60560632"/>
      <w:bookmarkStart w:id="107" w:name="_Toc73521554"/>
      <w:r>
        <w:rPr>
          <w:rFonts w:hint="eastAsia"/>
          <w:highlight w:val="none"/>
        </w:rPr>
        <w:t>9．踏勘现场</w:t>
      </w:r>
      <w:bookmarkEnd w:id="101"/>
      <w:bookmarkEnd w:id="102"/>
      <w:bookmarkEnd w:id="103"/>
      <w:bookmarkEnd w:id="104"/>
      <w:bookmarkEnd w:id="105"/>
      <w:bookmarkEnd w:id="106"/>
      <w:bookmarkEnd w:id="107"/>
    </w:p>
    <w:p>
      <w:pPr>
        <w:tabs>
          <w:tab w:val="clear" w:pos="426"/>
        </w:tabs>
        <w:rPr>
          <w:highlight w:val="none"/>
        </w:rPr>
      </w:pPr>
      <w:bookmarkStart w:id="108" w:name="_Toc78260681"/>
      <w:bookmarkStart w:id="109" w:name="_Toc100052372"/>
      <w:r>
        <w:rPr>
          <w:rFonts w:hint="eastAsia"/>
          <w:highlight w:val="none"/>
        </w:rPr>
        <w:t>9.1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pPr>
        <w:tabs>
          <w:tab w:val="clear" w:pos="426"/>
        </w:tabs>
        <w:rPr>
          <w:highlight w:val="none"/>
        </w:rPr>
      </w:pPr>
      <w:r>
        <w:rPr>
          <w:rFonts w:hint="eastAsia"/>
          <w:highlight w:val="none"/>
        </w:rPr>
        <w:t>9.2投标人及其人员经过采购单位的允许，可以踏勘目的进入采购单位的项目现场。若本项目招标文件要求投标人于统一时间地点踏勘现场的，投标人按时前往。</w:t>
      </w:r>
    </w:p>
    <w:p>
      <w:pPr>
        <w:tabs>
          <w:tab w:val="clear" w:pos="426"/>
        </w:tabs>
        <w:rPr>
          <w:highlight w:val="none"/>
        </w:rPr>
      </w:pPr>
      <w:r>
        <w:rPr>
          <w:rFonts w:hint="eastAsia"/>
          <w:highlight w:val="none"/>
        </w:rPr>
        <w:t>9.3采购单位必须通过采购代理机构向投标人提供有关现场的资料和数据。</w:t>
      </w:r>
    </w:p>
    <w:p>
      <w:pPr>
        <w:tabs>
          <w:tab w:val="clear" w:pos="426"/>
        </w:tabs>
        <w:rPr>
          <w:highlight w:val="none"/>
        </w:rPr>
      </w:pPr>
      <w:r>
        <w:rPr>
          <w:rFonts w:hint="eastAsia"/>
          <w:highlight w:val="none"/>
        </w:rPr>
        <w:t>9.4任何人或任何组织在踏勘现场时向投标人提交的任何书面或口头上的资料，未经采购代理机构在网上发布或书面通知，均作无效处理。采购代理机构对投标人由此而做出的推论、理解和结论概不负责。</w:t>
      </w:r>
    </w:p>
    <w:p>
      <w:pPr>
        <w:tabs>
          <w:tab w:val="clear" w:pos="426"/>
        </w:tabs>
        <w:rPr>
          <w:highlight w:val="none"/>
        </w:rPr>
      </w:pPr>
      <w:r>
        <w:rPr>
          <w:rFonts w:hint="eastAsia"/>
          <w:highlight w:val="none"/>
        </w:rPr>
        <w:t>9.5 未参与现场踏勘不作为否定投标人资格的理由。</w:t>
      </w:r>
    </w:p>
    <w:p>
      <w:pPr>
        <w:tabs>
          <w:tab w:val="clear" w:pos="426"/>
        </w:tabs>
        <w:rPr>
          <w:highlight w:val="none"/>
        </w:rPr>
      </w:pPr>
      <w:r>
        <w:rPr>
          <w:rFonts w:hint="eastAsia"/>
          <w:highlight w:val="none"/>
        </w:rPr>
        <w:t>10．招标</w:t>
      </w:r>
      <w:bookmarkEnd w:id="108"/>
      <w:r>
        <w:rPr>
          <w:rFonts w:hint="eastAsia"/>
          <w:highlight w:val="none"/>
        </w:rPr>
        <w:t>答疑</w:t>
      </w:r>
      <w:bookmarkEnd w:id="109"/>
    </w:p>
    <w:p>
      <w:pPr>
        <w:tabs>
          <w:tab w:val="clear" w:pos="426"/>
        </w:tabs>
        <w:rPr>
          <w:highlight w:val="none"/>
        </w:rPr>
      </w:pPr>
      <w:r>
        <w:rPr>
          <w:rFonts w:hint="eastAsia"/>
          <w:highlight w:val="none"/>
        </w:rPr>
        <w:t>10.1招标答疑的目的是澄清、解答投标人在查阅招标文件后或现场踏勘中可能提出的与投标有关的疑问或询问。</w:t>
      </w:r>
    </w:p>
    <w:p>
      <w:pPr>
        <w:tabs>
          <w:tab w:val="clear" w:pos="426"/>
        </w:tabs>
        <w:rPr>
          <w:highlight w:val="none"/>
        </w:rPr>
      </w:pPr>
      <w:r>
        <w:rPr>
          <w:rFonts w:hint="eastAsia"/>
          <w:highlight w:val="none"/>
        </w:rPr>
        <w:t>10.2投标人提出的与投标有关的问题须在招标文件规定的答疑截止时间前以 “质疑函</w:t>
      </w:r>
      <w:r>
        <w:rPr>
          <w:highlight w:val="none"/>
        </w:rPr>
        <w:t>”</w:t>
      </w:r>
      <w:r>
        <w:rPr>
          <w:rFonts w:hint="eastAsia"/>
          <w:highlight w:val="none"/>
        </w:rPr>
        <w:t>的形式提交给采购代理机构，质疑函应该加盖质疑单位公章。</w:t>
      </w:r>
    </w:p>
    <w:p>
      <w:pPr>
        <w:tabs>
          <w:tab w:val="clear" w:pos="426"/>
        </w:tabs>
        <w:rPr>
          <w:highlight w:val="none"/>
        </w:rPr>
      </w:pPr>
      <w:r>
        <w:rPr>
          <w:rFonts w:hint="eastAsia"/>
          <w:highlight w:val="none"/>
        </w:rPr>
        <w:t>10.3采购代理机构对疑问所做出的澄清和解答，以书面答复（包括网站发布信息）为准。答疑纪要的有效性规定按照本通用条款第13</w:t>
      </w:r>
      <w:r>
        <w:rPr>
          <w:highlight w:val="none"/>
        </w:rPr>
        <w:t>.3</w:t>
      </w:r>
      <w:r>
        <w:rPr>
          <w:rFonts w:hint="eastAsia"/>
          <w:highlight w:val="none"/>
        </w:rPr>
        <w:t>、13</w:t>
      </w:r>
      <w:r>
        <w:rPr>
          <w:highlight w:val="none"/>
        </w:rPr>
        <w:t>.4</w:t>
      </w:r>
      <w:r>
        <w:rPr>
          <w:rFonts w:hint="eastAsia"/>
          <w:highlight w:val="none"/>
        </w:rPr>
        <w:t>款规定执行。</w:t>
      </w:r>
    </w:p>
    <w:p>
      <w:pPr>
        <w:tabs>
          <w:tab w:val="clear" w:pos="426"/>
        </w:tabs>
        <w:rPr>
          <w:highlight w:val="none"/>
        </w:rPr>
      </w:pPr>
      <w:r>
        <w:rPr>
          <w:rFonts w:hint="eastAsia"/>
          <w:highlight w:val="none"/>
        </w:rPr>
        <w:t>10.4如采购代理机构认为有必要组织现场答疑会，投标人应按照招标文件规定的时间或采购代理机构另行书面通知（包括网站发布的通知）的时间和地点，参与现场答疑会。</w:t>
      </w:r>
    </w:p>
    <w:p>
      <w:pPr>
        <w:tabs>
          <w:tab w:val="clear" w:pos="426"/>
        </w:tabs>
        <w:rPr>
          <w:highlight w:val="none"/>
        </w:rPr>
      </w:pPr>
      <w:r>
        <w:rPr>
          <w:rFonts w:hint="eastAsia"/>
          <w:highlight w:val="none"/>
        </w:rPr>
        <w:t>10.5未参与招标答疑不作为否定投标人资格的理由。</w:t>
      </w:r>
    </w:p>
    <w:p>
      <w:pPr>
        <w:pStyle w:val="4"/>
        <w:tabs>
          <w:tab w:val="clear" w:pos="426"/>
        </w:tabs>
        <w:rPr>
          <w:highlight w:val="none"/>
        </w:rPr>
      </w:pPr>
      <w:bookmarkStart w:id="110" w:name="bt招标文件"/>
      <w:bookmarkEnd w:id="110"/>
      <w:bookmarkStart w:id="111" w:name="_Toc73518126"/>
      <w:bookmarkStart w:id="112" w:name="_Toc73521644"/>
      <w:bookmarkStart w:id="113" w:name="_Toc14241"/>
      <w:bookmarkStart w:id="114" w:name="_Toc73517648"/>
      <w:bookmarkStart w:id="115" w:name="_Toc100052373"/>
      <w:bookmarkStart w:id="116" w:name="_Toc101074878"/>
      <w:bookmarkStart w:id="117" w:name="_Toc73521556"/>
      <w:bookmarkStart w:id="118" w:name="_Toc432592822"/>
      <w:bookmarkStart w:id="119" w:name="_Toc398220530"/>
      <w:r>
        <w:rPr>
          <w:rFonts w:hint="eastAsia"/>
          <w:highlight w:val="none"/>
        </w:rPr>
        <w:t>第二章 招标文件</w:t>
      </w:r>
      <w:bookmarkEnd w:id="111"/>
      <w:bookmarkEnd w:id="112"/>
      <w:bookmarkEnd w:id="113"/>
      <w:bookmarkEnd w:id="114"/>
      <w:bookmarkEnd w:id="115"/>
      <w:bookmarkEnd w:id="116"/>
      <w:bookmarkEnd w:id="117"/>
      <w:bookmarkEnd w:id="118"/>
      <w:bookmarkEnd w:id="119"/>
    </w:p>
    <w:p>
      <w:pPr>
        <w:tabs>
          <w:tab w:val="clear" w:pos="426"/>
        </w:tabs>
        <w:rPr>
          <w:highlight w:val="none"/>
        </w:rPr>
      </w:pPr>
      <w:bookmarkStart w:id="120" w:name="_Toc73518127"/>
      <w:bookmarkStart w:id="121" w:name="_Toc73517649"/>
      <w:bookmarkStart w:id="122" w:name="_Toc73521557"/>
      <w:bookmarkStart w:id="123" w:name="_Toc100052374"/>
      <w:bookmarkStart w:id="124" w:name="_Toc73521645"/>
      <w:r>
        <w:rPr>
          <w:rFonts w:hint="eastAsia"/>
          <w:highlight w:val="none"/>
        </w:rPr>
        <w:t>11．招标文件的编制与组成</w:t>
      </w:r>
      <w:bookmarkEnd w:id="120"/>
      <w:bookmarkEnd w:id="121"/>
      <w:bookmarkEnd w:id="122"/>
      <w:bookmarkEnd w:id="123"/>
      <w:bookmarkEnd w:id="124"/>
    </w:p>
    <w:p>
      <w:pPr>
        <w:tabs>
          <w:tab w:val="clear" w:pos="426"/>
        </w:tabs>
        <w:rPr>
          <w:highlight w:val="none"/>
        </w:rPr>
      </w:pPr>
      <w:r>
        <w:rPr>
          <w:rFonts w:hint="eastAsia"/>
          <w:highlight w:val="none"/>
        </w:rPr>
        <w:t>11.1招标文件除以下内容外，采购代理机构在招标（或谈判）期间发出的答疑纪要和其他补充修改函件，均是招标文件的组成部分，对投标人起约束作用；</w:t>
      </w:r>
    </w:p>
    <w:p>
      <w:pPr>
        <w:tabs>
          <w:tab w:val="clear" w:pos="426"/>
        </w:tabs>
        <w:rPr>
          <w:highlight w:val="none"/>
        </w:rPr>
      </w:pPr>
      <w:r>
        <w:rPr>
          <w:rFonts w:hint="eastAsia"/>
          <w:highlight w:val="none"/>
        </w:rPr>
        <w:t>招标文件包括下列内容：</w:t>
      </w:r>
    </w:p>
    <w:p>
      <w:pPr>
        <w:tabs>
          <w:tab w:val="clear" w:pos="426"/>
        </w:tabs>
        <w:rPr>
          <w:highlight w:val="none"/>
        </w:rPr>
      </w:pPr>
      <w:r>
        <w:rPr>
          <w:rFonts w:hint="eastAsia"/>
          <w:highlight w:val="none"/>
        </w:rPr>
        <w:t>项目关键信息</w:t>
      </w:r>
    </w:p>
    <w:p>
      <w:pPr>
        <w:tabs>
          <w:tab w:val="clear" w:pos="426"/>
        </w:tabs>
        <w:rPr>
          <w:highlight w:val="none"/>
        </w:rPr>
      </w:pPr>
      <w:r>
        <w:rPr>
          <w:rFonts w:hint="eastAsia"/>
          <w:highlight w:val="none"/>
        </w:rPr>
        <w:t>评标信息</w:t>
      </w:r>
    </w:p>
    <w:p>
      <w:pPr>
        <w:tabs>
          <w:tab w:val="clear" w:pos="426"/>
        </w:tabs>
        <w:rPr>
          <w:highlight w:val="none"/>
        </w:rPr>
      </w:pPr>
      <w:r>
        <w:rPr>
          <w:rFonts w:hint="eastAsia"/>
          <w:highlight w:val="none"/>
        </w:rPr>
        <w:t>第一册  专用条款</w:t>
      </w:r>
    </w:p>
    <w:p>
      <w:pPr>
        <w:tabs>
          <w:tab w:val="clear" w:pos="426"/>
        </w:tabs>
        <w:rPr>
          <w:highlight w:val="none"/>
        </w:rPr>
      </w:pPr>
      <w:r>
        <w:rPr>
          <w:rFonts w:hint="eastAsia"/>
          <w:highlight w:val="none"/>
        </w:rPr>
        <w:t>第一章  采购公告</w:t>
      </w:r>
    </w:p>
    <w:p>
      <w:pPr>
        <w:tabs>
          <w:tab w:val="clear" w:pos="426"/>
        </w:tabs>
        <w:rPr>
          <w:rFonts w:hint="eastAsia" w:eastAsia="宋体"/>
          <w:highlight w:val="none"/>
          <w:lang w:eastAsia="zh-CN"/>
        </w:rPr>
      </w:pPr>
      <w:r>
        <w:rPr>
          <w:rFonts w:hint="eastAsia"/>
          <w:highlight w:val="none"/>
        </w:rPr>
        <w:t xml:space="preserve">第二章  </w:t>
      </w:r>
      <w:r>
        <w:rPr>
          <w:rFonts w:hint="eastAsia"/>
          <w:highlight w:val="none"/>
          <w:lang w:eastAsia="zh-CN"/>
        </w:rPr>
        <w:t>投标须知前附表</w:t>
      </w:r>
    </w:p>
    <w:p>
      <w:pPr>
        <w:tabs>
          <w:tab w:val="clear" w:pos="426"/>
        </w:tabs>
        <w:rPr>
          <w:rFonts w:hint="eastAsia" w:eastAsia="宋体"/>
          <w:highlight w:val="none"/>
          <w:lang w:eastAsia="zh-CN"/>
        </w:rPr>
      </w:pPr>
      <w:r>
        <w:rPr>
          <w:rFonts w:hint="eastAsia"/>
          <w:highlight w:val="none"/>
        </w:rPr>
        <w:t xml:space="preserve">第三章  </w:t>
      </w:r>
      <w:r>
        <w:rPr>
          <w:rFonts w:hint="eastAsia"/>
          <w:highlight w:val="none"/>
          <w:lang w:eastAsia="zh-CN"/>
        </w:rPr>
        <w:t>项目需求</w:t>
      </w:r>
    </w:p>
    <w:p>
      <w:pPr>
        <w:tabs>
          <w:tab w:val="clear" w:pos="426"/>
        </w:tabs>
        <w:rPr>
          <w:highlight w:val="none"/>
        </w:rPr>
      </w:pPr>
      <w:r>
        <w:rPr>
          <w:rFonts w:hint="eastAsia"/>
          <w:highlight w:val="none"/>
        </w:rPr>
        <w:t>第四章  投标文件格式、附件</w:t>
      </w:r>
    </w:p>
    <w:p>
      <w:pPr>
        <w:tabs>
          <w:tab w:val="clear" w:pos="426"/>
        </w:tabs>
        <w:rPr>
          <w:highlight w:val="none"/>
        </w:rPr>
      </w:pPr>
      <w:r>
        <w:rPr>
          <w:rFonts w:hint="eastAsia"/>
          <w:highlight w:val="none"/>
        </w:rPr>
        <w:t>第二册  通用条款</w:t>
      </w:r>
    </w:p>
    <w:p>
      <w:pPr>
        <w:tabs>
          <w:tab w:val="clear" w:pos="426"/>
        </w:tabs>
        <w:rPr>
          <w:highlight w:val="none"/>
        </w:rPr>
      </w:pPr>
      <w:r>
        <w:rPr>
          <w:rFonts w:hint="eastAsia"/>
          <w:highlight w:val="none"/>
        </w:rPr>
        <w:t>第一章  总则</w:t>
      </w:r>
    </w:p>
    <w:p>
      <w:pPr>
        <w:tabs>
          <w:tab w:val="clear" w:pos="426"/>
        </w:tabs>
        <w:rPr>
          <w:highlight w:val="none"/>
        </w:rPr>
      </w:pPr>
      <w:r>
        <w:rPr>
          <w:rFonts w:hint="eastAsia"/>
          <w:highlight w:val="none"/>
        </w:rPr>
        <w:t>第二章  招标文件</w:t>
      </w:r>
    </w:p>
    <w:p>
      <w:pPr>
        <w:tabs>
          <w:tab w:val="clear" w:pos="426"/>
        </w:tabs>
        <w:rPr>
          <w:highlight w:val="none"/>
        </w:rPr>
      </w:pPr>
      <w:r>
        <w:rPr>
          <w:rFonts w:hint="eastAsia"/>
          <w:highlight w:val="none"/>
        </w:rPr>
        <w:t>第三章  投标文件的编制与递交</w:t>
      </w:r>
    </w:p>
    <w:p>
      <w:pPr>
        <w:tabs>
          <w:tab w:val="clear" w:pos="426"/>
        </w:tabs>
        <w:rPr>
          <w:highlight w:val="none"/>
        </w:rPr>
      </w:pPr>
      <w:r>
        <w:rPr>
          <w:rFonts w:hint="eastAsia"/>
          <w:highlight w:val="none"/>
        </w:rPr>
        <w:t>第四章  开标</w:t>
      </w:r>
    </w:p>
    <w:p>
      <w:pPr>
        <w:tabs>
          <w:tab w:val="clear" w:pos="426"/>
        </w:tabs>
        <w:rPr>
          <w:highlight w:val="none"/>
        </w:rPr>
      </w:pPr>
      <w:r>
        <w:rPr>
          <w:rFonts w:hint="eastAsia"/>
          <w:highlight w:val="none"/>
        </w:rPr>
        <w:t>第五章  评标要求</w:t>
      </w:r>
    </w:p>
    <w:p>
      <w:pPr>
        <w:tabs>
          <w:tab w:val="clear" w:pos="426"/>
        </w:tabs>
        <w:rPr>
          <w:highlight w:val="none"/>
        </w:rPr>
      </w:pPr>
      <w:r>
        <w:rPr>
          <w:rFonts w:hint="eastAsia"/>
          <w:highlight w:val="none"/>
        </w:rPr>
        <w:t>第六章  评标程序及评标方法</w:t>
      </w:r>
    </w:p>
    <w:p>
      <w:pPr>
        <w:tabs>
          <w:tab w:val="clear" w:pos="426"/>
        </w:tabs>
        <w:rPr>
          <w:highlight w:val="none"/>
        </w:rPr>
      </w:pPr>
      <w:r>
        <w:rPr>
          <w:rFonts w:hint="eastAsia"/>
          <w:highlight w:val="none"/>
        </w:rPr>
        <w:t>第七章  定标及公示</w:t>
      </w:r>
    </w:p>
    <w:p>
      <w:pPr>
        <w:tabs>
          <w:tab w:val="clear" w:pos="426"/>
        </w:tabs>
        <w:rPr>
          <w:highlight w:val="none"/>
        </w:rPr>
      </w:pPr>
      <w:r>
        <w:rPr>
          <w:rFonts w:hint="eastAsia"/>
          <w:highlight w:val="none"/>
        </w:rPr>
        <w:t>第八章  公开招标失败的后续处理</w:t>
      </w:r>
    </w:p>
    <w:p>
      <w:pPr>
        <w:tabs>
          <w:tab w:val="clear" w:pos="426"/>
        </w:tabs>
        <w:rPr>
          <w:highlight w:val="none"/>
        </w:rPr>
      </w:pPr>
      <w:r>
        <w:rPr>
          <w:rFonts w:hint="eastAsia"/>
          <w:highlight w:val="none"/>
        </w:rPr>
        <w:t>第九章  合同的授予与备案</w:t>
      </w:r>
    </w:p>
    <w:p>
      <w:pPr>
        <w:tabs>
          <w:tab w:val="clear" w:pos="426"/>
        </w:tabs>
        <w:rPr>
          <w:highlight w:val="none"/>
        </w:rPr>
      </w:pPr>
      <w:r>
        <w:rPr>
          <w:rFonts w:hint="eastAsia"/>
          <w:highlight w:val="none"/>
        </w:rPr>
        <w:t>第十章  质疑处理</w:t>
      </w:r>
    </w:p>
    <w:p>
      <w:pPr>
        <w:tabs>
          <w:tab w:val="clear" w:pos="426"/>
        </w:tabs>
        <w:rPr>
          <w:highlight w:val="none"/>
        </w:rPr>
      </w:pPr>
      <w:bookmarkStart w:id="125" w:name="_Toc73521558"/>
      <w:bookmarkStart w:id="126" w:name="_Toc73518128"/>
      <w:bookmarkStart w:id="127" w:name="_Toc100052375"/>
      <w:bookmarkStart w:id="128" w:name="_Toc60631631"/>
      <w:bookmarkStart w:id="129" w:name="_Toc60560636"/>
      <w:bookmarkStart w:id="130" w:name="_Toc73521646"/>
      <w:bookmarkStart w:id="131" w:name="_Toc73517650"/>
      <w:bookmarkStart w:id="132" w:name="_Toc73521647"/>
      <w:bookmarkStart w:id="133" w:name="_Toc60560637"/>
      <w:bookmarkStart w:id="134" w:name="_Toc60631632"/>
      <w:bookmarkStart w:id="135" w:name="_Toc73521559"/>
      <w:bookmarkStart w:id="136" w:name="_Toc100052376"/>
      <w:bookmarkStart w:id="137" w:name="_Toc73517651"/>
      <w:bookmarkStart w:id="138" w:name="_Toc73518129"/>
      <w:r>
        <w:rPr>
          <w:rFonts w:hint="eastAsia"/>
          <w:highlight w:val="none"/>
        </w:rPr>
        <w:t>11.2 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pPr>
        <w:tabs>
          <w:tab w:val="clear" w:pos="426"/>
        </w:tabs>
        <w:rPr>
          <w:szCs w:val="21"/>
          <w:highlight w:val="none"/>
        </w:rPr>
      </w:pPr>
      <w:r>
        <w:rPr>
          <w:rFonts w:hint="eastAsia"/>
          <w:szCs w:val="21"/>
          <w:highlight w:val="none"/>
        </w:rPr>
        <w:t>11.3</w:t>
      </w:r>
      <w:r>
        <w:rPr>
          <w:rFonts w:hint="eastAsia"/>
          <w:highlight w:val="none"/>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tabs>
          <w:tab w:val="clear" w:pos="426"/>
        </w:tabs>
        <w:rPr>
          <w:highlight w:val="none"/>
        </w:rPr>
      </w:pPr>
      <w:r>
        <w:rPr>
          <w:rFonts w:hint="eastAsia"/>
          <w:highlight w:val="none"/>
        </w:rPr>
        <w:t>12．招标文件的澄清</w:t>
      </w:r>
      <w:bookmarkEnd w:id="125"/>
      <w:bookmarkEnd w:id="126"/>
      <w:bookmarkEnd w:id="127"/>
      <w:bookmarkEnd w:id="128"/>
      <w:bookmarkEnd w:id="129"/>
      <w:bookmarkEnd w:id="130"/>
      <w:bookmarkEnd w:id="131"/>
    </w:p>
    <w:p>
      <w:pPr>
        <w:tabs>
          <w:tab w:val="clear" w:pos="426"/>
        </w:tabs>
        <w:rPr>
          <w:highlight w:val="none"/>
        </w:rPr>
      </w:pPr>
      <w:r>
        <w:rPr>
          <w:rFonts w:hint="eastAsia"/>
          <w:highlight w:val="none"/>
        </w:rPr>
        <w:t>12.1投标人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人的要求对招标文件做出澄清，采购代理机构都将在投标截止日期前以书面形式（包括深圳市政府采购中心网站公开发布方式）答复或发送给所有投标人。澄清纪要作为招标文件的组成部分，对投标人起约束作用；</w:t>
      </w:r>
    </w:p>
    <w:p>
      <w:pPr>
        <w:tabs>
          <w:tab w:val="clear" w:pos="426"/>
        </w:tabs>
        <w:rPr>
          <w:highlight w:val="none"/>
        </w:rPr>
      </w:pPr>
      <w:r>
        <w:rPr>
          <w:rFonts w:hint="eastAsia"/>
          <w:highlight w:val="none"/>
        </w:rPr>
        <w:t>12.2对于没有提出澄清又参与了该项目投标的供应商将被视为完全认同该招标文件（含澄清纪要），投标截止期后不再受理针对招标文件的相关质疑或投诉。</w:t>
      </w:r>
    </w:p>
    <w:p>
      <w:pPr>
        <w:tabs>
          <w:tab w:val="clear" w:pos="426"/>
        </w:tabs>
        <w:rPr>
          <w:highlight w:val="none"/>
        </w:rPr>
      </w:pPr>
      <w:r>
        <w:rPr>
          <w:rFonts w:hint="eastAsia"/>
          <w:highlight w:val="none"/>
        </w:rPr>
        <w:t>12.3 对招标文件中描述有歧意或前后不一致的地方，评标委员会有权进行评判，但对同一条款的评判应适用于每个投标人。</w:t>
      </w:r>
    </w:p>
    <w:p>
      <w:pPr>
        <w:tabs>
          <w:tab w:val="clear" w:pos="426"/>
        </w:tabs>
        <w:rPr>
          <w:highlight w:val="none"/>
        </w:rPr>
      </w:pPr>
      <w:r>
        <w:rPr>
          <w:highlight w:val="none"/>
        </w:rPr>
        <w:t>1</w:t>
      </w:r>
      <w:r>
        <w:rPr>
          <w:rFonts w:hint="eastAsia"/>
          <w:highlight w:val="none"/>
        </w:rPr>
        <w:t>3．招标文件的修改</w:t>
      </w:r>
      <w:bookmarkEnd w:id="132"/>
      <w:bookmarkEnd w:id="133"/>
      <w:bookmarkEnd w:id="134"/>
      <w:bookmarkEnd w:id="135"/>
      <w:bookmarkEnd w:id="136"/>
      <w:bookmarkEnd w:id="137"/>
      <w:bookmarkEnd w:id="138"/>
    </w:p>
    <w:p>
      <w:pPr>
        <w:tabs>
          <w:tab w:val="clear" w:pos="426"/>
        </w:tabs>
        <w:rPr>
          <w:highlight w:val="none"/>
        </w:rPr>
      </w:pPr>
      <w:bookmarkStart w:id="139" w:name="bt投标文件"/>
      <w:bookmarkEnd w:id="139"/>
      <w:bookmarkStart w:id="140" w:name="_Toc73521648"/>
      <w:bookmarkStart w:id="141" w:name="_Toc73521560"/>
      <w:bookmarkStart w:id="142" w:name="_Toc101074879"/>
      <w:bookmarkStart w:id="143" w:name="_Toc73518130"/>
      <w:bookmarkStart w:id="144" w:name="_Toc73517652"/>
      <w:bookmarkStart w:id="145" w:name="_Toc100052377"/>
      <w:r>
        <w:rPr>
          <w:highlight w:val="none"/>
        </w:rPr>
        <w:t>1</w:t>
      </w:r>
      <w:r>
        <w:rPr>
          <w:rFonts w:hint="eastAsia"/>
          <w:highlight w:val="none"/>
        </w:rPr>
        <w:t>3.1招标文件发出后，在投标截止日期前任何时候，确需要变更招标内容的，采购代理机构可主动地或在解答投标人提出的澄清问题时对招标文件进行修改；</w:t>
      </w:r>
    </w:p>
    <w:p>
      <w:pPr>
        <w:tabs>
          <w:tab w:val="clear" w:pos="426"/>
        </w:tabs>
        <w:rPr>
          <w:highlight w:val="none"/>
        </w:rPr>
      </w:pPr>
      <w:r>
        <w:rPr>
          <w:highlight w:val="none"/>
        </w:rPr>
        <w:t>1</w:t>
      </w:r>
      <w:r>
        <w:rPr>
          <w:rFonts w:hint="eastAsia"/>
          <w:highlight w:val="none"/>
        </w:rPr>
        <w:t>3.2招标文件的修改以书面形式（包括网站公开发布方式）发送给所有投标人，招标文件的修改内容作为招标文件的组成部分，并具有约束力。</w:t>
      </w:r>
    </w:p>
    <w:p>
      <w:pPr>
        <w:tabs>
          <w:tab w:val="clear" w:pos="426"/>
        </w:tabs>
        <w:rPr>
          <w:highlight w:val="none"/>
        </w:rPr>
      </w:pPr>
      <w:r>
        <w:rPr>
          <w:highlight w:val="none"/>
        </w:rPr>
        <w:t>1</w:t>
      </w:r>
      <w:r>
        <w:rPr>
          <w:rFonts w:hint="eastAsia"/>
          <w:highlight w:val="none"/>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pPr>
        <w:tabs>
          <w:tab w:val="clear" w:pos="426"/>
        </w:tabs>
        <w:rPr>
          <w:highlight w:val="none"/>
        </w:rPr>
      </w:pPr>
      <w:r>
        <w:rPr>
          <w:highlight w:val="none"/>
        </w:rPr>
        <w:t>1</w:t>
      </w:r>
      <w:r>
        <w:rPr>
          <w:rFonts w:hint="eastAsia"/>
          <w:highlight w:val="none"/>
        </w:rPr>
        <w:t>3.4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pPr>
        <w:pStyle w:val="4"/>
        <w:tabs>
          <w:tab w:val="clear" w:pos="426"/>
        </w:tabs>
        <w:rPr>
          <w:highlight w:val="none"/>
        </w:rPr>
      </w:pPr>
      <w:bookmarkStart w:id="146" w:name="_Toc432592823"/>
      <w:bookmarkStart w:id="147" w:name="_Toc398220531"/>
      <w:bookmarkStart w:id="148" w:name="_Toc30665"/>
      <w:r>
        <w:rPr>
          <w:rFonts w:hint="eastAsia"/>
          <w:highlight w:val="none"/>
        </w:rPr>
        <w:t>第三章 投标文件</w:t>
      </w:r>
      <w:bookmarkEnd w:id="140"/>
      <w:bookmarkEnd w:id="141"/>
      <w:bookmarkEnd w:id="142"/>
      <w:bookmarkEnd w:id="143"/>
      <w:bookmarkEnd w:id="144"/>
      <w:bookmarkEnd w:id="145"/>
      <w:r>
        <w:rPr>
          <w:rFonts w:hint="eastAsia"/>
          <w:highlight w:val="none"/>
        </w:rPr>
        <w:t>的编制与递交</w:t>
      </w:r>
      <w:bookmarkEnd w:id="146"/>
      <w:bookmarkEnd w:id="147"/>
      <w:bookmarkEnd w:id="148"/>
    </w:p>
    <w:p>
      <w:pPr>
        <w:tabs>
          <w:tab w:val="clear" w:pos="426"/>
        </w:tabs>
        <w:rPr>
          <w:highlight w:val="none"/>
        </w:rPr>
      </w:pPr>
      <w:bookmarkStart w:id="149" w:name="_Toc73521649"/>
      <w:bookmarkStart w:id="150" w:name="_Toc73517653"/>
      <w:bookmarkStart w:id="151" w:name="_Toc73518131"/>
      <w:bookmarkStart w:id="152" w:name="_Toc60631634"/>
      <w:bookmarkStart w:id="153" w:name="_Toc73521561"/>
      <w:bookmarkStart w:id="154" w:name="_Toc60560639"/>
      <w:bookmarkStart w:id="155" w:name="_Toc100052378"/>
      <w:r>
        <w:rPr>
          <w:rFonts w:hint="eastAsia"/>
          <w:highlight w:val="none"/>
        </w:rPr>
        <w:t>14．投标文件的语言及度量单位</w:t>
      </w:r>
      <w:bookmarkEnd w:id="149"/>
      <w:bookmarkEnd w:id="150"/>
      <w:bookmarkEnd w:id="151"/>
      <w:bookmarkEnd w:id="152"/>
      <w:bookmarkEnd w:id="153"/>
      <w:bookmarkEnd w:id="154"/>
      <w:bookmarkEnd w:id="155"/>
    </w:p>
    <w:p>
      <w:pPr>
        <w:tabs>
          <w:tab w:val="clear" w:pos="426"/>
        </w:tabs>
        <w:rPr>
          <w:highlight w:val="none"/>
        </w:rPr>
      </w:pPr>
      <w:r>
        <w:rPr>
          <w:rFonts w:hint="eastAsia"/>
          <w:highlight w:val="none"/>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tabs>
          <w:tab w:val="clear" w:pos="426"/>
        </w:tabs>
        <w:rPr>
          <w:highlight w:val="none"/>
        </w:rPr>
      </w:pPr>
      <w:r>
        <w:rPr>
          <w:rFonts w:hint="eastAsia"/>
          <w:highlight w:val="none"/>
        </w:rPr>
        <w:t>14.2 除技术规范另有规定外，投标文件使用的度量单位，均采用中华人民共和国法定计量单位。</w:t>
      </w:r>
    </w:p>
    <w:p>
      <w:pPr>
        <w:tabs>
          <w:tab w:val="clear" w:pos="426"/>
        </w:tabs>
        <w:rPr>
          <w:highlight w:val="none"/>
        </w:rPr>
      </w:pPr>
      <w:bookmarkStart w:id="156" w:name="_Toc73518132"/>
      <w:bookmarkStart w:id="157" w:name="_Toc73521562"/>
      <w:bookmarkStart w:id="158" w:name="_Toc60560640"/>
      <w:bookmarkStart w:id="159" w:name="_Toc73521650"/>
      <w:bookmarkStart w:id="160" w:name="_Toc100052379"/>
      <w:bookmarkStart w:id="161" w:name="_Toc60631635"/>
      <w:bookmarkStart w:id="162" w:name="_Toc73517654"/>
      <w:r>
        <w:rPr>
          <w:rFonts w:hint="eastAsia"/>
          <w:highlight w:val="none"/>
        </w:rPr>
        <w:t>15．投标文件的组成</w:t>
      </w:r>
      <w:bookmarkEnd w:id="156"/>
      <w:bookmarkEnd w:id="157"/>
      <w:bookmarkEnd w:id="158"/>
      <w:bookmarkEnd w:id="159"/>
      <w:bookmarkEnd w:id="160"/>
      <w:bookmarkEnd w:id="161"/>
      <w:bookmarkEnd w:id="162"/>
    </w:p>
    <w:p>
      <w:pPr>
        <w:tabs>
          <w:tab w:val="clear" w:pos="426"/>
        </w:tabs>
        <w:rPr>
          <w:highlight w:val="none"/>
        </w:rPr>
      </w:pPr>
      <w:r>
        <w:rPr>
          <w:rFonts w:hint="eastAsia"/>
          <w:highlight w:val="none"/>
        </w:rPr>
        <w:t>具体内容请详见本项目专用条款的相关内容。</w:t>
      </w:r>
      <w:bookmarkStart w:id="163" w:name="投标文件的组成"/>
      <w:bookmarkStart w:id="164" w:name="_Toc73521651"/>
      <w:bookmarkStart w:id="165" w:name="_Toc73517655"/>
      <w:bookmarkStart w:id="166" w:name="_Toc60631636"/>
      <w:bookmarkStart w:id="167" w:name="_Toc73521563"/>
      <w:bookmarkStart w:id="168" w:name="_Toc60560641"/>
      <w:bookmarkStart w:id="169" w:name="_Toc73518133"/>
    </w:p>
    <w:p>
      <w:pPr>
        <w:tabs>
          <w:tab w:val="clear" w:pos="426"/>
        </w:tabs>
        <w:rPr>
          <w:highlight w:val="none"/>
        </w:rPr>
      </w:pPr>
      <w:r>
        <w:rPr>
          <w:rFonts w:hint="eastAsia"/>
          <w:highlight w:val="none"/>
        </w:rPr>
        <w:t>16. 投标文件格式</w:t>
      </w:r>
    </w:p>
    <w:p>
      <w:pPr>
        <w:tabs>
          <w:tab w:val="clear" w:pos="426"/>
        </w:tabs>
        <w:rPr>
          <w:highlight w:val="none"/>
        </w:rPr>
      </w:pPr>
      <w:r>
        <w:rPr>
          <w:rFonts w:hint="eastAsia"/>
          <w:highlight w:val="none"/>
        </w:rPr>
        <w:t>16</w:t>
      </w:r>
      <w:r>
        <w:rPr>
          <w:highlight w:val="none"/>
        </w:rPr>
        <w:t>.1</w:t>
      </w:r>
      <w:r>
        <w:rPr>
          <w:rFonts w:hint="eastAsia"/>
          <w:highlight w:val="none"/>
        </w:rPr>
        <w:t>投标文件包括本通用条款第15条中规定的内容。如招标文件提供了投标文件格式，则投标人提交的投标文件必须毫无例外地使用招标文件所提供的相应格式并统一使用A4篇幅（表格可以按同样格式扩展）。</w:t>
      </w:r>
    </w:p>
    <w:bookmarkEnd w:id="163"/>
    <w:bookmarkEnd w:id="164"/>
    <w:bookmarkEnd w:id="165"/>
    <w:bookmarkEnd w:id="166"/>
    <w:bookmarkEnd w:id="167"/>
    <w:bookmarkEnd w:id="168"/>
    <w:bookmarkEnd w:id="169"/>
    <w:p>
      <w:pPr>
        <w:tabs>
          <w:tab w:val="clear" w:pos="426"/>
        </w:tabs>
        <w:rPr>
          <w:highlight w:val="none"/>
        </w:rPr>
      </w:pPr>
      <w:bookmarkStart w:id="170" w:name="_Toc73517657"/>
      <w:bookmarkStart w:id="171" w:name="_Toc73521565"/>
      <w:bookmarkStart w:id="172" w:name="_Toc100052382"/>
      <w:bookmarkStart w:id="173" w:name="_Toc73521653"/>
      <w:bookmarkStart w:id="174" w:name="_Toc60631638"/>
      <w:bookmarkStart w:id="175" w:name="_Toc60560643"/>
      <w:bookmarkStart w:id="176" w:name="_Toc73518135"/>
      <w:r>
        <w:rPr>
          <w:rFonts w:hint="eastAsia"/>
          <w:highlight w:val="none"/>
        </w:rPr>
        <w:t>17．投标货币</w:t>
      </w:r>
      <w:bookmarkEnd w:id="170"/>
      <w:bookmarkEnd w:id="171"/>
      <w:bookmarkEnd w:id="172"/>
      <w:bookmarkEnd w:id="173"/>
      <w:bookmarkEnd w:id="174"/>
      <w:bookmarkEnd w:id="175"/>
      <w:bookmarkEnd w:id="176"/>
    </w:p>
    <w:p>
      <w:pPr>
        <w:tabs>
          <w:tab w:val="clear" w:pos="426"/>
        </w:tabs>
        <w:rPr>
          <w:highlight w:val="none"/>
        </w:rPr>
      </w:pPr>
      <w:r>
        <w:rPr>
          <w:rFonts w:hint="eastAsia"/>
          <w:highlight w:val="none"/>
        </w:rPr>
        <w:t>本项目的投标应以人民币计。</w:t>
      </w:r>
    </w:p>
    <w:p>
      <w:pPr>
        <w:widowControl w:val="0"/>
        <w:shd w:val="clear" w:color="auto" w:fill="auto"/>
        <w:tabs>
          <w:tab w:val="clear" w:pos="426"/>
        </w:tabs>
        <w:autoSpaceDE w:val="0"/>
        <w:autoSpaceDN w:val="0"/>
        <w:rPr>
          <w:highlight w:val="none"/>
        </w:rPr>
      </w:pPr>
      <w:r>
        <w:rPr>
          <w:rFonts w:hint="eastAsia"/>
          <w:highlight w:val="none"/>
        </w:rPr>
        <w:t>18. 证明投标人合格和资格的文件</w:t>
      </w:r>
    </w:p>
    <w:p>
      <w:pPr>
        <w:widowControl w:val="0"/>
        <w:shd w:val="clear" w:color="auto" w:fill="auto"/>
        <w:tabs>
          <w:tab w:val="clear" w:pos="426"/>
        </w:tabs>
        <w:autoSpaceDE w:val="0"/>
        <w:autoSpaceDN w:val="0"/>
        <w:rPr>
          <w:rFonts w:cs="黑体"/>
          <w:b/>
          <w:bCs/>
          <w:szCs w:val="21"/>
          <w:highlight w:val="none"/>
        </w:rPr>
      </w:pPr>
      <w:r>
        <w:rPr>
          <w:rFonts w:hint="eastAsia"/>
          <w:szCs w:val="21"/>
          <w:highlight w:val="none"/>
        </w:rPr>
        <w:t xml:space="preserve">18.1 </w:t>
      </w:r>
      <w:r>
        <w:rPr>
          <w:rFonts w:hint="eastAsia"/>
          <w:szCs w:val="21"/>
          <w:highlight w:val="none"/>
          <w:lang w:eastAsia="zh-TW"/>
        </w:rPr>
        <w:t>投标人应提交证明其有资格参加投标和中标后有能力履行合同的文件</w:t>
      </w:r>
      <w:r>
        <w:rPr>
          <w:rFonts w:hint="eastAsia"/>
          <w:szCs w:val="21"/>
          <w:highlight w:val="none"/>
        </w:rPr>
        <w:t>，</w:t>
      </w:r>
      <w:r>
        <w:rPr>
          <w:rFonts w:hint="eastAsia"/>
          <w:szCs w:val="21"/>
          <w:highlight w:val="none"/>
          <w:lang w:eastAsia="zh-TW"/>
        </w:rPr>
        <w:t>并作为其投标文件的一部分。如果投标人为联合体</w:t>
      </w:r>
      <w:r>
        <w:rPr>
          <w:rFonts w:hint="eastAsia"/>
          <w:szCs w:val="21"/>
          <w:highlight w:val="none"/>
        </w:rPr>
        <w:t>，</w:t>
      </w:r>
      <w:r>
        <w:rPr>
          <w:rFonts w:hint="eastAsia"/>
          <w:szCs w:val="21"/>
          <w:highlight w:val="none"/>
          <w:lang w:eastAsia="zh-TW"/>
        </w:rPr>
        <w:t>应提交联合体各方的资格证明文件、</w:t>
      </w:r>
      <w:r>
        <w:rPr>
          <w:rFonts w:hint="eastAsia"/>
          <w:szCs w:val="21"/>
          <w:highlight w:val="none"/>
        </w:rPr>
        <w:t>共同投标协议</w:t>
      </w:r>
      <w:r>
        <w:rPr>
          <w:rFonts w:hint="eastAsia"/>
          <w:szCs w:val="21"/>
          <w:highlight w:val="none"/>
          <w:lang w:eastAsia="zh-TW"/>
        </w:rPr>
        <w:t>并注明</w:t>
      </w:r>
      <w:r>
        <w:rPr>
          <w:rFonts w:hint="eastAsia"/>
          <w:szCs w:val="21"/>
          <w:highlight w:val="none"/>
        </w:rPr>
        <w:t>主体方及各方拟承担的工作和责任。</w:t>
      </w:r>
      <w:r>
        <w:rPr>
          <w:rFonts w:hint="eastAsia"/>
          <w:szCs w:val="21"/>
          <w:highlight w:val="none"/>
          <w:lang w:eastAsia="zh-TW"/>
        </w:rPr>
        <w:t>否则</w:t>
      </w:r>
      <w:r>
        <w:rPr>
          <w:rFonts w:hint="eastAsia"/>
          <w:szCs w:val="21"/>
          <w:highlight w:val="none"/>
        </w:rPr>
        <w:t>，</w:t>
      </w:r>
      <w:r>
        <w:rPr>
          <w:rFonts w:hint="eastAsia"/>
          <w:szCs w:val="21"/>
          <w:highlight w:val="none"/>
          <w:lang w:eastAsia="zh-TW"/>
        </w:rPr>
        <w:t>将导致其投标</w:t>
      </w:r>
      <w:r>
        <w:rPr>
          <w:rFonts w:hint="eastAsia"/>
          <w:szCs w:val="21"/>
          <w:highlight w:val="none"/>
        </w:rPr>
        <w:t>无效。</w:t>
      </w:r>
    </w:p>
    <w:p>
      <w:pPr>
        <w:widowControl w:val="0"/>
        <w:shd w:val="clear" w:color="auto" w:fill="auto"/>
        <w:tabs>
          <w:tab w:val="clear" w:pos="426"/>
        </w:tabs>
        <w:autoSpaceDE w:val="0"/>
        <w:autoSpaceDN w:val="0"/>
        <w:rPr>
          <w:szCs w:val="21"/>
          <w:highlight w:val="none"/>
          <w:lang w:eastAsia="zh-TW"/>
        </w:rPr>
      </w:pPr>
      <w:r>
        <w:rPr>
          <w:rFonts w:hint="eastAsia"/>
          <w:szCs w:val="21"/>
          <w:highlight w:val="none"/>
        </w:rPr>
        <w:t xml:space="preserve">18.2 </w:t>
      </w:r>
      <w:r>
        <w:rPr>
          <w:rFonts w:hint="eastAsia"/>
          <w:szCs w:val="21"/>
          <w:highlight w:val="none"/>
          <w:lang w:eastAsia="zh-TW"/>
        </w:rPr>
        <w:t>投标人提交的资格证明文件应证明其</w:t>
      </w:r>
      <w:r>
        <w:rPr>
          <w:rFonts w:hint="eastAsia"/>
          <w:szCs w:val="21"/>
          <w:highlight w:val="none"/>
        </w:rPr>
        <w:t>满足</w:t>
      </w:r>
      <w:r>
        <w:rPr>
          <w:rFonts w:hint="eastAsia"/>
          <w:szCs w:val="21"/>
          <w:highlight w:val="none"/>
          <w:lang w:eastAsia="zh-TW"/>
        </w:rPr>
        <w:t>本须知定义的合格投标人。</w:t>
      </w:r>
    </w:p>
    <w:p>
      <w:pPr>
        <w:tabs>
          <w:tab w:val="clear" w:pos="426"/>
        </w:tabs>
        <w:rPr>
          <w:highlight w:val="none"/>
        </w:rPr>
      </w:pPr>
      <w:r>
        <w:rPr>
          <w:rFonts w:hint="eastAsia"/>
          <w:highlight w:val="none"/>
        </w:rPr>
        <w:t>19．证明投标文件投标技术方案的合格性和符合招标文件规定的文件要求</w:t>
      </w:r>
    </w:p>
    <w:p>
      <w:pPr>
        <w:tabs>
          <w:tab w:val="clear" w:pos="426"/>
        </w:tabs>
        <w:rPr>
          <w:highlight w:val="none"/>
        </w:rPr>
      </w:pPr>
      <w:r>
        <w:rPr>
          <w:rFonts w:hint="eastAsia"/>
          <w:highlight w:val="none"/>
        </w:rPr>
        <w:t>19</w:t>
      </w:r>
      <w:r>
        <w:rPr>
          <w:highlight w:val="none"/>
        </w:rPr>
        <w:t xml:space="preserve">.1 </w:t>
      </w:r>
      <w:r>
        <w:rPr>
          <w:rFonts w:hint="eastAsia"/>
          <w:highlight w:val="none"/>
        </w:rPr>
        <w:t>投标人应提交证明文件证明其投标技术方案项下的货物、工程和服务的合格性符合招标文件规定。该投标技术方案及其证明文件作为投标文件的一部分。</w:t>
      </w:r>
    </w:p>
    <w:p>
      <w:pPr>
        <w:tabs>
          <w:tab w:val="clear" w:pos="426"/>
        </w:tabs>
        <w:rPr>
          <w:highlight w:val="none"/>
        </w:rPr>
      </w:pPr>
      <w:r>
        <w:rPr>
          <w:highlight w:val="none"/>
        </w:rPr>
        <w:t>1</w:t>
      </w:r>
      <w:r>
        <w:rPr>
          <w:rFonts w:hint="eastAsia"/>
          <w:highlight w:val="none"/>
        </w:rPr>
        <w:t>9</w:t>
      </w:r>
      <w:r>
        <w:rPr>
          <w:highlight w:val="none"/>
        </w:rPr>
        <w:t xml:space="preserve">.2 </w:t>
      </w:r>
      <w:r>
        <w:rPr>
          <w:rFonts w:hint="eastAsia"/>
          <w:highlight w:val="none"/>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pPr>
        <w:tabs>
          <w:tab w:val="clear" w:pos="426"/>
        </w:tabs>
        <w:rPr>
          <w:highlight w:val="none"/>
        </w:rPr>
      </w:pPr>
      <w:r>
        <w:rPr>
          <w:rFonts w:hint="eastAsia"/>
          <w:highlight w:val="none"/>
        </w:rPr>
        <w:t>19.2.1主要技术指标和性能的详细说明。</w:t>
      </w:r>
    </w:p>
    <w:p>
      <w:pPr>
        <w:tabs>
          <w:tab w:val="clear" w:pos="426"/>
        </w:tabs>
        <w:rPr>
          <w:highlight w:val="none"/>
        </w:rPr>
      </w:pPr>
      <w:r>
        <w:rPr>
          <w:rFonts w:hint="eastAsia"/>
          <w:highlight w:val="none"/>
        </w:rPr>
        <w:t>19.2.</w:t>
      </w:r>
      <w:r>
        <w:rPr>
          <w:highlight w:val="none"/>
        </w:rPr>
        <w:t>2</w:t>
      </w:r>
      <w:r>
        <w:rPr>
          <w:rFonts w:hint="eastAsia"/>
          <w:highlight w:val="none"/>
        </w:rPr>
        <w:t>投标产品从采购单位开始使用至招标文件中规定的周期内正常、连续地使用所必须的备件和专用工具清单，包括备件和专用工具的货源及现行价格。</w:t>
      </w:r>
    </w:p>
    <w:p>
      <w:pPr>
        <w:tabs>
          <w:tab w:val="clear" w:pos="426"/>
        </w:tabs>
        <w:rPr>
          <w:highlight w:val="none"/>
        </w:rPr>
      </w:pPr>
      <w:r>
        <w:rPr>
          <w:rFonts w:hint="eastAsia"/>
          <w:highlight w:val="none"/>
        </w:rPr>
        <w:t>19.2.</w:t>
      </w:r>
      <w:r>
        <w:rPr>
          <w:highlight w:val="none"/>
        </w:rPr>
        <w:t>3</w:t>
      </w:r>
      <w:r>
        <w:rPr>
          <w:rFonts w:hint="eastAsia"/>
          <w:highlight w:val="none"/>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pPr>
        <w:tabs>
          <w:tab w:val="clear" w:pos="426"/>
        </w:tabs>
        <w:rPr>
          <w:highlight w:val="none"/>
        </w:rPr>
      </w:pPr>
      <w:r>
        <w:rPr>
          <w:rFonts w:hint="eastAsia"/>
          <w:highlight w:val="none"/>
        </w:rP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pPr>
        <w:tabs>
          <w:tab w:val="clear" w:pos="426"/>
        </w:tabs>
        <w:rPr>
          <w:highlight w:val="none"/>
        </w:rPr>
      </w:pPr>
      <w:r>
        <w:rPr>
          <w:rFonts w:hint="eastAsia"/>
          <w:highlight w:val="none"/>
        </w:rPr>
        <w:t>19.2.5我国政府机构出具的产品检验和核准证件应为证件正面、背面和附件标注的全部具体内容；产品检验和核准证件应能清晰的阅读、识别和判断，提供原件复印件。</w:t>
      </w:r>
    </w:p>
    <w:p>
      <w:pPr>
        <w:tabs>
          <w:tab w:val="clear" w:pos="426"/>
        </w:tabs>
        <w:rPr>
          <w:highlight w:val="none"/>
        </w:rPr>
      </w:pPr>
      <w:r>
        <w:rPr>
          <w:rFonts w:hint="eastAsia"/>
          <w:highlight w:val="none"/>
        </w:rPr>
        <w:t>19.3相关资料不符合19.2款要求的，评标委员会有权认定为投标技术方案不合格响应，其相关分数予以扣减或作废标处理。</w:t>
      </w:r>
    </w:p>
    <w:p>
      <w:pPr>
        <w:tabs>
          <w:tab w:val="clear" w:pos="426"/>
        </w:tabs>
        <w:rPr>
          <w:highlight w:val="none"/>
        </w:rPr>
      </w:pPr>
      <w:r>
        <w:rPr>
          <w:rFonts w:hint="eastAsia"/>
          <w:highlight w:val="none"/>
        </w:rPr>
        <w:t>19.4评标委员会有权对以谋取中标为目的的技术规格模糊响应（如有意照搬照抄招标文件的技术要求）或虚假响应予以认定。供应商上述行为一经发现或查实，除扣分或废标外，采购代理机构可视情况报政府采购监督管理部门做进一步处理。</w:t>
      </w:r>
    </w:p>
    <w:p>
      <w:pPr>
        <w:tabs>
          <w:tab w:val="clear" w:pos="426"/>
        </w:tabs>
        <w:rPr>
          <w:highlight w:val="none"/>
        </w:rPr>
      </w:pPr>
      <w:r>
        <w:rPr>
          <w:highlight w:val="none"/>
        </w:rPr>
        <w:t>1</w:t>
      </w:r>
      <w:r>
        <w:rPr>
          <w:rFonts w:hint="eastAsia"/>
          <w:highlight w:val="none"/>
        </w:rPr>
        <w:t>9</w:t>
      </w:r>
      <w:r>
        <w:rPr>
          <w:highlight w:val="none"/>
        </w:rPr>
        <w:t>.</w:t>
      </w:r>
      <w:r>
        <w:rPr>
          <w:rFonts w:hint="eastAsia"/>
          <w:highlight w:val="none"/>
        </w:rPr>
        <w:t>5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标委员会来评判。</w:t>
      </w:r>
    </w:p>
    <w:p>
      <w:pPr>
        <w:tabs>
          <w:tab w:val="clear" w:pos="426"/>
        </w:tabs>
        <w:rPr>
          <w:highlight w:val="none"/>
        </w:rPr>
      </w:pPr>
      <w:r>
        <w:rPr>
          <w:rFonts w:hint="eastAsia"/>
          <w:highlight w:val="none"/>
        </w:rPr>
        <w:t>19.6为保证公平公正，除非另有规定或说明，投标人对同一货物或服务投标时，不得同时提供两套或两套以上的投标方案。</w:t>
      </w:r>
    </w:p>
    <w:p>
      <w:pPr>
        <w:tabs>
          <w:tab w:val="clear" w:pos="426"/>
        </w:tabs>
        <w:rPr>
          <w:highlight w:val="none"/>
        </w:rPr>
      </w:pPr>
      <w:r>
        <w:rPr>
          <w:rFonts w:hint="eastAsia"/>
          <w:highlight w:val="none"/>
        </w:rPr>
        <w:t>20．投标文件其他证明文件的要求</w:t>
      </w:r>
    </w:p>
    <w:p>
      <w:pPr>
        <w:tabs>
          <w:tab w:val="clear" w:pos="426"/>
        </w:tabs>
        <w:rPr>
          <w:highlight w:val="none"/>
        </w:rPr>
      </w:pPr>
      <w:r>
        <w:rPr>
          <w:rFonts w:hint="eastAsia"/>
          <w:highlight w:val="none"/>
        </w:rPr>
        <w:t>20.1对项目招标文件《评标信息》评分项中涉及的相关业绩、社保情况、纳税情况、银行资信等级和资金流状况等内容以及《投标文件初审表》中涉及的资格证书，投标人应提供相关部门出具的证明材料原件复印件，原件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审查或符合性审查的予以无效标处理，涉及《评标信息》打分项的则该项评分予以0分处理。</w:t>
      </w:r>
    </w:p>
    <w:p>
      <w:pPr>
        <w:tabs>
          <w:tab w:val="clear" w:pos="426"/>
        </w:tabs>
        <w:rPr>
          <w:highlight w:val="none"/>
        </w:rPr>
      </w:pPr>
      <w:r>
        <w:rPr>
          <w:rFonts w:hint="eastAsia"/>
          <w:highlight w:val="none"/>
        </w:rPr>
        <w:t>20.2本项目涉及提供的有关资质证书，若原有资质证书处于年审期间，投标人提供年审证明的可按原资质投标；若投标人正在申报上一级别资质，在未获批准之前，仍按原级别资质投标。</w:t>
      </w:r>
    </w:p>
    <w:p>
      <w:pPr>
        <w:tabs>
          <w:tab w:val="clear" w:pos="426"/>
        </w:tabs>
        <w:rPr>
          <w:highlight w:val="none"/>
        </w:rPr>
      </w:pPr>
      <w:bookmarkStart w:id="177" w:name="_Toc73521566"/>
      <w:bookmarkStart w:id="178" w:name="_Toc100052383"/>
      <w:bookmarkStart w:id="179" w:name="_Toc73518136"/>
      <w:bookmarkStart w:id="180" w:name="_Toc60631639"/>
      <w:bookmarkStart w:id="181" w:name="_Toc73521654"/>
      <w:bookmarkStart w:id="182" w:name="_Toc73517658"/>
      <w:bookmarkStart w:id="183" w:name="_Toc60560644"/>
      <w:r>
        <w:rPr>
          <w:rFonts w:hint="eastAsia"/>
          <w:highlight w:val="none"/>
        </w:rPr>
        <w:t>21．投标有效期</w:t>
      </w:r>
      <w:bookmarkEnd w:id="177"/>
      <w:bookmarkEnd w:id="178"/>
      <w:bookmarkEnd w:id="179"/>
      <w:bookmarkEnd w:id="180"/>
      <w:bookmarkEnd w:id="181"/>
      <w:bookmarkEnd w:id="182"/>
      <w:bookmarkEnd w:id="183"/>
    </w:p>
    <w:p>
      <w:pPr>
        <w:tabs>
          <w:tab w:val="clear" w:pos="426"/>
        </w:tabs>
        <w:rPr>
          <w:highlight w:val="none"/>
        </w:rPr>
      </w:pPr>
      <w:r>
        <w:rPr>
          <w:rFonts w:hint="eastAsia"/>
          <w:highlight w:val="none"/>
        </w:rPr>
        <w:t>21.1 投标有效期为从投标截止之日算起的日历天数，具体见专用条款中投标有效期的天数要求。在此期限内，所有投标文件均保持有效；</w:t>
      </w:r>
    </w:p>
    <w:p>
      <w:pPr>
        <w:tabs>
          <w:tab w:val="clear" w:pos="426"/>
        </w:tabs>
        <w:rPr>
          <w:highlight w:val="none"/>
        </w:rPr>
      </w:pPr>
      <w:r>
        <w:rPr>
          <w:rFonts w:hint="eastAsia"/>
          <w:highlight w:val="none"/>
        </w:rPr>
        <w:t>21.2 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22条关于投标保证金的退还与没收的规定仍然适用；</w:t>
      </w:r>
    </w:p>
    <w:p>
      <w:pPr>
        <w:tabs>
          <w:tab w:val="clear" w:pos="426"/>
        </w:tabs>
        <w:rPr>
          <w:highlight w:val="none"/>
        </w:rPr>
      </w:pPr>
      <w:r>
        <w:rPr>
          <w:rFonts w:hint="eastAsia"/>
          <w:highlight w:val="none"/>
        </w:rPr>
        <w:t>21</w:t>
      </w:r>
      <w:r>
        <w:rPr>
          <w:highlight w:val="none"/>
        </w:rPr>
        <w:t>.3</w:t>
      </w:r>
      <w:r>
        <w:rPr>
          <w:rFonts w:hint="eastAsia"/>
          <w:highlight w:val="none"/>
        </w:rPr>
        <w:t xml:space="preserve"> 中标单位的投标书有效期，截止于完成本招标文件规定的全部项目内容，并通过竣工验收及保修结束。</w:t>
      </w:r>
    </w:p>
    <w:p>
      <w:pPr>
        <w:tabs>
          <w:tab w:val="clear" w:pos="426"/>
        </w:tabs>
        <w:rPr>
          <w:highlight w:val="none"/>
        </w:rPr>
      </w:pPr>
      <w:bookmarkStart w:id="184" w:name="_Toc73518137"/>
      <w:bookmarkStart w:id="185" w:name="_Toc60560645"/>
      <w:bookmarkStart w:id="186" w:name="_Toc100052384"/>
      <w:bookmarkStart w:id="187" w:name="_Toc73521655"/>
      <w:bookmarkStart w:id="188" w:name="_Toc60631640"/>
      <w:bookmarkStart w:id="189" w:name="_Toc73517659"/>
      <w:bookmarkStart w:id="190" w:name="_Toc73521567"/>
      <w:r>
        <w:rPr>
          <w:rFonts w:hint="eastAsia"/>
          <w:highlight w:val="none"/>
        </w:rPr>
        <w:t>22．投标</w:t>
      </w:r>
      <w:bookmarkEnd w:id="184"/>
      <w:bookmarkEnd w:id="185"/>
      <w:bookmarkEnd w:id="186"/>
      <w:bookmarkEnd w:id="187"/>
      <w:bookmarkEnd w:id="188"/>
      <w:bookmarkEnd w:id="189"/>
      <w:bookmarkEnd w:id="190"/>
      <w:r>
        <w:rPr>
          <w:rFonts w:hint="eastAsia"/>
          <w:highlight w:val="none"/>
        </w:rPr>
        <w:t>保证金</w:t>
      </w:r>
    </w:p>
    <w:p>
      <w:pPr>
        <w:tabs>
          <w:tab w:val="clear" w:pos="426"/>
        </w:tabs>
        <w:rPr>
          <w:highlight w:val="none"/>
        </w:rPr>
      </w:pPr>
      <w:bookmarkStart w:id="191" w:name="_Toc100052385"/>
      <w:bookmarkStart w:id="192" w:name="_Toc73518138"/>
      <w:bookmarkStart w:id="193" w:name="_Toc60560646"/>
      <w:bookmarkStart w:id="194" w:name="_Toc73521568"/>
      <w:bookmarkStart w:id="195" w:name="_Toc73517660"/>
      <w:bookmarkStart w:id="196" w:name="_Toc73521656"/>
      <w:bookmarkStart w:id="197" w:name="_Toc60631641"/>
      <w:r>
        <w:rPr>
          <w:rFonts w:hint="eastAsia"/>
          <w:highlight w:val="none"/>
        </w:rPr>
        <w:t>22.1投标保证金的缴纳：</w:t>
      </w:r>
    </w:p>
    <w:p>
      <w:pPr>
        <w:tabs>
          <w:tab w:val="clear" w:pos="426"/>
        </w:tabs>
        <w:rPr>
          <w:highlight w:val="none"/>
        </w:rPr>
      </w:pPr>
      <w:r>
        <w:rPr>
          <w:rFonts w:hint="eastAsia"/>
          <w:highlight w:val="none"/>
        </w:rPr>
        <w:t>22.1.1缴纳投标保证金的方式：参与投标前须缴纳壹万元保证金，落标或中标项目完成后返还，参与投标前未缴纳的，其投标将不予受理。</w:t>
      </w:r>
    </w:p>
    <w:p>
      <w:pPr>
        <w:tabs>
          <w:tab w:val="clear" w:pos="426"/>
        </w:tabs>
        <w:rPr>
          <w:highlight w:val="none"/>
        </w:rPr>
      </w:pPr>
      <w:r>
        <w:rPr>
          <w:rFonts w:hint="eastAsia"/>
          <w:highlight w:val="none"/>
        </w:rPr>
        <w:t>22.1.2 若为重大项目，采购代理机构可自行决定另外收取投标保证金，不受22</w:t>
      </w:r>
      <w:r>
        <w:rPr>
          <w:highlight w:val="none"/>
        </w:rPr>
        <w:t>.1</w:t>
      </w:r>
      <w:r>
        <w:rPr>
          <w:rFonts w:hint="eastAsia"/>
          <w:highlight w:val="none"/>
        </w:rPr>
        <w:t>.1款限制。是否另外收取投标保证金，请见本招标文件专用条款《对通用条款的补充内容》中的相关要求。</w:t>
      </w:r>
    </w:p>
    <w:p>
      <w:pPr>
        <w:tabs>
          <w:tab w:val="clear" w:pos="426"/>
        </w:tabs>
        <w:rPr>
          <w:szCs w:val="21"/>
          <w:highlight w:val="none"/>
        </w:rPr>
      </w:pPr>
      <w:r>
        <w:rPr>
          <w:rFonts w:hint="eastAsia"/>
          <w:szCs w:val="21"/>
          <w:highlight w:val="none"/>
        </w:rPr>
        <w:t>22.2</w:t>
      </w:r>
      <w:r>
        <w:rPr>
          <w:rFonts w:hint="eastAsia"/>
          <w:highlight w:val="none"/>
        </w:rPr>
        <w:t>投标保证金是为了保护采购代理机构和采购单位免因投标人的行为而蒙受损失。采购代理机构和采购单位因投标人的行为受到损害时可根据本通用条款第</w:t>
      </w:r>
      <w:r>
        <w:rPr>
          <w:rFonts w:hint="eastAsia"/>
          <w:szCs w:val="21"/>
          <w:highlight w:val="none"/>
        </w:rPr>
        <w:t>22.3款</w:t>
      </w:r>
      <w:r>
        <w:rPr>
          <w:rFonts w:hint="eastAsia"/>
          <w:highlight w:val="none"/>
        </w:rPr>
        <w:t>的规定没收投标人的投标保证金。</w:t>
      </w:r>
    </w:p>
    <w:p>
      <w:pPr>
        <w:tabs>
          <w:tab w:val="clear" w:pos="426"/>
        </w:tabs>
        <w:rPr>
          <w:highlight w:val="none"/>
        </w:rPr>
      </w:pPr>
      <w:r>
        <w:rPr>
          <w:rFonts w:hint="eastAsia"/>
          <w:highlight w:val="none"/>
        </w:rPr>
        <w:t>22.3如下列任何情况发生时，投标保证金将被没收。</w:t>
      </w:r>
    </w:p>
    <w:p>
      <w:pPr>
        <w:tabs>
          <w:tab w:val="clear" w:pos="426"/>
        </w:tabs>
        <w:rPr>
          <w:highlight w:val="none"/>
        </w:rPr>
      </w:pPr>
      <w:r>
        <w:rPr>
          <w:rFonts w:hint="eastAsia"/>
          <w:highlight w:val="none"/>
        </w:rPr>
        <w:t>1）投标人在招标文件中规定的投标有效期内撤回其投标；</w:t>
      </w:r>
    </w:p>
    <w:p>
      <w:pPr>
        <w:tabs>
          <w:tab w:val="clear" w:pos="426"/>
        </w:tabs>
        <w:rPr>
          <w:highlight w:val="none"/>
        </w:rPr>
      </w:pPr>
      <w:r>
        <w:rPr>
          <w:rFonts w:hint="eastAsia"/>
          <w:highlight w:val="none"/>
        </w:rPr>
        <w:t>2）中标人在规定期限内未能根据本项通用条款第47条规定签订合同；</w:t>
      </w:r>
    </w:p>
    <w:p>
      <w:pPr>
        <w:tabs>
          <w:tab w:val="clear" w:pos="426"/>
        </w:tabs>
        <w:rPr>
          <w:highlight w:val="none"/>
        </w:rPr>
      </w:pPr>
      <w:r>
        <w:rPr>
          <w:rFonts w:hint="eastAsia"/>
          <w:highlight w:val="none"/>
        </w:rPr>
        <w:t>3）投标人提供虚假投标文件或虚假补充文件：</w:t>
      </w:r>
    </w:p>
    <w:p>
      <w:pPr>
        <w:tabs>
          <w:tab w:val="clear" w:pos="426"/>
        </w:tabs>
        <w:rPr>
          <w:highlight w:val="none"/>
        </w:rPr>
      </w:pPr>
      <w:r>
        <w:rPr>
          <w:rFonts w:hint="eastAsia"/>
          <w:highlight w:val="none"/>
        </w:rPr>
        <w:t>4）投标人以谋取中标为目的的技术规格模糊响应（如有意照搬照抄招标文件的技术要求）或虚假响应的；</w:t>
      </w:r>
    </w:p>
    <w:p>
      <w:pPr>
        <w:tabs>
          <w:tab w:val="clear" w:pos="426"/>
        </w:tabs>
        <w:rPr>
          <w:highlight w:val="none"/>
        </w:rPr>
      </w:pPr>
      <w:r>
        <w:rPr>
          <w:rFonts w:hint="eastAsia"/>
          <w:highlight w:val="none"/>
        </w:rPr>
        <w:t>5）投标人质疑投诉提供虚假情况。</w:t>
      </w:r>
    </w:p>
    <w:p>
      <w:pPr>
        <w:tabs>
          <w:tab w:val="clear" w:pos="426"/>
        </w:tabs>
        <w:rPr>
          <w:highlight w:val="none"/>
        </w:rPr>
      </w:pPr>
      <w:r>
        <w:rPr>
          <w:rFonts w:hint="eastAsia"/>
          <w:highlight w:val="none"/>
        </w:rPr>
        <w:t>22.4投标保证金账户信息：</w:t>
      </w:r>
    </w:p>
    <w:p>
      <w:pPr>
        <w:tabs>
          <w:tab w:val="clear" w:pos="426"/>
        </w:tabs>
        <w:rPr>
          <w:b/>
          <w:highlight w:val="none"/>
        </w:rPr>
      </w:pPr>
      <w:r>
        <w:rPr>
          <w:rFonts w:hint="eastAsia"/>
          <w:b/>
          <w:highlight w:val="none"/>
        </w:rPr>
        <w:t>账户名称：深圳市政府采购中心</w:t>
      </w:r>
    </w:p>
    <w:p>
      <w:pPr>
        <w:tabs>
          <w:tab w:val="clear" w:pos="426"/>
        </w:tabs>
        <w:rPr>
          <w:b/>
          <w:highlight w:val="none"/>
        </w:rPr>
      </w:pPr>
      <w:r>
        <w:rPr>
          <w:rFonts w:hint="eastAsia"/>
          <w:b/>
          <w:highlight w:val="none"/>
        </w:rPr>
        <w:t>账</w:t>
      </w:r>
      <w:r>
        <w:rPr>
          <w:b/>
          <w:highlight w:val="none"/>
        </w:rPr>
        <w:t xml:space="preserve">    号：0012100200549</w:t>
      </w:r>
    </w:p>
    <w:p>
      <w:pPr>
        <w:tabs>
          <w:tab w:val="clear" w:pos="426"/>
        </w:tabs>
        <w:rPr>
          <w:b/>
          <w:highlight w:val="none"/>
        </w:rPr>
      </w:pPr>
      <w:r>
        <w:rPr>
          <w:rFonts w:hint="eastAsia"/>
          <w:b/>
          <w:highlight w:val="none"/>
        </w:rPr>
        <w:t>开户银行：平安银行股份有限公司深圳分行营业部</w:t>
      </w:r>
      <w:r>
        <w:rPr>
          <w:b/>
          <w:highlight w:val="none"/>
        </w:rPr>
        <w:t xml:space="preserve">  </w:t>
      </w:r>
    </w:p>
    <w:p>
      <w:pPr>
        <w:tabs>
          <w:tab w:val="clear" w:pos="426"/>
        </w:tabs>
        <w:rPr>
          <w:b/>
          <w:highlight w:val="none"/>
        </w:rPr>
      </w:pPr>
      <w:r>
        <w:rPr>
          <w:rFonts w:hint="eastAsia"/>
          <w:b/>
          <w:highlight w:val="none"/>
        </w:rPr>
        <w:t>行</w:t>
      </w:r>
      <w:r>
        <w:rPr>
          <w:b/>
          <w:highlight w:val="none"/>
        </w:rPr>
        <w:t xml:space="preserve">    号：307584021015</w:t>
      </w:r>
    </w:p>
    <w:p>
      <w:pPr>
        <w:tabs>
          <w:tab w:val="clear" w:pos="426"/>
        </w:tabs>
        <w:rPr>
          <w:highlight w:val="none"/>
        </w:rPr>
      </w:pPr>
      <w:r>
        <w:rPr>
          <w:rFonts w:hint="eastAsia"/>
          <w:highlight w:val="none"/>
        </w:rPr>
        <w:t>23．投标人的替代方案</w:t>
      </w:r>
      <w:bookmarkEnd w:id="191"/>
      <w:bookmarkEnd w:id="192"/>
      <w:bookmarkEnd w:id="193"/>
      <w:bookmarkEnd w:id="194"/>
      <w:bookmarkEnd w:id="195"/>
      <w:bookmarkEnd w:id="196"/>
      <w:bookmarkEnd w:id="197"/>
    </w:p>
    <w:p>
      <w:pPr>
        <w:tabs>
          <w:tab w:val="clear" w:pos="426"/>
        </w:tabs>
        <w:rPr>
          <w:highlight w:val="none"/>
        </w:rPr>
      </w:pPr>
      <w:r>
        <w:rPr>
          <w:rFonts w:hint="eastAsia"/>
          <w:highlight w:val="none"/>
        </w:rPr>
        <w:t>23.1投标人所提交的投标文件应完全满足招标文件（包括图纸和技术规范所示的基本技术设计）的要求。除非招标的项目明确允许投标人提交替代方案，否则投标人有关替代方案的条款将不予考虑。</w:t>
      </w:r>
    </w:p>
    <w:p>
      <w:pPr>
        <w:tabs>
          <w:tab w:val="clear" w:pos="426"/>
        </w:tabs>
        <w:rPr>
          <w:bCs/>
          <w:sz w:val="30"/>
          <w:szCs w:val="30"/>
          <w:highlight w:val="none"/>
        </w:rPr>
      </w:pPr>
      <w:r>
        <w:rPr>
          <w:rFonts w:hint="eastAsia"/>
          <w:highlight w:val="none"/>
        </w:rPr>
        <w:t>23.2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Start w:id="198" w:name="_Toc73521662"/>
      <w:bookmarkStart w:id="199" w:name="_Toc73518144"/>
      <w:bookmarkStart w:id="200" w:name="_Toc100052391"/>
      <w:bookmarkStart w:id="201" w:name="_Toc73521574"/>
      <w:bookmarkStart w:id="202" w:name="_Toc73517666"/>
      <w:bookmarkStart w:id="203" w:name="_Toc101074881"/>
    </w:p>
    <w:p>
      <w:pPr>
        <w:tabs>
          <w:tab w:val="clear" w:pos="426"/>
        </w:tabs>
        <w:rPr>
          <w:highlight w:val="none"/>
        </w:rPr>
      </w:pPr>
      <w:bookmarkStart w:id="204" w:name="_Toc148779952"/>
      <w:bookmarkStart w:id="205" w:name="_Toc143658455"/>
      <w:bookmarkStart w:id="206" w:name="_Toc148780238"/>
      <w:bookmarkStart w:id="207" w:name="_Toc201997835"/>
      <w:bookmarkStart w:id="208" w:name="_Toc187729580"/>
      <w:bookmarkStart w:id="209" w:name="_Toc148413300"/>
      <w:bookmarkStart w:id="210" w:name="_Toc201401384"/>
      <w:bookmarkStart w:id="211" w:name="_Toc148329801"/>
      <w:bookmarkStart w:id="212" w:name="_Toc135666815"/>
      <w:bookmarkStart w:id="213" w:name="_Toc157847820"/>
      <w:bookmarkStart w:id="214" w:name="_Toc98817934"/>
      <w:bookmarkStart w:id="215" w:name="_Toc148954859"/>
      <w:bookmarkStart w:id="216" w:name="_Toc188869280"/>
      <w:bookmarkStart w:id="217" w:name="_Toc148954464"/>
      <w:bookmarkStart w:id="218" w:name="_Toc148778157"/>
      <w:bookmarkStart w:id="219" w:name="_Toc135666628"/>
      <w:bookmarkStart w:id="220" w:name="_Toc134852021"/>
      <w:bookmarkStart w:id="221" w:name="_Toc163530302"/>
      <w:bookmarkStart w:id="222" w:name="_Toc201401576"/>
      <w:r>
        <w:rPr>
          <w:rFonts w:hint="eastAsia"/>
          <w:highlight w:val="none"/>
        </w:rPr>
        <w:t>24． 投标文件的密封、标记</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Pr>
          <w:rFonts w:hint="eastAsia"/>
          <w:highlight w:val="none"/>
        </w:rPr>
        <w:t>和装订</w:t>
      </w:r>
    </w:p>
    <w:p>
      <w:pPr>
        <w:widowControl w:val="0"/>
        <w:shd w:val="clear" w:color="auto" w:fill="auto"/>
        <w:tabs>
          <w:tab w:val="clear" w:pos="426"/>
        </w:tabs>
        <w:autoSpaceDE w:val="0"/>
        <w:autoSpaceDN w:val="0"/>
        <w:rPr>
          <w:rFonts w:cs="黑体"/>
          <w:bCs/>
          <w:szCs w:val="21"/>
          <w:highlight w:val="none"/>
        </w:rPr>
      </w:pPr>
      <w:r>
        <w:rPr>
          <w:rFonts w:hint="eastAsia"/>
          <w:highlight w:val="none"/>
        </w:rPr>
        <w:t xml:space="preserve">24.1 </w:t>
      </w:r>
      <w:r>
        <w:rPr>
          <w:rFonts w:hint="eastAsia" w:cs="黑体"/>
          <w:bCs/>
          <w:szCs w:val="21"/>
          <w:highlight w:val="none"/>
        </w:rPr>
        <w:t>为方便开标唱标，投标人应单独提交一个密封信封，并在信封上标明“开标信封”的字样，内容包括开标一览表(报价表)、法定代表人证明书、法定代表人授权委托书、被授权人身份证复印件、</w:t>
      </w:r>
      <w:r>
        <w:rPr>
          <w:rFonts w:hint="eastAsia"/>
          <w:szCs w:val="21"/>
          <w:highlight w:val="none"/>
        </w:rPr>
        <w:t>投标文件电子光盘</w:t>
      </w:r>
      <w:r>
        <w:rPr>
          <w:rFonts w:hint="eastAsia" w:cs="黑体"/>
          <w:bCs/>
          <w:szCs w:val="21"/>
          <w:highlight w:val="none"/>
        </w:rPr>
        <w:t>，若本项目（或包组）接受联合体投标，则联合体投标，应将各方共同签署的《联合投标协议》和《投标联合体授权主体方协议书》一并提交。开标信封是投标文件的组成部分。</w:t>
      </w:r>
    </w:p>
    <w:p>
      <w:pPr>
        <w:tabs>
          <w:tab w:val="clear" w:pos="426"/>
        </w:tabs>
        <w:rPr>
          <w:color w:val="000000"/>
          <w:szCs w:val="21"/>
          <w:highlight w:val="none"/>
        </w:rPr>
      </w:pPr>
      <w:r>
        <w:rPr>
          <w:rFonts w:hint="eastAsia"/>
          <w:highlight w:val="none"/>
        </w:rPr>
        <w:t>24.2 投标文件为纸质投标文件，</w:t>
      </w:r>
      <w:r>
        <w:rPr>
          <w:rFonts w:hint="eastAsia"/>
          <w:szCs w:val="21"/>
          <w:highlight w:val="none"/>
        </w:rPr>
        <w:t>含正本和副本，投标文件应标明项目编号、招标项目名称及“正本”或“副本”。投标文件的所有内容应按</w:t>
      </w:r>
      <w:r>
        <w:rPr>
          <w:szCs w:val="21"/>
          <w:highlight w:val="none"/>
        </w:rPr>
        <w:t>A4篇幅装订成一册，装订应牢固不可拆卸。</w:t>
      </w:r>
      <w:r>
        <w:rPr>
          <w:rFonts w:hint="eastAsia"/>
          <w:highlight w:val="none"/>
        </w:rPr>
        <w:t>装订好的投标文件密封包装在一个外密封袋中，并在外密封袋上注明：</w:t>
      </w:r>
    </w:p>
    <w:p>
      <w:pPr>
        <w:tabs>
          <w:tab w:val="clear" w:pos="426"/>
        </w:tabs>
        <w:rPr>
          <w:highlight w:val="none"/>
        </w:rPr>
      </w:pPr>
      <w:r>
        <w:rPr>
          <w:rFonts w:hint="eastAsia"/>
          <w:highlight w:val="none"/>
        </w:rPr>
        <w:t xml:space="preserve">投标文件 </w:t>
      </w:r>
    </w:p>
    <w:p>
      <w:pPr>
        <w:tabs>
          <w:tab w:val="clear" w:pos="426"/>
        </w:tabs>
        <w:rPr>
          <w:highlight w:val="none"/>
        </w:rPr>
      </w:pPr>
      <w:r>
        <w:rPr>
          <w:rFonts w:hint="eastAsia"/>
          <w:highlight w:val="none"/>
        </w:rPr>
        <w:t>项目编号：</w:t>
      </w:r>
      <w:r>
        <w:rPr>
          <w:rFonts w:hint="eastAsia"/>
          <w:highlight w:val="none"/>
          <w:u w:val="single"/>
        </w:rPr>
        <w:t xml:space="preserve">                         </w:t>
      </w:r>
    </w:p>
    <w:p>
      <w:pPr>
        <w:tabs>
          <w:tab w:val="clear" w:pos="426"/>
        </w:tabs>
        <w:rPr>
          <w:highlight w:val="none"/>
        </w:rPr>
      </w:pPr>
      <w:r>
        <w:rPr>
          <w:rFonts w:hint="eastAsia"/>
          <w:highlight w:val="none"/>
        </w:rPr>
        <w:t>项目名称：</w:t>
      </w:r>
      <w:r>
        <w:rPr>
          <w:rFonts w:hint="eastAsia"/>
          <w:highlight w:val="none"/>
          <w:u w:val="single"/>
        </w:rPr>
        <w:t xml:space="preserve">                         </w:t>
      </w:r>
    </w:p>
    <w:p>
      <w:pPr>
        <w:tabs>
          <w:tab w:val="clear" w:pos="426"/>
        </w:tabs>
        <w:rPr>
          <w:highlight w:val="none"/>
        </w:rPr>
      </w:pPr>
      <w:r>
        <w:rPr>
          <w:rFonts w:hint="eastAsia"/>
          <w:highlight w:val="none"/>
        </w:rPr>
        <w:t>投标人名称（盖章）：</w:t>
      </w:r>
      <w:r>
        <w:rPr>
          <w:rFonts w:hint="eastAsia"/>
          <w:highlight w:val="none"/>
          <w:u w:val="single"/>
        </w:rPr>
        <w:t xml:space="preserve">                </w:t>
      </w:r>
    </w:p>
    <w:p>
      <w:pPr>
        <w:tabs>
          <w:tab w:val="clear" w:pos="426"/>
        </w:tabs>
        <w:rPr>
          <w:highlight w:val="none"/>
        </w:rPr>
      </w:pPr>
      <w:r>
        <w:rPr>
          <w:rFonts w:hint="eastAsia"/>
          <w:highlight w:val="none"/>
        </w:rPr>
        <w:t>投标截止时间：</w:t>
      </w:r>
      <w:r>
        <w:rPr>
          <w:rFonts w:hint="eastAsia"/>
          <w:highlight w:val="none"/>
          <w:u w:val="single"/>
        </w:rPr>
        <w:t xml:space="preserve">       年      月      日      时      分（前不得开封）</w:t>
      </w:r>
      <w:r>
        <w:rPr>
          <w:rFonts w:hint="eastAsia"/>
          <w:highlight w:val="none"/>
        </w:rPr>
        <w:t>。</w:t>
      </w:r>
    </w:p>
    <w:p>
      <w:pPr>
        <w:tabs>
          <w:tab w:val="clear" w:pos="426"/>
        </w:tabs>
        <w:rPr>
          <w:highlight w:val="none"/>
        </w:rPr>
      </w:pPr>
      <w:r>
        <w:rPr>
          <w:rFonts w:hint="eastAsia"/>
          <w:highlight w:val="none"/>
        </w:rPr>
        <w:t>24.3  所有投标文件的密封袋的封口处均应加盖投标人公章。</w:t>
      </w:r>
    </w:p>
    <w:p>
      <w:pPr>
        <w:tabs>
          <w:tab w:val="clear" w:pos="426"/>
        </w:tabs>
        <w:rPr>
          <w:highlight w:val="none"/>
        </w:rPr>
      </w:pPr>
      <w:r>
        <w:rPr>
          <w:rFonts w:hint="eastAsia"/>
          <w:highlight w:val="none"/>
        </w:rPr>
        <w:t>24.4  对于因标书标识不清、装订不牢、密封不严等导致的不利后果由该投标人自负。</w:t>
      </w:r>
    </w:p>
    <w:p>
      <w:pPr>
        <w:tabs>
          <w:tab w:val="clear" w:pos="426"/>
        </w:tabs>
        <w:rPr>
          <w:color w:val="000000"/>
          <w:szCs w:val="21"/>
          <w:highlight w:val="none"/>
        </w:rPr>
      </w:pPr>
      <w:r>
        <w:rPr>
          <w:rFonts w:hint="eastAsia"/>
          <w:color w:val="000000"/>
          <w:szCs w:val="21"/>
          <w:highlight w:val="none"/>
        </w:rPr>
        <w:t>24.5  投标方应将投标文件按24.1-24.2中的规定进行密封和标记后，按专用条款中采购公告注明的地址送至招标机构。</w:t>
      </w:r>
    </w:p>
    <w:p>
      <w:pPr>
        <w:tabs>
          <w:tab w:val="clear" w:pos="426"/>
        </w:tabs>
        <w:rPr>
          <w:color w:val="000000"/>
          <w:szCs w:val="21"/>
          <w:highlight w:val="none"/>
        </w:rPr>
      </w:pPr>
      <w:r>
        <w:rPr>
          <w:rFonts w:hint="eastAsia"/>
          <w:color w:val="000000"/>
          <w:szCs w:val="21"/>
          <w:highlight w:val="none"/>
        </w:rPr>
        <w:t>24.6  邮寄、电报、电话、传真形式的投标概不接受。</w:t>
      </w:r>
    </w:p>
    <w:p>
      <w:pPr>
        <w:tabs>
          <w:tab w:val="clear" w:pos="426"/>
        </w:tabs>
        <w:rPr>
          <w:b/>
          <w:color w:val="000000"/>
          <w:szCs w:val="21"/>
          <w:highlight w:val="none"/>
        </w:rPr>
      </w:pPr>
      <w:r>
        <w:rPr>
          <w:rFonts w:hint="eastAsia"/>
          <w:b/>
          <w:color w:val="000000"/>
          <w:szCs w:val="21"/>
          <w:highlight w:val="none"/>
        </w:rPr>
        <w:t xml:space="preserve">24.7  </w:t>
      </w:r>
      <w:r>
        <w:rPr>
          <w:rFonts w:hint="eastAsia"/>
          <w:b/>
          <w:bCs/>
          <w:color w:val="000000"/>
          <w:szCs w:val="21"/>
          <w:highlight w:val="none"/>
        </w:rPr>
        <w:t>投标文件电子版：电子光盘一张（投标文件正本盖章后的彩色扫描件，扫描件要求为PDF格式），请将该光盘放在开标信封中，并在光盘上标明项目编号、项目名称及投标人名称。</w:t>
      </w:r>
    </w:p>
    <w:p>
      <w:pPr>
        <w:tabs>
          <w:tab w:val="clear" w:pos="426"/>
        </w:tabs>
        <w:rPr>
          <w:color w:val="000000"/>
          <w:szCs w:val="21"/>
          <w:highlight w:val="none"/>
        </w:rPr>
      </w:pPr>
      <w:r>
        <w:rPr>
          <w:rFonts w:hint="eastAsia"/>
          <w:color w:val="000000"/>
          <w:szCs w:val="21"/>
          <w:highlight w:val="none"/>
        </w:rPr>
        <w:t>25． 投标截止时间</w:t>
      </w:r>
    </w:p>
    <w:p>
      <w:pPr>
        <w:tabs>
          <w:tab w:val="clear" w:pos="426"/>
        </w:tabs>
        <w:ind w:firstLine="424" w:firstLineChars="202"/>
        <w:rPr>
          <w:szCs w:val="21"/>
          <w:highlight w:val="none"/>
        </w:rPr>
      </w:pPr>
      <w:r>
        <w:rPr>
          <w:rFonts w:hint="eastAsia"/>
          <w:szCs w:val="21"/>
          <w:highlight w:val="none"/>
        </w:rPr>
        <w:t>招标机构在投标人须知第24</w:t>
      </w:r>
      <w:r>
        <w:rPr>
          <w:szCs w:val="21"/>
          <w:highlight w:val="none"/>
        </w:rPr>
        <w:t>.</w:t>
      </w:r>
      <w:r>
        <w:rPr>
          <w:rFonts w:hint="eastAsia"/>
          <w:szCs w:val="21"/>
          <w:highlight w:val="none"/>
        </w:rPr>
        <w:t>5条规定的地址收到投标书的时间不得迟于“投标人须知前附表”第</w:t>
      </w:r>
      <w:r>
        <w:rPr>
          <w:szCs w:val="21"/>
          <w:highlight w:val="none"/>
        </w:rPr>
        <w:t>19</w:t>
      </w:r>
      <w:r>
        <w:rPr>
          <w:rFonts w:hint="eastAsia"/>
          <w:szCs w:val="21"/>
          <w:highlight w:val="none"/>
        </w:rPr>
        <w:t>项所规定的时间。</w:t>
      </w:r>
    </w:p>
    <w:p>
      <w:pPr>
        <w:tabs>
          <w:tab w:val="clear" w:pos="426"/>
        </w:tabs>
        <w:rPr>
          <w:color w:val="000000"/>
          <w:szCs w:val="21"/>
          <w:highlight w:val="none"/>
        </w:rPr>
      </w:pPr>
      <w:r>
        <w:rPr>
          <w:rFonts w:hint="eastAsia"/>
          <w:color w:val="000000"/>
          <w:szCs w:val="21"/>
          <w:highlight w:val="none"/>
        </w:rPr>
        <w:t>26．迟交的投标书</w:t>
      </w:r>
    </w:p>
    <w:p>
      <w:pPr>
        <w:tabs>
          <w:tab w:val="clear" w:pos="426"/>
        </w:tabs>
        <w:ind w:firstLine="424" w:firstLineChars="202"/>
        <w:rPr>
          <w:color w:val="000000"/>
          <w:szCs w:val="21"/>
          <w:highlight w:val="none"/>
        </w:rPr>
      </w:pPr>
      <w:r>
        <w:rPr>
          <w:rFonts w:hint="eastAsia"/>
          <w:color w:val="000000"/>
          <w:szCs w:val="21"/>
          <w:highlight w:val="none"/>
        </w:rPr>
        <w:t>按照本通用条款第25条规定，招标机构将拒绝并原封退回在其规定的投标截止期后收到的任何投标书。</w:t>
      </w:r>
    </w:p>
    <w:p>
      <w:pPr>
        <w:tabs>
          <w:tab w:val="clear" w:pos="426"/>
        </w:tabs>
        <w:rPr>
          <w:highlight w:val="none"/>
        </w:rPr>
      </w:pPr>
      <w:r>
        <w:rPr>
          <w:rFonts w:hint="eastAsia"/>
          <w:highlight w:val="none"/>
        </w:rPr>
        <w:t>27． 投标文件的提交和截标时投标文件的数量要求</w:t>
      </w:r>
    </w:p>
    <w:p>
      <w:pPr>
        <w:tabs>
          <w:tab w:val="clear" w:pos="426"/>
        </w:tabs>
        <w:rPr>
          <w:highlight w:val="none"/>
        </w:rPr>
      </w:pPr>
      <w:r>
        <w:rPr>
          <w:rFonts w:hint="eastAsia"/>
          <w:highlight w:val="none"/>
        </w:rPr>
        <w:t>27.1  投标截止时间和地点。投标人应根据“专用条款”的规定，在投标截止时间前将投标文件密封送达指定地点。未及时送达指定地点及不符合密封、标记、签章、装订要求的投标文件采购代理机构将拒绝接收。</w:t>
      </w:r>
    </w:p>
    <w:p>
      <w:pPr>
        <w:tabs>
          <w:tab w:val="clear" w:pos="426"/>
        </w:tabs>
        <w:rPr>
          <w:highlight w:val="none"/>
        </w:rPr>
      </w:pPr>
      <w:r>
        <w:rPr>
          <w:rFonts w:hint="eastAsia"/>
          <w:highlight w:val="none"/>
        </w:rPr>
        <w:t xml:space="preserve">27.2  </w:t>
      </w:r>
      <w:r>
        <w:rPr>
          <w:highlight w:val="none"/>
        </w:rPr>
        <w:t>截标时</w:t>
      </w:r>
      <w:r>
        <w:rPr>
          <w:rFonts w:hint="eastAsia"/>
          <w:highlight w:val="none"/>
        </w:rPr>
        <w:t>递</w:t>
      </w:r>
      <w:r>
        <w:rPr>
          <w:highlight w:val="none"/>
        </w:rPr>
        <w:t>交标书的投标人数</w:t>
      </w:r>
      <w:r>
        <w:rPr>
          <w:rFonts w:hint="eastAsia"/>
          <w:highlight w:val="none"/>
        </w:rPr>
        <w:t>量未达到法定家数的，采购代理机构将按法律法规的规定暂停</w:t>
      </w:r>
      <w:r>
        <w:rPr>
          <w:highlight w:val="none"/>
        </w:rPr>
        <w:t>开标和评标程序</w:t>
      </w:r>
      <w:r>
        <w:rPr>
          <w:rFonts w:hint="eastAsia"/>
          <w:highlight w:val="none"/>
        </w:rPr>
        <w:t>。如导致招标失败，采购人或采购代理机构将不负担因此给</w:t>
      </w:r>
      <w:r>
        <w:rPr>
          <w:highlight w:val="none"/>
        </w:rPr>
        <w:t>投标人</w:t>
      </w:r>
      <w:r>
        <w:rPr>
          <w:rFonts w:hint="eastAsia"/>
          <w:highlight w:val="none"/>
        </w:rPr>
        <w:t>造成的损失。</w:t>
      </w:r>
    </w:p>
    <w:p>
      <w:pPr>
        <w:tabs>
          <w:tab w:val="clear" w:pos="426"/>
        </w:tabs>
        <w:rPr>
          <w:highlight w:val="none"/>
        </w:rPr>
      </w:pPr>
      <w:bookmarkStart w:id="223" w:name="_Toc157847823"/>
      <w:bookmarkStart w:id="224" w:name="_Toc187729583"/>
      <w:bookmarkStart w:id="225" w:name="_Toc135666818"/>
      <w:bookmarkStart w:id="226" w:name="_Toc135666631"/>
      <w:bookmarkStart w:id="227" w:name="_Toc148954862"/>
      <w:bookmarkStart w:id="228" w:name="_Toc188869283"/>
      <w:bookmarkStart w:id="229" w:name="_Toc148780241"/>
      <w:bookmarkStart w:id="230" w:name="_Toc98817937"/>
      <w:bookmarkStart w:id="231" w:name="_Toc201401386"/>
      <w:bookmarkStart w:id="232" w:name="_Toc148954467"/>
      <w:bookmarkStart w:id="233" w:name="_Toc148779955"/>
      <w:bookmarkStart w:id="234" w:name="_Toc201997837"/>
      <w:bookmarkStart w:id="235" w:name="_Toc143658458"/>
      <w:bookmarkStart w:id="236" w:name="_Toc148778160"/>
      <w:bookmarkStart w:id="237" w:name="_Toc148329804"/>
      <w:bookmarkStart w:id="238" w:name="_Toc163530305"/>
      <w:bookmarkStart w:id="239" w:name="_Toc148413303"/>
      <w:bookmarkStart w:id="240" w:name="_Toc201401578"/>
      <w:bookmarkStart w:id="241" w:name="_Toc134852024"/>
      <w:r>
        <w:rPr>
          <w:rFonts w:hint="eastAsia"/>
          <w:highlight w:val="none"/>
        </w:rPr>
        <w:t>28．  投标文件的修改或撤回</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pPr>
        <w:tabs>
          <w:tab w:val="clear" w:pos="426"/>
        </w:tabs>
        <w:rPr>
          <w:highlight w:val="none"/>
        </w:rPr>
      </w:pPr>
      <w:r>
        <w:rPr>
          <w:rFonts w:hint="eastAsia"/>
          <w:highlight w:val="none"/>
        </w:rPr>
        <w:t>28.1  投标人已提交投标文件，规定的投标</w:t>
      </w:r>
      <w:r>
        <w:rPr>
          <w:highlight w:val="none"/>
        </w:rPr>
        <w:t>截止</w:t>
      </w:r>
      <w:r>
        <w:rPr>
          <w:rFonts w:hint="eastAsia"/>
          <w:highlight w:val="none"/>
        </w:rPr>
        <w:t>时间还未到，投标人可提出对其投标文件的修改或撤回。投标人须提交由投标人代表签名的修改或撤回的书面通知。</w:t>
      </w:r>
    </w:p>
    <w:p>
      <w:pPr>
        <w:tabs>
          <w:tab w:val="clear" w:pos="426"/>
        </w:tabs>
        <w:rPr>
          <w:highlight w:val="none"/>
        </w:rPr>
      </w:pPr>
      <w:r>
        <w:rPr>
          <w:rFonts w:hint="eastAsia"/>
          <w:highlight w:val="none"/>
        </w:rPr>
        <w:t>28.2  采购代理机构收到由投标人代表签名的修改或撤回的书面通知并确认后，投标人可对其投标文件进行修改，或是撤回其投标。</w:t>
      </w:r>
    </w:p>
    <w:p>
      <w:pPr>
        <w:tabs>
          <w:tab w:val="clear" w:pos="426"/>
        </w:tabs>
        <w:rPr>
          <w:highlight w:val="none"/>
        </w:rPr>
      </w:pPr>
      <w:bookmarkStart w:id="242" w:name="_Toc188869284"/>
      <w:r>
        <w:rPr>
          <w:rFonts w:hint="eastAsia"/>
          <w:highlight w:val="none"/>
        </w:rPr>
        <w:t>28.3  投标人的修改文件应按照本招标文件的规定进行编制、密封、标记和提交，并在密封袋上注明“投标修改”。</w:t>
      </w:r>
    </w:p>
    <w:p>
      <w:pPr>
        <w:tabs>
          <w:tab w:val="clear" w:pos="426"/>
        </w:tabs>
        <w:rPr>
          <w:highlight w:val="none"/>
        </w:rPr>
      </w:pPr>
      <w:r>
        <w:rPr>
          <w:rFonts w:hint="eastAsia"/>
          <w:highlight w:val="none"/>
        </w:rPr>
        <w:t>28.4  投标截止时间之后至投标文件有效期终止之前，投标人不得要求撤回其投标。在此期间撤回投标的，其投标担保将会被没收。</w:t>
      </w:r>
    </w:p>
    <w:p>
      <w:pPr>
        <w:tabs>
          <w:tab w:val="clear" w:pos="426"/>
        </w:tabs>
        <w:rPr>
          <w:highlight w:val="none"/>
        </w:rPr>
      </w:pPr>
      <w:r>
        <w:rPr>
          <w:rFonts w:hint="eastAsia"/>
          <w:highlight w:val="none"/>
        </w:rPr>
        <w:t>28.5  评标结束后，不论中标与否，投标人均不得收回投标文件。</w:t>
      </w:r>
    </w:p>
    <w:bookmarkEnd w:id="242"/>
    <w:p>
      <w:pPr>
        <w:pStyle w:val="4"/>
        <w:tabs>
          <w:tab w:val="clear" w:pos="426"/>
        </w:tabs>
        <w:rPr>
          <w:highlight w:val="none"/>
        </w:rPr>
      </w:pPr>
      <w:bookmarkStart w:id="243" w:name="_Toc398220532"/>
      <w:bookmarkStart w:id="244" w:name="_Toc432592824"/>
      <w:bookmarkStart w:id="245" w:name="_Toc16252"/>
      <w:r>
        <w:rPr>
          <w:rFonts w:hint="eastAsia"/>
          <w:highlight w:val="none"/>
        </w:rPr>
        <w:t>第四章 开标</w:t>
      </w:r>
      <w:bookmarkEnd w:id="198"/>
      <w:bookmarkEnd w:id="199"/>
      <w:bookmarkEnd w:id="200"/>
      <w:bookmarkEnd w:id="201"/>
      <w:bookmarkEnd w:id="202"/>
      <w:bookmarkEnd w:id="203"/>
      <w:bookmarkEnd w:id="243"/>
      <w:bookmarkEnd w:id="244"/>
      <w:bookmarkEnd w:id="245"/>
    </w:p>
    <w:p>
      <w:pPr>
        <w:tabs>
          <w:tab w:val="clear" w:pos="426"/>
        </w:tabs>
        <w:rPr>
          <w:highlight w:val="none"/>
        </w:rPr>
      </w:pPr>
      <w:bookmarkStart w:id="246" w:name="_Toc201401388"/>
      <w:bookmarkStart w:id="247" w:name="_Toc201401580"/>
      <w:bookmarkStart w:id="248" w:name="_Toc201997841"/>
      <w:bookmarkStart w:id="249" w:name="_Toc135666633"/>
      <w:bookmarkStart w:id="250" w:name="_Toc134852027"/>
      <w:bookmarkStart w:id="251" w:name="_Toc148954469"/>
      <w:bookmarkStart w:id="252" w:name="_Toc135666820"/>
      <w:bookmarkStart w:id="253" w:name="_Toc148329806"/>
      <w:bookmarkStart w:id="254" w:name="_Toc148954864"/>
      <w:bookmarkStart w:id="255" w:name="_Toc143658460"/>
      <w:bookmarkStart w:id="256" w:name="_Toc188869286"/>
      <w:bookmarkStart w:id="257" w:name="_Toc148413305"/>
      <w:bookmarkStart w:id="258" w:name="_Toc163530307"/>
      <w:bookmarkStart w:id="259" w:name="_Toc148780243"/>
      <w:bookmarkStart w:id="260" w:name="_Toc187729585"/>
      <w:bookmarkStart w:id="261" w:name="_Toc157847825"/>
      <w:bookmarkStart w:id="262" w:name="_Toc148778162"/>
      <w:bookmarkStart w:id="263" w:name="_Toc148779957"/>
      <w:bookmarkStart w:id="264" w:name="_Toc98817939"/>
      <w:bookmarkStart w:id="265" w:name="_Toc73521576"/>
      <w:bookmarkStart w:id="266" w:name="_Toc73521664"/>
      <w:bookmarkStart w:id="267" w:name="_Toc73518146"/>
      <w:bookmarkStart w:id="268" w:name="_Toc73517668"/>
      <w:bookmarkStart w:id="269" w:name="_Toc100052393"/>
      <w:bookmarkStart w:id="270" w:name="_Toc101074882"/>
      <w:r>
        <w:rPr>
          <w:rFonts w:hint="eastAsia"/>
          <w:highlight w:val="none"/>
        </w:rPr>
        <w:t>29．　开标</w:t>
      </w:r>
      <w:bookmarkEnd w:id="246"/>
      <w:bookmarkEnd w:id="247"/>
      <w:bookmarkEnd w:id="248"/>
    </w:p>
    <w:p>
      <w:pPr>
        <w:tabs>
          <w:tab w:val="clear" w:pos="426"/>
        </w:tabs>
        <w:rPr>
          <w:highlight w:val="none"/>
        </w:rPr>
      </w:pPr>
      <w:bookmarkStart w:id="271" w:name="_Toc201401581"/>
      <w:bookmarkStart w:id="272" w:name="_Toc201997842"/>
      <w:bookmarkStart w:id="273" w:name="_Toc201401389"/>
      <w:r>
        <w:rPr>
          <w:rFonts w:hint="eastAsia"/>
          <w:highlight w:val="none"/>
        </w:rPr>
        <w:t>29.1  采购人在“投标须知前附表”中规定的时间、地点组织公开开标。邀请所有投标人代表参加。不参加开标会的投标人，视为其认可开标程序和结果。</w:t>
      </w:r>
      <w:bookmarkEnd w:id="271"/>
      <w:bookmarkEnd w:id="272"/>
      <w:bookmarkEnd w:id="273"/>
    </w:p>
    <w:p>
      <w:pPr>
        <w:tabs>
          <w:tab w:val="clear" w:pos="426"/>
        </w:tabs>
        <w:rPr>
          <w:highlight w:val="none"/>
        </w:rPr>
      </w:pPr>
      <w:bookmarkStart w:id="274" w:name="_Toc201401390"/>
      <w:bookmarkStart w:id="275" w:name="_Toc201401582"/>
      <w:bookmarkStart w:id="276" w:name="_Toc201997843"/>
      <w:r>
        <w:rPr>
          <w:rFonts w:hint="eastAsia"/>
          <w:highlight w:val="none"/>
        </w:rPr>
        <w:t>29.2  参加开标会议的投标人只委派一名代表，且必须是本单位法定代表人或授权代表，参加会议人员须提供相应的授权委托书。</w:t>
      </w:r>
    </w:p>
    <w:bookmarkEnd w:id="274"/>
    <w:bookmarkEnd w:id="275"/>
    <w:bookmarkEnd w:id="276"/>
    <w:p>
      <w:pPr>
        <w:tabs>
          <w:tab w:val="clear" w:pos="426"/>
        </w:tabs>
        <w:rPr>
          <w:highlight w:val="none"/>
        </w:rPr>
      </w:pPr>
      <w:r>
        <w:rPr>
          <w:rFonts w:hint="eastAsia"/>
          <w:highlight w:val="none"/>
        </w:rPr>
        <w:t>29.3  开标会由采购代理机构主持，开标程序如下：</w:t>
      </w:r>
    </w:p>
    <w:p>
      <w:pPr>
        <w:tabs>
          <w:tab w:val="clear" w:pos="426"/>
        </w:tabs>
        <w:rPr>
          <w:highlight w:val="none"/>
        </w:rPr>
      </w:pPr>
      <w:r>
        <w:rPr>
          <w:rFonts w:hint="eastAsia"/>
          <w:highlight w:val="none"/>
        </w:rPr>
        <w:t xml:space="preserve">29.3.1  采购代理机构核对法人代表或其授权代表身份证明，若不能提供相应的身份证明或不相符，则不能参与开标会议； </w:t>
      </w:r>
    </w:p>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Pr>
        <w:tabs>
          <w:tab w:val="clear" w:pos="426"/>
        </w:tabs>
        <w:rPr>
          <w:color w:val="000000"/>
          <w:szCs w:val="21"/>
          <w:highlight w:val="none"/>
        </w:rPr>
      </w:pPr>
      <w:r>
        <w:rPr>
          <w:rFonts w:hint="eastAsia"/>
          <w:color w:val="000000"/>
          <w:szCs w:val="21"/>
          <w:highlight w:val="none"/>
        </w:rPr>
        <w:t>29.3.2  招标机构将按“采购公告”规定的时间和地点组织公开开标。投标人应委派代表参加，参加开标的代表应签名报到以证明出席。</w:t>
      </w:r>
    </w:p>
    <w:p>
      <w:pPr>
        <w:tabs>
          <w:tab w:val="clear" w:pos="426"/>
        </w:tabs>
        <w:rPr>
          <w:color w:val="000000"/>
          <w:szCs w:val="21"/>
          <w:highlight w:val="none"/>
        </w:rPr>
      </w:pPr>
      <w:r>
        <w:rPr>
          <w:rFonts w:hint="eastAsia"/>
          <w:color w:val="000000"/>
          <w:szCs w:val="21"/>
          <w:highlight w:val="none"/>
        </w:rPr>
        <w:t>29.3.3  开标时，招标机构将当众宣读投标人名称、修改和撤回投标的通知、开标一览表（以招标文件规定的开标一览表内容为准）。投标文件中开标一览表内容与投标报价明细表内容不一致的，以开标一览表为准。</w:t>
      </w:r>
    </w:p>
    <w:p>
      <w:pPr>
        <w:tabs>
          <w:tab w:val="clear" w:pos="426"/>
        </w:tabs>
        <w:ind w:firstLine="411" w:firstLineChars="196"/>
        <w:rPr>
          <w:color w:val="000000"/>
          <w:szCs w:val="21"/>
          <w:highlight w:val="none"/>
        </w:rPr>
      </w:pPr>
      <w:r>
        <w:rPr>
          <w:rFonts w:hint="eastAsia"/>
          <w:color w:val="000000"/>
          <w:szCs w:val="21"/>
          <w:highlight w:val="none"/>
        </w:rPr>
        <w:t>除了按照本通用条款第26条规定原封退回的投标之外，开标时将不得拒绝任何投标书。</w:t>
      </w:r>
    </w:p>
    <w:p>
      <w:pPr>
        <w:tabs>
          <w:tab w:val="clear" w:pos="426"/>
        </w:tabs>
        <w:rPr>
          <w:color w:val="000000"/>
          <w:szCs w:val="21"/>
          <w:highlight w:val="none"/>
        </w:rPr>
      </w:pPr>
      <w:r>
        <w:rPr>
          <w:color w:val="000000"/>
          <w:szCs w:val="21"/>
          <w:highlight w:val="none"/>
        </w:rPr>
        <w:t>2</w:t>
      </w:r>
      <w:r>
        <w:rPr>
          <w:rFonts w:hint="eastAsia"/>
          <w:color w:val="000000"/>
          <w:szCs w:val="21"/>
          <w:highlight w:val="none"/>
        </w:rPr>
        <w:t>9</w:t>
      </w:r>
      <w:r>
        <w:rPr>
          <w:color w:val="000000"/>
          <w:szCs w:val="21"/>
          <w:highlight w:val="none"/>
        </w:rPr>
        <w:t>.3</w:t>
      </w:r>
      <w:r>
        <w:rPr>
          <w:rFonts w:hint="eastAsia"/>
          <w:color w:val="000000"/>
          <w:szCs w:val="21"/>
          <w:highlight w:val="none"/>
        </w:rPr>
        <w:t xml:space="preserve">.4 </w:t>
      </w:r>
      <w:r>
        <w:rPr>
          <w:color w:val="000000"/>
          <w:szCs w:val="21"/>
          <w:highlight w:val="none"/>
        </w:rPr>
        <w:t xml:space="preserve"> </w:t>
      </w:r>
      <w:r>
        <w:rPr>
          <w:rFonts w:hint="eastAsia"/>
          <w:color w:val="000000"/>
          <w:szCs w:val="21"/>
          <w:highlight w:val="none"/>
        </w:rPr>
        <w:t>开标时，招标机构仅拆封开标信封。如投标人未单独密封包装开标信封，招标机构有权拆封投标文件。</w:t>
      </w:r>
    </w:p>
    <w:p>
      <w:pPr>
        <w:tabs>
          <w:tab w:val="clear" w:pos="426"/>
        </w:tabs>
        <w:rPr>
          <w:color w:val="000000"/>
          <w:szCs w:val="21"/>
          <w:highlight w:val="none"/>
        </w:rPr>
      </w:pPr>
      <w:r>
        <w:rPr>
          <w:color w:val="000000"/>
          <w:szCs w:val="21"/>
          <w:highlight w:val="none"/>
        </w:rPr>
        <w:t>2</w:t>
      </w:r>
      <w:r>
        <w:rPr>
          <w:rFonts w:hint="eastAsia"/>
          <w:color w:val="000000"/>
          <w:szCs w:val="21"/>
          <w:highlight w:val="none"/>
        </w:rPr>
        <w:t>9</w:t>
      </w:r>
      <w:r>
        <w:rPr>
          <w:color w:val="000000"/>
          <w:szCs w:val="21"/>
          <w:highlight w:val="none"/>
        </w:rPr>
        <w:t>.</w:t>
      </w:r>
      <w:r>
        <w:rPr>
          <w:rFonts w:hint="eastAsia"/>
          <w:color w:val="000000"/>
          <w:szCs w:val="21"/>
          <w:highlight w:val="none"/>
        </w:rPr>
        <w:t>3.5</w:t>
      </w:r>
      <w:r>
        <w:rPr>
          <w:color w:val="000000"/>
          <w:szCs w:val="21"/>
          <w:highlight w:val="none"/>
        </w:rPr>
        <w:t xml:space="preserve">  </w:t>
      </w:r>
      <w:r>
        <w:rPr>
          <w:rFonts w:hint="eastAsia"/>
          <w:color w:val="000000"/>
          <w:szCs w:val="21"/>
          <w:highlight w:val="none"/>
        </w:rPr>
        <w:t>按照投标人须知第</w:t>
      </w:r>
      <w:r>
        <w:rPr>
          <w:color w:val="000000"/>
          <w:szCs w:val="21"/>
          <w:highlight w:val="none"/>
        </w:rPr>
        <w:t>2</w:t>
      </w:r>
      <w:r>
        <w:rPr>
          <w:rFonts w:hint="eastAsia"/>
          <w:color w:val="000000"/>
          <w:szCs w:val="21"/>
          <w:highlight w:val="none"/>
        </w:rPr>
        <w:t>8条规定，提交了可接受的“撤回”通知的投标将不予开封。</w:t>
      </w:r>
    </w:p>
    <w:p>
      <w:pPr>
        <w:tabs>
          <w:tab w:val="clear" w:pos="426"/>
        </w:tabs>
        <w:rPr>
          <w:color w:val="000000"/>
          <w:szCs w:val="21"/>
          <w:highlight w:val="none"/>
        </w:rPr>
      </w:pPr>
      <w:r>
        <w:rPr>
          <w:color w:val="000000"/>
          <w:szCs w:val="21"/>
          <w:highlight w:val="none"/>
        </w:rPr>
        <w:t>2</w:t>
      </w:r>
      <w:r>
        <w:rPr>
          <w:rFonts w:hint="eastAsia"/>
          <w:color w:val="000000"/>
          <w:szCs w:val="21"/>
          <w:highlight w:val="none"/>
        </w:rPr>
        <w:t>9</w:t>
      </w:r>
      <w:r>
        <w:rPr>
          <w:color w:val="000000"/>
          <w:szCs w:val="21"/>
          <w:highlight w:val="none"/>
        </w:rPr>
        <w:t>.</w:t>
      </w:r>
      <w:r>
        <w:rPr>
          <w:rFonts w:hint="eastAsia"/>
          <w:color w:val="000000"/>
          <w:szCs w:val="21"/>
          <w:highlight w:val="none"/>
        </w:rPr>
        <w:t xml:space="preserve">3.6 </w:t>
      </w:r>
      <w:r>
        <w:rPr>
          <w:color w:val="000000"/>
          <w:szCs w:val="21"/>
          <w:highlight w:val="none"/>
        </w:rPr>
        <w:t xml:space="preserve"> </w:t>
      </w:r>
      <w:r>
        <w:rPr>
          <w:rFonts w:hint="eastAsia"/>
          <w:color w:val="000000"/>
          <w:szCs w:val="21"/>
          <w:highlight w:val="none"/>
        </w:rPr>
        <w:t>无论如何在开标时没有启封和读出的投标书在评标时将不予考虑。撤回的投标书将原封退回投标人。</w:t>
      </w:r>
    </w:p>
    <w:p>
      <w:pPr>
        <w:tabs>
          <w:tab w:val="clear" w:pos="426"/>
        </w:tabs>
        <w:rPr>
          <w:color w:val="000000"/>
          <w:szCs w:val="21"/>
          <w:highlight w:val="none"/>
        </w:rPr>
      </w:pPr>
      <w:r>
        <w:rPr>
          <w:color w:val="000000"/>
          <w:szCs w:val="21"/>
          <w:highlight w:val="none"/>
        </w:rPr>
        <w:t>2</w:t>
      </w:r>
      <w:r>
        <w:rPr>
          <w:rFonts w:hint="eastAsia"/>
          <w:color w:val="000000"/>
          <w:szCs w:val="21"/>
          <w:highlight w:val="none"/>
        </w:rPr>
        <w:t>9.3.7</w:t>
      </w:r>
      <w:r>
        <w:rPr>
          <w:color w:val="000000"/>
          <w:szCs w:val="21"/>
          <w:highlight w:val="none"/>
        </w:rPr>
        <w:t xml:space="preserve">  </w:t>
      </w:r>
      <w:r>
        <w:rPr>
          <w:rFonts w:hint="eastAsia"/>
          <w:color w:val="000000"/>
          <w:szCs w:val="21"/>
          <w:highlight w:val="none"/>
        </w:rPr>
        <w:t>招标机构将做开标记录，开标记录包括按本通用条款第</w:t>
      </w:r>
      <w:r>
        <w:rPr>
          <w:color w:val="000000"/>
          <w:szCs w:val="21"/>
          <w:highlight w:val="none"/>
        </w:rPr>
        <w:t>2</w:t>
      </w:r>
      <w:r>
        <w:rPr>
          <w:rFonts w:hint="eastAsia"/>
          <w:color w:val="000000"/>
          <w:szCs w:val="21"/>
          <w:highlight w:val="none"/>
        </w:rPr>
        <w:t>9</w:t>
      </w:r>
      <w:r>
        <w:rPr>
          <w:color w:val="000000"/>
          <w:szCs w:val="21"/>
          <w:highlight w:val="none"/>
        </w:rPr>
        <w:t>.</w:t>
      </w:r>
      <w:r>
        <w:rPr>
          <w:rFonts w:hint="eastAsia"/>
          <w:color w:val="000000"/>
          <w:szCs w:val="21"/>
          <w:highlight w:val="none"/>
        </w:rPr>
        <w:t>3.3的规定在开标时宣读的全部内容。</w:t>
      </w:r>
    </w:p>
    <w:p>
      <w:pPr>
        <w:tabs>
          <w:tab w:val="clear" w:pos="426"/>
        </w:tabs>
        <w:rPr>
          <w:highlight w:val="none"/>
        </w:rPr>
      </w:pPr>
      <w:r>
        <w:rPr>
          <w:rFonts w:hint="eastAsia"/>
          <w:highlight w:val="none"/>
        </w:rPr>
        <w:t>29.3.8  供应商在开标过程中知道或者应知其权益受到损害时必须现场明确提出，未明确提出的，即视为认可开标结果。</w:t>
      </w:r>
    </w:p>
    <w:p>
      <w:pPr>
        <w:pStyle w:val="4"/>
        <w:tabs>
          <w:tab w:val="clear" w:pos="426"/>
        </w:tabs>
        <w:rPr>
          <w:highlight w:val="none"/>
        </w:rPr>
      </w:pPr>
      <w:bookmarkStart w:id="277" w:name="_Toc398220533"/>
      <w:bookmarkStart w:id="278" w:name="_Toc27349"/>
      <w:bookmarkStart w:id="279" w:name="_Toc432592825"/>
      <w:r>
        <w:rPr>
          <w:rFonts w:hint="eastAsia"/>
          <w:highlight w:val="none"/>
        </w:rPr>
        <w:t>第五章 评标</w:t>
      </w:r>
      <w:bookmarkEnd w:id="265"/>
      <w:bookmarkEnd w:id="266"/>
      <w:bookmarkEnd w:id="267"/>
      <w:bookmarkEnd w:id="268"/>
      <w:r>
        <w:rPr>
          <w:rFonts w:hint="eastAsia"/>
          <w:highlight w:val="none"/>
        </w:rPr>
        <w:t>要求</w:t>
      </w:r>
      <w:bookmarkEnd w:id="269"/>
      <w:bookmarkEnd w:id="270"/>
      <w:bookmarkEnd w:id="277"/>
      <w:bookmarkEnd w:id="278"/>
      <w:bookmarkEnd w:id="279"/>
    </w:p>
    <w:p>
      <w:pPr>
        <w:tabs>
          <w:tab w:val="clear" w:pos="426"/>
        </w:tabs>
        <w:rPr>
          <w:highlight w:val="none"/>
        </w:rPr>
      </w:pPr>
      <w:bookmarkStart w:id="280" w:name="bt评标会议"/>
      <w:bookmarkEnd w:id="280"/>
      <w:bookmarkStart w:id="281" w:name="_Toc100052394"/>
      <w:bookmarkStart w:id="282" w:name="_Toc73518147"/>
      <w:bookmarkStart w:id="283" w:name="_Toc73517669"/>
      <w:bookmarkStart w:id="284" w:name="_Toc73521577"/>
      <w:bookmarkStart w:id="285" w:name="_Toc73521665"/>
      <w:r>
        <w:rPr>
          <w:rFonts w:hint="eastAsia"/>
          <w:highlight w:val="none"/>
        </w:rPr>
        <w:t>30．评标委员会组成</w:t>
      </w:r>
    </w:p>
    <w:p>
      <w:pPr>
        <w:tabs>
          <w:tab w:val="clear" w:pos="426"/>
        </w:tabs>
        <w:rPr>
          <w:highlight w:val="none"/>
        </w:rPr>
      </w:pPr>
      <w:r>
        <w:rPr>
          <w:rFonts w:hint="eastAsia"/>
          <w:highlight w:val="none"/>
        </w:rPr>
        <w:t>30.1开标结束后召开评标会议，评标委员会由采购代理机构依法组建，负责评标活动。</w:t>
      </w:r>
    </w:p>
    <w:p>
      <w:pPr>
        <w:tabs>
          <w:tab w:val="clear" w:pos="426"/>
        </w:tabs>
        <w:rPr>
          <w:highlight w:val="none"/>
        </w:rPr>
      </w:pPr>
      <w:r>
        <w:rPr>
          <w:rFonts w:hint="eastAsia"/>
          <w:highlight w:val="none"/>
        </w:rPr>
        <w:t>评标委员会的组成及行为规范执行《关于印发</w:t>
      </w:r>
      <w:r>
        <w:rPr>
          <w:highlight w:val="none"/>
        </w:rPr>
        <w:t>&lt;</w:t>
      </w:r>
      <w:r>
        <w:rPr>
          <w:rFonts w:hint="eastAsia"/>
          <w:highlight w:val="none"/>
        </w:rPr>
        <w:t>深圳市政府采购评标委员会和评标方法暂行规定</w:t>
      </w:r>
      <w:r>
        <w:rPr>
          <w:highlight w:val="none"/>
        </w:rPr>
        <w:t>&gt;</w:t>
      </w:r>
      <w:r>
        <w:rPr>
          <w:rFonts w:hint="eastAsia"/>
          <w:highlight w:val="none"/>
        </w:rPr>
        <w:t>的通知》</w:t>
      </w:r>
      <w:r>
        <w:rPr>
          <w:highlight w:val="none"/>
        </w:rPr>
        <w:t>(</w:t>
      </w:r>
      <w:r>
        <w:rPr>
          <w:rFonts w:hint="eastAsia"/>
          <w:highlight w:val="none"/>
        </w:rPr>
        <w:t>深财购</w:t>
      </w:r>
      <w:r>
        <w:rPr>
          <w:highlight w:val="none"/>
        </w:rPr>
        <w:t>〔2005〕5</w:t>
      </w:r>
      <w:r>
        <w:rPr>
          <w:rFonts w:hint="eastAsia"/>
          <w:highlight w:val="none"/>
        </w:rPr>
        <w:t>号</w:t>
      </w:r>
      <w:r>
        <w:rPr>
          <w:highlight w:val="none"/>
        </w:rPr>
        <w:t>)</w:t>
      </w:r>
      <w:r>
        <w:rPr>
          <w:rFonts w:hint="eastAsia"/>
          <w:highlight w:val="none"/>
        </w:rPr>
        <w:t>，评标委员会由采购单位代表和有关技术、经济等方面的专家组成，成员人数为</w:t>
      </w:r>
      <w:r>
        <w:rPr>
          <w:highlight w:val="none"/>
        </w:rPr>
        <w:t>5</w:t>
      </w:r>
      <w:r>
        <w:rPr>
          <w:rFonts w:hint="eastAsia"/>
          <w:highlight w:val="none"/>
        </w:rPr>
        <w:t>人以上（含</w:t>
      </w:r>
      <w:r>
        <w:rPr>
          <w:highlight w:val="none"/>
        </w:rPr>
        <w:t>5</w:t>
      </w:r>
      <w:r>
        <w:rPr>
          <w:rFonts w:hint="eastAsia"/>
          <w:highlight w:val="none"/>
        </w:rPr>
        <w:t>人）单数，其中技术、经济等方面的专家不少于成员总数的三分之二。</w:t>
      </w:r>
    </w:p>
    <w:p>
      <w:pPr>
        <w:tabs>
          <w:tab w:val="clear" w:pos="426"/>
        </w:tabs>
        <w:rPr>
          <w:highlight w:val="none"/>
        </w:rPr>
      </w:pPr>
      <w:r>
        <w:rPr>
          <w:rFonts w:hint="eastAsia"/>
          <w:highlight w:val="none"/>
        </w:rPr>
        <w:t>为保证评委人选的专业性，以及评标中的公平公正性，评标委员会成员从深圳市财政委员会评标专家库中随机抽取。</w:t>
      </w:r>
    </w:p>
    <w:p>
      <w:pPr>
        <w:tabs>
          <w:tab w:val="clear" w:pos="426"/>
        </w:tabs>
        <w:rPr>
          <w:highlight w:val="none"/>
        </w:rPr>
      </w:pPr>
      <w:r>
        <w:rPr>
          <w:rFonts w:hint="eastAsia"/>
          <w:highlight w:val="none"/>
        </w:rPr>
        <w:t>采购单位代表须持本单位签发的《评标授权书》参加评标。</w:t>
      </w:r>
    </w:p>
    <w:p>
      <w:pPr>
        <w:tabs>
          <w:tab w:val="clear" w:pos="426"/>
        </w:tabs>
        <w:rPr>
          <w:highlight w:val="none"/>
        </w:rPr>
      </w:pPr>
      <w:r>
        <w:rPr>
          <w:rFonts w:hint="eastAsia"/>
          <w:highlight w:val="none"/>
        </w:rPr>
        <w:t>采购单位无代表参与评标，应在开标前一天提交《采购单位不派评委参与项目评标承诺书》给采购代理机构。</w:t>
      </w:r>
    </w:p>
    <w:p>
      <w:pPr>
        <w:tabs>
          <w:tab w:val="clear" w:pos="426"/>
        </w:tabs>
        <w:rPr>
          <w:sz w:val="24"/>
          <w:highlight w:val="none"/>
        </w:rPr>
      </w:pPr>
      <w:r>
        <w:rPr>
          <w:rFonts w:hint="eastAsia"/>
          <w:highlight w:val="none"/>
        </w:rPr>
        <w:t>注：《评标授权书》《采购单位不派评委参与项目评标承诺书》模板可以从“深圳市政府采购中心网站”（</w:t>
      </w:r>
      <w:r>
        <w:rPr>
          <w:highlight w:val="none"/>
        </w:rPr>
        <w:t>http://</w:t>
      </w:r>
      <w:r>
        <w:rPr>
          <w:rFonts w:hint="eastAsia"/>
          <w:highlight w:val="none"/>
        </w:rPr>
        <w:t>www</w:t>
      </w:r>
      <w:r>
        <w:rPr>
          <w:highlight w:val="none"/>
        </w:rPr>
        <w:t>.szzfcg.cn/</w:t>
      </w:r>
      <w:r>
        <w:rPr>
          <w:rFonts w:hint="eastAsia"/>
          <w:highlight w:val="none"/>
        </w:rPr>
        <w:t>）采购单位页面下“采购”环节“通用表格”处下载</w:t>
      </w:r>
      <w:r>
        <w:rPr>
          <w:rFonts w:hint="eastAsia"/>
          <w:sz w:val="24"/>
          <w:highlight w:val="none"/>
        </w:rPr>
        <w:t>。</w:t>
      </w:r>
    </w:p>
    <w:p>
      <w:pPr>
        <w:tabs>
          <w:tab w:val="clear" w:pos="426"/>
        </w:tabs>
        <w:rPr>
          <w:highlight w:val="none"/>
        </w:rPr>
      </w:pPr>
      <w:r>
        <w:rPr>
          <w:rFonts w:hint="eastAsia"/>
          <w:highlight w:val="none"/>
        </w:rPr>
        <w:t>30.2评标定标应当遵循公平、公正、科学、择优的原则。</w:t>
      </w:r>
    </w:p>
    <w:p>
      <w:pPr>
        <w:tabs>
          <w:tab w:val="clear" w:pos="426"/>
        </w:tabs>
        <w:rPr>
          <w:highlight w:val="none"/>
        </w:rPr>
      </w:pPr>
      <w:r>
        <w:rPr>
          <w:rFonts w:hint="eastAsia"/>
          <w:highlight w:val="none"/>
        </w:rPr>
        <w:t>30.3评标活动依法进行，任何单位和个人不得非法干预评标过程和结果。</w:t>
      </w:r>
    </w:p>
    <w:p>
      <w:pPr>
        <w:tabs>
          <w:tab w:val="clear" w:pos="426"/>
        </w:tabs>
        <w:rPr>
          <w:highlight w:val="none"/>
        </w:rPr>
      </w:pPr>
      <w:r>
        <w:rPr>
          <w:rFonts w:hint="eastAsia"/>
          <w:highlight w:val="none"/>
        </w:rPr>
        <w:t>30.4评标过程中不允许违背评标程序或采用招标文件未载明的评标方法或评标因素进行评标。</w:t>
      </w:r>
    </w:p>
    <w:p>
      <w:pPr>
        <w:tabs>
          <w:tab w:val="clear" w:pos="426"/>
        </w:tabs>
        <w:rPr>
          <w:highlight w:val="none"/>
        </w:rPr>
      </w:pPr>
      <w:r>
        <w:rPr>
          <w:rFonts w:hint="eastAsia"/>
          <w:highlight w:val="none"/>
        </w:rPr>
        <w:t>30.5 开标后，直到授予中标人合同为止，凡属于对投标文件的审查、澄清、评价和比较的有关资料以及中标候选人的推荐情况、与评标有关的其他任何情况均严格保密。</w:t>
      </w:r>
    </w:p>
    <w:p>
      <w:pPr>
        <w:tabs>
          <w:tab w:val="clear" w:pos="426"/>
        </w:tabs>
        <w:rPr>
          <w:highlight w:val="none"/>
        </w:rPr>
      </w:pPr>
      <w:r>
        <w:rPr>
          <w:rFonts w:hint="eastAsia"/>
          <w:highlight w:val="none"/>
        </w:rPr>
        <w:t>31．向评标委员会提供的资料</w:t>
      </w:r>
    </w:p>
    <w:p>
      <w:pPr>
        <w:tabs>
          <w:tab w:val="clear" w:pos="426"/>
        </w:tabs>
        <w:rPr>
          <w:highlight w:val="none"/>
        </w:rPr>
      </w:pPr>
      <w:r>
        <w:rPr>
          <w:rFonts w:hint="eastAsia"/>
          <w:highlight w:val="none"/>
        </w:rPr>
        <w:t>31.1公开发布的招标文件，包括图纸、服务清单、答疑文件等；</w:t>
      </w:r>
    </w:p>
    <w:p>
      <w:pPr>
        <w:tabs>
          <w:tab w:val="clear" w:pos="426"/>
        </w:tabs>
        <w:rPr>
          <w:highlight w:val="none"/>
        </w:rPr>
      </w:pPr>
      <w:r>
        <w:rPr>
          <w:rFonts w:hint="eastAsia"/>
          <w:highlight w:val="none"/>
        </w:rPr>
        <w:t>31.2其他评标必须的资料。</w:t>
      </w:r>
    </w:p>
    <w:p>
      <w:pPr>
        <w:tabs>
          <w:tab w:val="clear" w:pos="426"/>
        </w:tabs>
        <w:rPr>
          <w:highlight w:val="none"/>
        </w:rPr>
      </w:pPr>
      <w:r>
        <w:rPr>
          <w:rFonts w:hint="eastAsia"/>
          <w:highlight w:val="none"/>
        </w:rPr>
        <w:t>31.3评标委员会应当认真研究招标文件，至少应了解熟悉以下内容：</w:t>
      </w:r>
    </w:p>
    <w:p>
      <w:pPr>
        <w:tabs>
          <w:tab w:val="clear" w:pos="426"/>
        </w:tabs>
        <w:rPr>
          <w:highlight w:val="none"/>
        </w:rPr>
      </w:pPr>
      <w:r>
        <w:rPr>
          <w:rFonts w:hint="eastAsia"/>
          <w:highlight w:val="none"/>
        </w:rPr>
        <w:t>（1）招标的目的；</w:t>
      </w:r>
    </w:p>
    <w:p>
      <w:pPr>
        <w:tabs>
          <w:tab w:val="clear" w:pos="426"/>
        </w:tabs>
        <w:rPr>
          <w:highlight w:val="none"/>
        </w:rPr>
      </w:pPr>
      <w:r>
        <w:rPr>
          <w:rFonts w:hint="eastAsia"/>
          <w:highlight w:val="none"/>
        </w:rPr>
        <w:t>（2）招标项目需求的范围和性质；</w:t>
      </w:r>
    </w:p>
    <w:p>
      <w:pPr>
        <w:tabs>
          <w:tab w:val="clear" w:pos="426"/>
        </w:tabs>
        <w:rPr>
          <w:highlight w:val="none"/>
        </w:rPr>
      </w:pPr>
      <w:r>
        <w:rPr>
          <w:rFonts w:hint="eastAsia"/>
          <w:highlight w:val="none"/>
        </w:rPr>
        <w:t>（3）招标文件规定的投标人的资格、财政预算限额、商务条款；</w:t>
      </w:r>
    </w:p>
    <w:p>
      <w:pPr>
        <w:tabs>
          <w:tab w:val="clear" w:pos="426"/>
        </w:tabs>
        <w:rPr>
          <w:highlight w:val="none"/>
        </w:rPr>
      </w:pPr>
      <w:r>
        <w:rPr>
          <w:rFonts w:hint="eastAsia"/>
          <w:highlight w:val="none"/>
        </w:rPr>
        <w:t>（4）招标文件规定的评标程序、评标方法和评标因素；</w:t>
      </w:r>
    </w:p>
    <w:p>
      <w:pPr>
        <w:tabs>
          <w:tab w:val="clear" w:pos="426"/>
        </w:tabs>
        <w:rPr>
          <w:highlight w:val="none"/>
        </w:rPr>
      </w:pPr>
      <w:r>
        <w:rPr>
          <w:rFonts w:hint="eastAsia"/>
          <w:highlight w:val="none"/>
        </w:rPr>
        <w:t>（5）招标文件所列示的投标文件“资格、符合性评审条款”。</w:t>
      </w:r>
    </w:p>
    <w:p>
      <w:pPr>
        <w:tabs>
          <w:tab w:val="clear" w:pos="426"/>
        </w:tabs>
        <w:rPr>
          <w:highlight w:val="none"/>
        </w:rPr>
      </w:pPr>
      <w:r>
        <w:rPr>
          <w:rFonts w:hint="eastAsia"/>
          <w:highlight w:val="none"/>
        </w:rPr>
        <w:t>32．独立评标</w:t>
      </w:r>
    </w:p>
    <w:p>
      <w:pPr>
        <w:tabs>
          <w:tab w:val="clear" w:pos="426"/>
        </w:tabs>
        <w:rPr>
          <w:szCs w:val="21"/>
          <w:highlight w:val="none"/>
        </w:rPr>
      </w:pPr>
      <w:r>
        <w:rPr>
          <w:rFonts w:hint="eastAsia"/>
          <w:highlight w:val="none"/>
        </w:rPr>
        <w:t>32.1评标委员会成员的评标活动应当独立进行，并应遵循投标文件初审、澄清有关问题、比较与评价、确定中标候选供应商、编写评标报告的工作程序。</w:t>
      </w:r>
      <w:bookmarkEnd w:id="281"/>
      <w:bookmarkEnd w:id="282"/>
      <w:bookmarkEnd w:id="283"/>
      <w:bookmarkEnd w:id="284"/>
      <w:bookmarkEnd w:id="285"/>
      <w:bookmarkStart w:id="286" w:name="bt错误的修正"/>
      <w:bookmarkEnd w:id="286"/>
      <w:bookmarkStart w:id="287" w:name="bt评标过程的保密"/>
      <w:bookmarkEnd w:id="287"/>
    </w:p>
    <w:p>
      <w:pPr>
        <w:pStyle w:val="4"/>
        <w:tabs>
          <w:tab w:val="clear" w:pos="426"/>
        </w:tabs>
        <w:rPr>
          <w:highlight w:val="none"/>
        </w:rPr>
      </w:pPr>
      <w:bookmarkStart w:id="288" w:name="_Toc101074883"/>
      <w:bookmarkStart w:id="289" w:name="_Toc100052397"/>
      <w:bookmarkStart w:id="290" w:name="_Toc398220534"/>
      <w:bookmarkStart w:id="291" w:name="_Toc20643"/>
      <w:bookmarkStart w:id="292" w:name="_Toc432592826"/>
      <w:r>
        <w:rPr>
          <w:rFonts w:hint="eastAsia"/>
          <w:highlight w:val="none"/>
        </w:rPr>
        <w:t>第六章 评标程序</w:t>
      </w:r>
      <w:bookmarkStart w:id="293" w:name="bt投标文件的审查"/>
      <w:bookmarkEnd w:id="293"/>
      <w:bookmarkStart w:id="294" w:name="_Toc73521667"/>
      <w:bookmarkStart w:id="295" w:name="_Toc73521579"/>
      <w:bookmarkStart w:id="296" w:name="_Toc73517671"/>
      <w:bookmarkStart w:id="297" w:name="_Toc73518149"/>
      <w:r>
        <w:rPr>
          <w:rFonts w:hint="eastAsia"/>
          <w:highlight w:val="none"/>
        </w:rPr>
        <w:t>及评标方法</w:t>
      </w:r>
      <w:bookmarkEnd w:id="288"/>
      <w:bookmarkEnd w:id="289"/>
      <w:bookmarkEnd w:id="290"/>
      <w:bookmarkEnd w:id="291"/>
      <w:bookmarkEnd w:id="292"/>
    </w:p>
    <w:p>
      <w:pPr>
        <w:tabs>
          <w:tab w:val="clear" w:pos="426"/>
        </w:tabs>
        <w:rPr>
          <w:highlight w:val="none"/>
        </w:rPr>
      </w:pPr>
      <w:bookmarkStart w:id="298" w:name="_Toc100052398"/>
      <w:r>
        <w:rPr>
          <w:rFonts w:hint="eastAsia"/>
          <w:highlight w:val="none"/>
        </w:rPr>
        <w:t>33．投标文件初审</w:t>
      </w:r>
      <w:bookmarkEnd w:id="298"/>
    </w:p>
    <w:bookmarkEnd w:id="294"/>
    <w:bookmarkEnd w:id="295"/>
    <w:bookmarkEnd w:id="296"/>
    <w:bookmarkEnd w:id="297"/>
    <w:p>
      <w:pPr>
        <w:widowControl w:val="0"/>
        <w:shd w:val="clear" w:color="auto" w:fill="auto"/>
        <w:tabs>
          <w:tab w:val="clear" w:pos="426"/>
        </w:tabs>
        <w:autoSpaceDE w:val="0"/>
        <w:autoSpaceDN w:val="0"/>
        <w:rPr>
          <w:rFonts w:cs="黑体"/>
          <w:b/>
          <w:bCs/>
          <w:szCs w:val="21"/>
          <w:highlight w:val="none"/>
        </w:rPr>
      </w:pPr>
      <w:r>
        <w:rPr>
          <w:rFonts w:hint="eastAsia"/>
          <w:highlight w:val="none"/>
        </w:rPr>
        <w:t xml:space="preserve">33.1 </w:t>
      </w:r>
      <w:r>
        <w:rPr>
          <w:rFonts w:hint="eastAsia"/>
          <w:szCs w:val="21"/>
          <w:highlight w:val="none"/>
          <w:lang w:eastAsia="zh-TW"/>
        </w:rPr>
        <w:t>评标委员会将</w:t>
      </w:r>
      <w:r>
        <w:rPr>
          <w:rFonts w:hint="eastAsia"/>
          <w:szCs w:val="21"/>
          <w:highlight w:val="none"/>
        </w:rPr>
        <w:t>依法对投标文件进行初审。</w:t>
      </w:r>
      <w:r>
        <w:rPr>
          <w:rFonts w:hint="eastAsia"/>
          <w:highlight w:val="none"/>
        </w:rPr>
        <w:t>投标文件初审包括资格性审查和符合性审查，资格性审查：依据法律法规和招标文件的规定，对投标文件中的资格证明、投标保证金等进行审查，以确定投标人是否具备投标资格。符合性审查：依据招标文件的规定，从投标文件的有效性、完整性和对招标文件的响应程度进行审查，以确定是否对招标文件的实质性要求作出响应。</w:t>
      </w:r>
    </w:p>
    <w:p>
      <w:pPr>
        <w:tabs>
          <w:tab w:val="clear" w:pos="426"/>
        </w:tabs>
        <w:rPr>
          <w:b/>
          <w:highlight w:val="none"/>
        </w:rPr>
      </w:pPr>
      <w:r>
        <w:rPr>
          <w:rFonts w:hint="eastAsia"/>
          <w:highlight w:val="none"/>
        </w:rPr>
        <w:t>33.2 投标文件初审内容请详见“</w:t>
      </w:r>
      <w:r>
        <w:rPr>
          <w:rFonts w:hint="eastAsia"/>
          <w:b/>
          <w:highlight w:val="none"/>
        </w:rPr>
        <w:t>资格、符合性评审条款</w:t>
      </w:r>
      <w:r>
        <w:rPr>
          <w:rFonts w:hint="eastAsia"/>
          <w:highlight w:val="none"/>
        </w:rPr>
        <w:t>”。投标人若有一条审查不通过则按无效标处理。评标委员会对投标单位打√为通过审查，打×为未通过审查。</w:t>
      </w:r>
    </w:p>
    <w:p>
      <w:pPr>
        <w:tabs>
          <w:tab w:val="clear" w:pos="426"/>
        </w:tabs>
        <w:rPr>
          <w:highlight w:val="none"/>
        </w:rPr>
      </w:pPr>
      <w:r>
        <w:rPr>
          <w:highlight w:val="none"/>
        </w:rPr>
        <w:t>33.3 投标文件初审中关于供应商家数的计算</w:t>
      </w:r>
    </w:p>
    <w:p>
      <w:pPr>
        <w:tabs>
          <w:tab w:val="clear" w:pos="426"/>
        </w:tabs>
        <w:rPr>
          <w:highlight w:val="none"/>
        </w:rPr>
      </w:pPr>
      <w:r>
        <w:rPr>
          <w:highlight w:val="none"/>
        </w:rPr>
        <w:t>33.3.1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tabs>
          <w:tab w:val="clear" w:pos="426"/>
        </w:tabs>
        <w:rPr>
          <w:highlight w:val="none"/>
        </w:rPr>
      </w:pPr>
      <w:r>
        <w:rPr>
          <w:highlight w:val="none"/>
        </w:rPr>
        <w:t>33.3.2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tabs>
          <w:tab w:val="clear" w:pos="426"/>
        </w:tabs>
        <w:rPr>
          <w:highlight w:val="none"/>
        </w:rPr>
      </w:pPr>
      <w:r>
        <w:rPr>
          <w:highlight w:val="none"/>
        </w:rPr>
        <w:t>33.3.3非单一产品采购项目，采购人应当根据采购项目技术构成、产品价格比重等合理确定核心产品，并在招标文件中载明。多家投标人提供的核心产品品牌相同的，按前两款规定处理。</w:t>
      </w:r>
    </w:p>
    <w:p>
      <w:pPr>
        <w:tabs>
          <w:tab w:val="clear" w:pos="426"/>
        </w:tabs>
        <w:rPr>
          <w:highlight w:val="none"/>
        </w:rPr>
      </w:pPr>
      <w:r>
        <w:rPr>
          <w:highlight w:val="none"/>
        </w:rPr>
        <w:t>33.3.4公开招标以外采购方式以及政府采购服务和工程涉及采购货物的项目，也按此方法计算供应商家数。</w:t>
      </w:r>
    </w:p>
    <w:p>
      <w:pPr>
        <w:tabs>
          <w:tab w:val="clear" w:pos="426"/>
        </w:tabs>
        <w:rPr>
          <w:b/>
          <w:bCs/>
          <w:highlight w:val="none"/>
        </w:rPr>
      </w:pPr>
      <w:r>
        <w:rPr>
          <w:rFonts w:hint="eastAsia"/>
          <w:highlight w:val="none"/>
        </w:rPr>
        <w:t>33.4 对不属于投标文件“</w:t>
      </w:r>
      <w:r>
        <w:rPr>
          <w:rFonts w:hint="eastAsia"/>
          <w:b/>
          <w:highlight w:val="none"/>
        </w:rPr>
        <w:t>资格、符合性评审条款</w:t>
      </w:r>
      <w:r>
        <w:rPr>
          <w:rFonts w:hint="eastAsia"/>
          <w:highlight w:val="none"/>
        </w:rPr>
        <w:t>”要所列不符合的情形，除法律法规另有规定外，不得作为废标的理由。</w:t>
      </w:r>
    </w:p>
    <w:p>
      <w:pPr>
        <w:tabs>
          <w:tab w:val="clear" w:pos="426"/>
        </w:tabs>
        <w:rPr>
          <w:highlight w:val="none"/>
        </w:rPr>
      </w:pPr>
      <w:bookmarkStart w:id="299" w:name="_Toc100052399"/>
      <w:r>
        <w:rPr>
          <w:rFonts w:hint="eastAsia"/>
          <w:highlight w:val="none"/>
        </w:rPr>
        <w:t>34．澄清有关问题</w:t>
      </w:r>
      <w:bookmarkEnd w:id="299"/>
    </w:p>
    <w:p>
      <w:pPr>
        <w:tabs>
          <w:tab w:val="clear" w:pos="426"/>
        </w:tabs>
        <w:rPr>
          <w:highlight w:val="none"/>
        </w:rPr>
      </w:pPr>
      <w:bookmarkStart w:id="300" w:name="bt投标文件的评估和比较"/>
      <w:bookmarkEnd w:id="300"/>
      <w:bookmarkStart w:id="301" w:name="bt投标文件的澄清"/>
      <w:bookmarkEnd w:id="301"/>
      <w:bookmarkStart w:id="302" w:name="bt废标"/>
      <w:bookmarkEnd w:id="302"/>
      <w:bookmarkStart w:id="303" w:name="_Toc73521583"/>
      <w:bookmarkStart w:id="304" w:name="_Toc73517675"/>
      <w:bookmarkStart w:id="305" w:name="_Toc73518153"/>
      <w:bookmarkStart w:id="306" w:name="_Toc73521671"/>
      <w:r>
        <w:rPr>
          <w:rFonts w:hint="eastAsia"/>
          <w:highlight w:val="none"/>
        </w:rPr>
        <w:t>为了有助于投标文件的审查、评价和比较，对投标文件含义不明确、同类问题表述不一致或者有明显文字和计算错误的内容，评标委员会可以用书面形式(应当由评标委员会签字)要求投标人作出必要的澄清、说明或者纠正。投标人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pPr>
        <w:tabs>
          <w:tab w:val="clear" w:pos="426"/>
        </w:tabs>
        <w:rPr>
          <w:highlight w:val="none"/>
        </w:rPr>
      </w:pPr>
      <w:bookmarkStart w:id="307" w:name="_Toc73521581"/>
      <w:bookmarkStart w:id="308" w:name="_Toc73517673"/>
      <w:bookmarkStart w:id="309" w:name="_Toc73521669"/>
      <w:bookmarkStart w:id="310" w:name="_Toc100052400"/>
      <w:bookmarkStart w:id="311" w:name="_Toc73518151"/>
      <w:r>
        <w:rPr>
          <w:rFonts w:hint="eastAsia"/>
          <w:highlight w:val="none"/>
        </w:rPr>
        <w:t>35．错误的修正</w:t>
      </w:r>
      <w:bookmarkEnd w:id="307"/>
      <w:bookmarkEnd w:id="308"/>
      <w:bookmarkEnd w:id="309"/>
      <w:bookmarkEnd w:id="310"/>
      <w:bookmarkEnd w:id="311"/>
    </w:p>
    <w:p>
      <w:pPr>
        <w:tabs>
          <w:tab w:val="clear" w:pos="426"/>
        </w:tabs>
        <w:rPr>
          <w:highlight w:val="none"/>
        </w:rPr>
      </w:pPr>
      <w:r>
        <w:rPr>
          <w:rFonts w:hint="eastAsia"/>
          <w:highlight w:val="none"/>
        </w:rPr>
        <w:t>35</w:t>
      </w:r>
      <w:r>
        <w:rPr>
          <w:highlight w:val="none"/>
        </w:rPr>
        <w:t xml:space="preserve">.1 </w:t>
      </w:r>
      <w:r>
        <w:rPr>
          <w:rFonts w:hint="eastAsia"/>
          <w:highlight w:val="none"/>
        </w:rPr>
        <w:t>评标委员会将审查投标文件是否完整、总体编排是否有序、文件签署是否合格、投标人是否提交了投标保证金、有无计算上的错误等。</w:t>
      </w:r>
    </w:p>
    <w:p>
      <w:pPr>
        <w:tabs>
          <w:tab w:val="clear" w:pos="426"/>
        </w:tabs>
        <w:rPr>
          <w:highlight w:val="none"/>
        </w:rPr>
      </w:pPr>
      <w:r>
        <w:rPr>
          <w:highlight w:val="none"/>
        </w:rPr>
        <w:t>35.2  算术错误将按以下方法更正（次序排先者优先）：</w:t>
      </w:r>
    </w:p>
    <w:p>
      <w:pPr>
        <w:tabs>
          <w:tab w:val="clear" w:pos="426"/>
        </w:tabs>
        <w:rPr>
          <w:highlight w:val="none"/>
        </w:rPr>
      </w:pPr>
      <w:r>
        <w:rPr>
          <w:highlight w:val="none"/>
        </w:rPr>
        <w:t>35.2.1 投标文件中开标一览表（报价表）内容与投标文件中相应内容不一致的，以开标一览表（报价表）为准；</w:t>
      </w:r>
    </w:p>
    <w:p>
      <w:pPr>
        <w:tabs>
          <w:tab w:val="clear" w:pos="426"/>
        </w:tabs>
        <w:rPr>
          <w:highlight w:val="none"/>
        </w:rPr>
      </w:pPr>
      <w:r>
        <w:rPr>
          <w:highlight w:val="none"/>
        </w:rPr>
        <w:t>35.2.2 大写金额和小写金额不一致的，以大写金额为准；</w:t>
      </w:r>
    </w:p>
    <w:p>
      <w:pPr>
        <w:tabs>
          <w:tab w:val="clear" w:pos="426"/>
        </w:tabs>
        <w:rPr>
          <w:highlight w:val="none"/>
        </w:rPr>
      </w:pPr>
      <w:r>
        <w:rPr>
          <w:highlight w:val="none"/>
        </w:rPr>
        <w:t>35.2.3 单价金额小数点或者百分比有明显错位的，以开标一览表的总价为准，并修改单价；</w:t>
      </w:r>
    </w:p>
    <w:p>
      <w:pPr>
        <w:tabs>
          <w:tab w:val="clear" w:pos="426"/>
        </w:tabs>
        <w:rPr>
          <w:highlight w:val="none"/>
        </w:rPr>
      </w:pPr>
      <w:r>
        <w:rPr>
          <w:highlight w:val="none"/>
        </w:rPr>
        <w:t>35.2.4 总价金额与按单价汇总金额不一致的，以单价金额计算结果为准；</w:t>
      </w:r>
    </w:p>
    <w:p>
      <w:pPr>
        <w:tabs>
          <w:tab w:val="clear" w:pos="426"/>
        </w:tabs>
        <w:rPr>
          <w:highlight w:val="none"/>
        </w:rPr>
      </w:pPr>
      <w:r>
        <w:rPr>
          <w:highlight w:val="none"/>
        </w:rPr>
        <w:t>35.2.5 对不同文字文本投标文件的解释发生异议的，以中文文本为准。</w:t>
      </w:r>
    </w:p>
    <w:p>
      <w:pPr>
        <w:tabs>
          <w:tab w:val="clear" w:pos="426"/>
        </w:tabs>
        <w:rPr>
          <w:highlight w:val="none"/>
        </w:rPr>
      </w:pPr>
      <w:r>
        <w:rPr>
          <w:rFonts w:hint="eastAsia"/>
          <w:highlight w:val="none"/>
        </w:rPr>
        <w:t>35</w:t>
      </w:r>
      <w:r>
        <w:rPr>
          <w:highlight w:val="none"/>
        </w:rPr>
        <w:t xml:space="preserve">.3  </w:t>
      </w:r>
      <w:r>
        <w:rPr>
          <w:rFonts w:hint="eastAsia"/>
          <w:highlight w:val="none"/>
        </w:rPr>
        <w:t>对于投标文件中不构成实质性偏差的不正规、不一致或不规则，给评审带来不便，评标委员会可以接受。</w:t>
      </w:r>
    </w:p>
    <w:p>
      <w:pPr>
        <w:tabs>
          <w:tab w:val="clear" w:pos="426"/>
        </w:tabs>
        <w:rPr>
          <w:highlight w:val="none"/>
        </w:rPr>
      </w:pPr>
      <w:r>
        <w:rPr>
          <w:rFonts w:hint="eastAsia"/>
          <w:highlight w:val="none"/>
        </w:rPr>
        <w:t>35.4  投标人的投标报价是可变动价格的，或包含了价格调整要求的，或投标报价中提供</w:t>
      </w:r>
      <w:r>
        <w:rPr>
          <w:highlight w:val="none"/>
        </w:rPr>
        <w:t>两个</w:t>
      </w:r>
      <w:r>
        <w:rPr>
          <w:rFonts w:hint="eastAsia"/>
          <w:highlight w:val="none"/>
        </w:rPr>
        <w:t>（含两个）以上的</w:t>
      </w:r>
      <w:r>
        <w:rPr>
          <w:highlight w:val="none"/>
        </w:rPr>
        <w:t>报价</w:t>
      </w:r>
      <w:r>
        <w:rPr>
          <w:rFonts w:hint="eastAsia"/>
          <w:highlight w:val="none"/>
        </w:rPr>
        <w:t>（</w:t>
      </w:r>
      <w:r>
        <w:rPr>
          <w:highlight w:val="none"/>
        </w:rPr>
        <w:t>招标文件规定提交备选投标方案的除外</w:t>
      </w:r>
      <w:r>
        <w:rPr>
          <w:rFonts w:hint="eastAsia"/>
          <w:highlight w:val="none"/>
        </w:rPr>
        <w:t>），或严重漏项，评标委员会无法进行判断的，评标委员会可以作无效标处理。</w:t>
      </w:r>
    </w:p>
    <w:p>
      <w:pPr>
        <w:tabs>
          <w:tab w:val="clear" w:pos="426"/>
        </w:tabs>
        <w:rPr>
          <w:highlight w:val="none"/>
        </w:rPr>
      </w:pPr>
      <w:r>
        <w:rPr>
          <w:rFonts w:hint="eastAsia"/>
          <w:highlight w:val="none"/>
        </w:rPr>
        <w:t>35.5根据上述修正错误的原则及方法调整或修正投标文件的投标报价，投标人同意后，调整后的投标报价对投标人起约束作用。</w:t>
      </w:r>
      <w:r>
        <w:rPr>
          <w:rFonts w:hint="eastAsia"/>
          <w:b/>
          <w:bCs/>
          <w:highlight w:val="none"/>
        </w:rPr>
        <w:t>如果投标人不接受修正后的报价，则其投标将被拒绝并且其投标保证金也将被没收，并不影响评标工作。</w:t>
      </w:r>
    </w:p>
    <w:p>
      <w:pPr>
        <w:tabs>
          <w:tab w:val="clear" w:pos="426"/>
        </w:tabs>
        <w:rPr>
          <w:highlight w:val="none"/>
        </w:rPr>
      </w:pPr>
      <w:bookmarkStart w:id="312" w:name="_Toc100052401"/>
      <w:r>
        <w:rPr>
          <w:rFonts w:hint="eastAsia"/>
          <w:highlight w:val="none"/>
        </w:rPr>
        <w:t>36．投标文件的</w:t>
      </w:r>
      <w:bookmarkEnd w:id="303"/>
      <w:bookmarkEnd w:id="304"/>
      <w:bookmarkEnd w:id="305"/>
      <w:bookmarkEnd w:id="306"/>
      <w:r>
        <w:rPr>
          <w:rFonts w:hint="eastAsia"/>
          <w:highlight w:val="none"/>
        </w:rPr>
        <w:t>比较与评价</w:t>
      </w:r>
      <w:bookmarkEnd w:id="312"/>
    </w:p>
    <w:p>
      <w:pPr>
        <w:tabs>
          <w:tab w:val="clear" w:pos="426"/>
        </w:tabs>
        <w:rPr>
          <w:highlight w:val="none"/>
        </w:rPr>
      </w:pPr>
      <w:r>
        <w:rPr>
          <w:rFonts w:hint="eastAsia"/>
          <w:highlight w:val="none"/>
        </w:rPr>
        <w:t>36.1评标委员会将按照《深圳经济特区政府采购条例》及《深圳市政府采购评标委员会和评标方法暂行规定》，参照相关法律、法规、规定，仅对通过资格性审查和符合性审查的投标文件进行综合比较与评价。</w:t>
      </w:r>
    </w:p>
    <w:p>
      <w:pPr>
        <w:tabs>
          <w:tab w:val="clear" w:pos="426"/>
        </w:tabs>
        <w:rPr>
          <w:highlight w:val="none"/>
        </w:rPr>
      </w:pPr>
      <w:r>
        <w:rPr>
          <w:rFonts w:hint="eastAsia"/>
          <w:bCs/>
          <w:highlight w:val="none"/>
        </w:rPr>
        <w:t xml:space="preserve">36.2  </w:t>
      </w:r>
      <w:r>
        <w:rPr>
          <w:rFonts w:hint="eastAsia"/>
          <w:highlight w:val="none"/>
        </w:rPr>
        <w:t>评标委员会应当根据招标文件，审查并逐项列出投标文件的全部投标偏离。投标偏离分为重大偏离和细微偏离。</w:t>
      </w:r>
    </w:p>
    <w:p>
      <w:pPr>
        <w:tabs>
          <w:tab w:val="clear" w:pos="426"/>
        </w:tabs>
        <w:rPr>
          <w:highlight w:val="none"/>
        </w:rPr>
      </w:pPr>
      <w:r>
        <w:rPr>
          <w:rFonts w:hint="eastAsia"/>
          <w:highlight w:val="none"/>
        </w:rPr>
        <w:t>36.3 评标委员会应当对投标人的投标文件进行分析和比较。</w:t>
      </w:r>
    </w:p>
    <w:p>
      <w:pPr>
        <w:tabs>
          <w:tab w:val="clear" w:pos="426"/>
        </w:tabs>
        <w:rPr>
          <w:highlight w:val="none"/>
        </w:rPr>
      </w:pPr>
      <w:r>
        <w:rPr>
          <w:rFonts w:hint="eastAsia"/>
          <w:highlight w:val="none"/>
        </w:rPr>
        <w:t>36.4  评标委员会应当根据招标文件规定，对投标文件中的每项评审内容进行评审。</w:t>
      </w:r>
    </w:p>
    <w:p>
      <w:pPr>
        <w:tabs>
          <w:tab w:val="clear" w:pos="426"/>
        </w:tabs>
        <w:rPr>
          <w:kern w:val="10"/>
          <w:highlight w:val="none"/>
        </w:rPr>
      </w:pPr>
      <w:r>
        <w:rPr>
          <w:rFonts w:hint="eastAsia"/>
          <w:kern w:val="10"/>
          <w:highlight w:val="none"/>
        </w:rPr>
        <w:t>36.5  投标文件存在重大偏离的，应作废标处理。下列情况属于重大偏离：</w:t>
      </w:r>
    </w:p>
    <w:p>
      <w:pPr>
        <w:tabs>
          <w:tab w:val="clear" w:pos="426"/>
        </w:tabs>
        <w:rPr>
          <w:kern w:val="10"/>
          <w:highlight w:val="none"/>
        </w:rPr>
      </w:pPr>
      <w:r>
        <w:rPr>
          <w:rFonts w:hint="eastAsia"/>
          <w:kern w:val="10"/>
          <w:highlight w:val="none"/>
        </w:rPr>
        <w:t>36.5.1  投标人以他人的名义投标或出现下列串通投标、弄虚作假投标嫌疑的：</w:t>
      </w:r>
    </w:p>
    <w:p>
      <w:pPr>
        <w:tabs>
          <w:tab w:val="clear" w:pos="426"/>
        </w:tabs>
        <w:rPr>
          <w:kern w:val="10"/>
          <w:highlight w:val="none"/>
        </w:rPr>
      </w:pPr>
      <w:r>
        <w:rPr>
          <w:rFonts w:hint="eastAsia"/>
          <w:kern w:val="10"/>
          <w:highlight w:val="none"/>
        </w:rPr>
        <w:t xml:space="preserve">36.5.1.1  </w:t>
      </w:r>
      <w:r>
        <w:rPr>
          <w:kern w:val="10"/>
          <w:highlight w:val="none"/>
        </w:rPr>
        <w:t>不同投标人的投标文件内容存在非正常一致</w:t>
      </w:r>
      <w:r>
        <w:rPr>
          <w:rFonts w:hint="eastAsia"/>
          <w:kern w:val="10"/>
          <w:highlight w:val="none"/>
        </w:rPr>
        <w:t>的</w:t>
      </w:r>
      <w:r>
        <w:rPr>
          <w:kern w:val="10"/>
          <w:highlight w:val="none"/>
        </w:rPr>
        <w:t>；</w:t>
      </w:r>
    </w:p>
    <w:p>
      <w:pPr>
        <w:tabs>
          <w:tab w:val="clear" w:pos="426"/>
        </w:tabs>
        <w:rPr>
          <w:kern w:val="10"/>
          <w:highlight w:val="none"/>
        </w:rPr>
      </w:pPr>
      <w:r>
        <w:rPr>
          <w:rFonts w:hint="eastAsia"/>
          <w:kern w:val="10"/>
          <w:highlight w:val="none"/>
        </w:rPr>
        <w:t xml:space="preserve">36.5.1.2  </w:t>
      </w:r>
      <w:r>
        <w:rPr>
          <w:kern w:val="10"/>
          <w:highlight w:val="none"/>
        </w:rPr>
        <w:t>不同投标人的投标文件错漏之处一致的；</w:t>
      </w:r>
    </w:p>
    <w:p>
      <w:pPr>
        <w:tabs>
          <w:tab w:val="clear" w:pos="426"/>
        </w:tabs>
        <w:rPr>
          <w:kern w:val="10"/>
          <w:highlight w:val="none"/>
        </w:rPr>
      </w:pPr>
      <w:r>
        <w:rPr>
          <w:rFonts w:hint="eastAsia"/>
          <w:kern w:val="10"/>
          <w:highlight w:val="none"/>
        </w:rPr>
        <w:t xml:space="preserve">36.5.1.3  </w:t>
      </w:r>
      <w:r>
        <w:rPr>
          <w:kern w:val="10"/>
          <w:highlight w:val="none"/>
        </w:rPr>
        <w:t>不同投标人的投标报价或者报价组成异常一致或者呈规律性变化的；</w:t>
      </w:r>
    </w:p>
    <w:p>
      <w:pPr>
        <w:tabs>
          <w:tab w:val="clear" w:pos="426"/>
        </w:tabs>
        <w:rPr>
          <w:kern w:val="10"/>
          <w:highlight w:val="none"/>
        </w:rPr>
      </w:pPr>
      <w:r>
        <w:rPr>
          <w:rFonts w:hint="eastAsia"/>
          <w:kern w:val="10"/>
          <w:highlight w:val="none"/>
        </w:rPr>
        <w:t xml:space="preserve">36.5.1.4  </w:t>
      </w:r>
      <w:r>
        <w:rPr>
          <w:kern w:val="10"/>
          <w:highlight w:val="none"/>
        </w:rPr>
        <w:t>不同投标人的投标文件由同一单位或者同一个人编制的；</w:t>
      </w:r>
    </w:p>
    <w:p>
      <w:pPr>
        <w:tabs>
          <w:tab w:val="clear" w:pos="426"/>
        </w:tabs>
        <w:rPr>
          <w:kern w:val="10"/>
          <w:highlight w:val="none"/>
        </w:rPr>
      </w:pPr>
      <w:r>
        <w:rPr>
          <w:rFonts w:hint="eastAsia"/>
          <w:kern w:val="10"/>
          <w:highlight w:val="none"/>
        </w:rPr>
        <w:t xml:space="preserve">36.5.1.5  </w:t>
      </w:r>
      <w:r>
        <w:rPr>
          <w:kern w:val="10"/>
          <w:highlight w:val="none"/>
        </w:rPr>
        <w:t>不同投标人的投标文件载明的</w:t>
      </w:r>
      <w:r>
        <w:rPr>
          <w:rFonts w:hint="eastAsia"/>
          <w:kern w:val="10"/>
          <w:highlight w:val="none"/>
        </w:rPr>
        <w:t>项目负责人与主要技术人员</w:t>
      </w:r>
      <w:r>
        <w:rPr>
          <w:kern w:val="10"/>
          <w:highlight w:val="none"/>
        </w:rPr>
        <w:t>出现同一人的；</w:t>
      </w:r>
    </w:p>
    <w:p>
      <w:pPr>
        <w:tabs>
          <w:tab w:val="clear" w:pos="426"/>
        </w:tabs>
        <w:rPr>
          <w:kern w:val="10"/>
          <w:highlight w:val="none"/>
        </w:rPr>
      </w:pPr>
      <w:r>
        <w:rPr>
          <w:rFonts w:hint="eastAsia"/>
          <w:kern w:val="10"/>
          <w:highlight w:val="none"/>
        </w:rPr>
        <w:t xml:space="preserve">36.5.1.6  </w:t>
      </w:r>
      <w:r>
        <w:rPr>
          <w:kern w:val="10"/>
          <w:highlight w:val="none"/>
        </w:rPr>
        <w:t>不同投标人的投标文件相互混装的；</w:t>
      </w:r>
    </w:p>
    <w:p>
      <w:pPr>
        <w:tabs>
          <w:tab w:val="clear" w:pos="426"/>
        </w:tabs>
        <w:rPr>
          <w:kern w:val="10"/>
          <w:highlight w:val="none"/>
        </w:rPr>
      </w:pPr>
      <w:r>
        <w:rPr>
          <w:rFonts w:hint="eastAsia"/>
          <w:kern w:val="10"/>
          <w:highlight w:val="none"/>
        </w:rPr>
        <w:t xml:space="preserve">36.5.1.7  </w:t>
      </w:r>
      <w:r>
        <w:rPr>
          <w:kern w:val="10"/>
          <w:highlight w:val="none"/>
        </w:rPr>
        <w:t>不同投标人委托同一人投标的</w:t>
      </w:r>
      <w:r>
        <w:rPr>
          <w:rFonts w:hint="eastAsia"/>
          <w:kern w:val="10"/>
          <w:highlight w:val="none"/>
        </w:rPr>
        <w:t>；</w:t>
      </w:r>
    </w:p>
    <w:p>
      <w:pPr>
        <w:tabs>
          <w:tab w:val="clear" w:pos="426"/>
        </w:tabs>
        <w:rPr>
          <w:kern w:val="10"/>
          <w:highlight w:val="none"/>
        </w:rPr>
      </w:pPr>
      <w:r>
        <w:rPr>
          <w:rFonts w:hint="eastAsia"/>
          <w:kern w:val="10"/>
          <w:highlight w:val="none"/>
        </w:rPr>
        <w:t>36.5.1.8  不同投标人聘请同一人为其投标提供技术或者经济咨询服务的，但招标工程本身要求采用专有技术的除外；</w:t>
      </w:r>
    </w:p>
    <w:p>
      <w:pPr>
        <w:tabs>
          <w:tab w:val="clear" w:pos="426"/>
        </w:tabs>
        <w:rPr>
          <w:kern w:val="10"/>
          <w:highlight w:val="none"/>
        </w:rPr>
      </w:pPr>
      <w:r>
        <w:rPr>
          <w:rFonts w:hint="eastAsia"/>
          <w:kern w:val="10"/>
          <w:highlight w:val="none"/>
        </w:rPr>
        <w:t xml:space="preserve">36.5.1.9  </w:t>
      </w:r>
      <w:r>
        <w:rPr>
          <w:kern w:val="10"/>
          <w:highlight w:val="none"/>
        </w:rPr>
        <w:t>评标委员会认定的其他串通投标情形。</w:t>
      </w:r>
    </w:p>
    <w:p>
      <w:pPr>
        <w:tabs>
          <w:tab w:val="clear" w:pos="426"/>
        </w:tabs>
        <w:rPr>
          <w:highlight w:val="none"/>
        </w:rPr>
      </w:pPr>
      <w:r>
        <w:rPr>
          <w:rFonts w:hint="eastAsia"/>
          <w:kern w:val="10"/>
          <w:highlight w:val="none"/>
        </w:rPr>
        <w:t xml:space="preserve">36.5.2 </w:t>
      </w:r>
      <w:r>
        <w:rPr>
          <w:rFonts w:hint="eastAsia"/>
          <w:highlight w:val="none"/>
        </w:rPr>
        <w:t xml:space="preserve"> 投标文件不满足招标文件规定的任何一项实质性要求的；</w:t>
      </w:r>
    </w:p>
    <w:p>
      <w:pPr>
        <w:tabs>
          <w:tab w:val="clear" w:pos="426"/>
        </w:tabs>
        <w:rPr>
          <w:highlight w:val="none"/>
        </w:rPr>
      </w:pPr>
      <w:r>
        <w:rPr>
          <w:rFonts w:hint="eastAsia"/>
          <w:bCs/>
          <w:kern w:val="10"/>
          <w:highlight w:val="none"/>
        </w:rPr>
        <w:t xml:space="preserve">36.5.3 </w:t>
      </w:r>
      <w:r>
        <w:rPr>
          <w:rFonts w:hint="eastAsia"/>
          <w:highlight w:val="none"/>
        </w:rPr>
        <w:t xml:space="preserve"> 投标文件对招标文件规定的非实质性要求的偏离，超出允许偏离的最大范围或最高项数的；</w:t>
      </w:r>
    </w:p>
    <w:p>
      <w:pPr>
        <w:tabs>
          <w:tab w:val="clear" w:pos="426"/>
        </w:tabs>
        <w:rPr>
          <w:highlight w:val="none"/>
        </w:rPr>
      </w:pPr>
      <w:r>
        <w:rPr>
          <w:kern w:val="10"/>
          <w:highlight w:val="none"/>
        </w:rPr>
        <w:t>3</w:t>
      </w:r>
      <w:r>
        <w:rPr>
          <w:rFonts w:hint="eastAsia"/>
          <w:kern w:val="10"/>
          <w:highlight w:val="none"/>
        </w:rPr>
        <w:t>6</w:t>
      </w:r>
      <w:r>
        <w:rPr>
          <w:kern w:val="10"/>
          <w:highlight w:val="none"/>
        </w:rPr>
        <w:t>.5.</w:t>
      </w:r>
      <w:r>
        <w:rPr>
          <w:rFonts w:hint="eastAsia"/>
          <w:kern w:val="10"/>
          <w:highlight w:val="none"/>
        </w:rPr>
        <w:t xml:space="preserve">4 </w:t>
      </w:r>
      <w:r>
        <w:rPr>
          <w:rFonts w:hint="eastAsia"/>
          <w:highlight w:val="none"/>
        </w:rPr>
        <w:t xml:space="preserve"> 评标委员会根据招标文件的规定对投标文件的投标价格进行调整，投标人不接受调整方式的，或不接受调整后的价格的；</w:t>
      </w:r>
    </w:p>
    <w:p>
      <w:pPr>
        <w:tabs>
          <w:tab w:val="clear" w:pos="426"/>
        </w:tabs>
        <w:rPr>
          <w:kern w:val="10"/>
          <w:highlight w:val="none"/>
        </w:rPr>
      </w:pPr>
      <w:r>
        <w:rPr>
          <w:rFonts w:hint="eastAsia"/>
          <w:kern w:val="10"/>
          <w:highlight w:val="none"/>
        </w:rPr>
        <w:t>36.6  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pPr>
        <w:tabs>
          <w:tab w:val="clear" w:pos="426"/>
        </w:tabs>
        <w:rPr>
          <w:kern w:val="10"/>
          <w:highlight w:val="none"/>
        </w:rPr>
      </w:pPr>
      <w:r>
        <w:rPr>
          <w:rFonts w:hint="eastAsia"/>
          <w:kern w:val="10"/>
          <w:highlight w:val="none"/>
        </w:rPr>
        <w:t>36.7 评标委员会应书面要求存在细微偏离的投标人在评标结束前予以补正。拒不补正的，在详细评审时可以对细微偏离按照不利于该投标人的原则进行调整，且投标人不得因此提出任何异议。</w:t>
      </w:r>
    </w:p>
    <w:p>
      <w:pPr>
        <w:tabs>
          <w:tab w:val="clear" w:pos="426"/>
        </w:tabs>
        <w:rPr>
          <w:highlight w:val="none"/>
        </w:rPr>
      </w:pPr>
      <w:r>
        <w:rPr>
          <w:rFonts w:hint="eastAsia"/>
          <w:highlight w:val="none"/>
        </w:rPr>
        <w:t>37.实地考察、演示或设备测试</w:t>
      </w:r>
    </w:p>
    <w:p>
      <w:pPr>
        <w:tabs>
          <w:tab w:val="clear" w:pos="426"/>
        </w:tabs>
        <w:rPr>
          <w:highlight w:val="none"/>
        </w:rPr>
      </w:pPr>
      <w:r>
        <w:rPr>
          <w:rFonts w:hint="eastAsia"/>
          <w:highlight w:val="none"/>
        </w:rPr>
        <w:t>37.1在招标过程中，评标委员会有权决定是否对本项目投标人进行现场勘察或实地考察或检验有关证明材料的原件。投标人应随时做好接受检查的准备。</w:t>
      </w:r>
    </w:p>
    <w:p>
      <w:pPr>
        <w:tabs>
          <w:tab w:val="clear" w:pos="426"/>
        </w:tabs>
        <w:rPr>
          <w:highlight w:val="none"/>
        </w:rPr>
      </w:pPr>
      <w:r>
        <w:rPr>
          <w:rFonts w:hint="eastAsia"/>
          <w:highlight w:val="none"/>
        </w:rPr>
        <w:t>37.2若招标文件要求进行现场演示或设备测试的，投标人应做好相应准备。</w:t>
      </w:r>
    </w:p>
    <w:p>
      <w:pPr>
        <w:tabs>
          <w:tab w:val="clear" w:pos="426"/>
        </w:tabs>
        <w:rPr>
          <w:highlight w:val="none"/>
        </w:rPr>
      </w:pPr>
      <w:bookmarkStart w:id="313" w:name="_Toc100052402"/>
      <w:r>
        <w:rPr>
          <w:rFonts w:hint="eastAsia"/>
          <w:highlight w:val="none"/>
        </w:rPr>
        <w:t>38．评标方法</w:t>
      </w:r>
      <w:bookmarkEnd w:id="313"/>
    </w:p>
    <w:p>
      <w:pPr>
        <w:tabs>
          <w:tab w:val="clear" w:pos="426"/>
        </w:tabs>
        <w:rPr>
          <w:szCs w:val="21"/>
          <w:highlight w:val="none"/>
        </w:rPr>
      </w:pPr>
      <w:r>
        <w:rPr>
          <w:rFonts w:hint="eastAsia"/>
          <w:szCs w:val="21"/>
          <w:highlight w:val="none"/>
        </w:rPr>
        <w:t>38.1</w:t>
      </w:r>
      <w:r>
        <w:rPr>
          <w:rFonts w:hint="eastAsia"/>
          <w:highlight w:val="none"/>
        </w:rPr>
        <w:t>根据《转发财政部关于加强政府采购货物和服务项目价格评审管理的通知》（深财购〔2007〕9号）和《关于印发&lt;深圳市政府采购评标委员会和评标方法暂行规定&gt;的通知》(深财购〔2005〕5号)《</w:t>
      </w:r>
      <w:r>
        <w:rPr>
          <w:highlight w:val="none"/>
        </w:rPr>
        <w:t>深圳市政府采购评标定标分离管理暂行办法</w:t>
      </w:r>
      <w:r>
        <w:rPr>
          <w:rFonts w:hint="eastAsia"/>
          <w:highlight w:val="none"/>
        </w:rPr>
        <w:t>》的有关要求，</w:t>
      </w:r>
      <w:r>
        <w:rPr>
          <w:rFonts w:hint="eastAsia"/>
          <w:szCs w:val="21"/>
          <w:highlight w:val="none"/>
        </w:rPr>
        <w:t>项目评标方法根据是否是评定分离项目进行选择。</w:t>
      </w:r>
    </w:p>
    <w:p>
      <w:pPr>
        <w:tabs>
          <w:tab w:val="clear" w:pos="426"/>
        </w:tabs>
        <w:rPr>
          <w:highlight w:val="none"/>
        </w:rPr>
      </w:pPr>
      <w:r>
        <w:rPr>
          <w:rFonts w:hint="eastAsia"/>
          <w:highlight w:val="none"/>
        </w:rPr>
        <w:t>38.2非评定分离项目</w:t>
      </w:r>
    </w:p>
    <w:p>
      <w:pPr>
        <w:tabs>
          <w:tab w:val="clear" w:pos="426"/>
        </w:tabs>
        <w:rPr>
          <w:highlight w:val="none"/>
        </w:rPr>
      </w:pPr>
      <w:r>
        <w:rPr>
          <w:rFonts w:hint="eastAsia"/>
          <w:highlight w:val="none"/>
        </w:rPr>
        <w:t>非评定分离项目评分方法为最低评标价法、综合评标法、性价比法及法律、法规允许的其它评标办法。</w:t>
      </w:r>
    </w:p>
    <w:p>
      <w:pPr>
        <w:tabs>
          <w:tab w:val="clear" w:pos="426"/>
        </w:tabs>
        <w:rPr>
          <w:b/>
          <w:highlight w:val="none"/>
        </w:rPr>
      </w:pPr>
      <w:r>
        <w:rPr>
          <w:rFonts w:hint="eastAsia"/>
          <w:highlight w:val="none"/>
        </w:rPr>
        <w:t>38.2.1</w:t>
      </w:r>
      <w:bookmarkStart w:id="314" w:name="评标方法2"/>
      <w:r>
        <w:rPr>
          <w:rFonts w:hint="eastAsia"/>
          <w:highlight w:val="none"/>
        </w:rPr>
        <w:t>最低评标价法</w:t>
      </w:r>
    </w:p>
    <w:p>
      <w:pPr>
        <w:tabs>
          <w:tab w:val="clear" w:pos="426"/>
        </w:tabs>
        <w:rPr>
          <w:highlight w:val="none"/>
        </w:rPr>
      </w:pPr>
      <w:r>
        <w:rPr>
          <w:rFonts w:hint="eastAsia"/>
          <w:highlight w:val="none"/>
        </w:rPr>
        <w:t>最低价法是指以价格因素确定中标候选供应商的评标方法，即在满足招标文件实质性要求前提下，以报价最低的投标人作为中标候选供应商或中标人的评标方法；</w:t>
      </w:r>
    </w:p>
    <w:p>
      <w:pPr>
        <w:tabs>
          <w:tab w:val="clear" w:pos="426"/>
        </w:tabs>
        <w:rPr>
          <w:b/>
          <w:highlight w:val="none"/>
        </w:rPr>
      </w:pPr>
      <w:r>
        <w:rPr>
          <w:rFonts w:hint="eastAsia"/>
          <w:highlight w:val="none"/>
        </w:rPr>
        <w:t>38.2.2综合评分法</w:t>
      </w:r>
      <w:bookmarkEnd w:id="314"/>
    </w:p>
    <w:p>
      <w:pPr>
        <w:tabs>
          <w:tab w:val="clear" w:pos="426"/>
        </w:tabs>
        <w:rPr>
          <w:highlight w:val="none"/>
        </w:rPr>
      </w:pPr>
      <w:bookmarkStart w:id="315" w:name="评标方法3"/>
      <w:r>
        <w:rPr>
          <w:rFonts w:hint="eastAsia"/>
          <w:highlight w:val="none"/>
        </w:rPr>
        <w:t>是指投标文件满足招标文件全部实质性要求，且按照评审因素的量化指标评审得分最高的投标人为中标候选人的评标方法。</w:t>
      </w:r>
    </w:p>
    <w:p>
      <w:pPr>
        <w:tabs>
          <w:tab w:val="clear" w:pos="426"/>
        </w:tabs>
        <w:rPr>
          <w:b/>
          <w:bCs/>
          <w:highlight w:val="none"/>
        </w:rPr>
      </w:pPr>
      <w:r>
        <w:rPr>
          <w:rFonts w:hint="eastAsia"/>
          <w:highlight w:val="none"/>
        </w:rPr>
        <w:t>38.2.3</w:t>
      </w:r>
      <w:r>
        <w:rPr>
          <w:rFonts w:hint="eastAsia"/>
          <w:bCs/>
          <w:highlight w:val="none"/>
        </w:rPr>
        <w:t>性价比法</w:t>
      </w:r>
    </w:p>
    <w:p>
      <w:pPr>
        <w:tabs>
          <w:tab w:val="clear" w:pos="426"/>
        </w:tabs>
        <w:rPr>
          <w:highlight w:val="none"/>
        </w:rPr>
      </w:pPr>
      <w:r>
        <w:rPr>
          <w:rFonts w:hint="eastAsia"/>
          <w:highlight w:val="none"/>
        </w:rPr>
        <w:t>性价比法是指除价格因素外，经对投标文件进行评审，计算出评分因素的总分，除以投标报价，以商数最高的投标人作为中标候选供应商或中标人的评标方法。</w:t>
      </w:r>
    </w:p>
    <w:p>
      <w:pPr>
        <w:tabs>
          <w:tab w:val="clear" w:pos="426"/>
        </w:tabs>
        <w:rPr>
          <w:highlight w:val="none"/>
        </w:rPr>
      </w:pPr>
      <w:r>
        <w:rPr>
          <w:rFonts w:hint="eastAsia"/>
          <w:highlight w:val="none"/>
        </w:rPr>
        <w:t>38.3评定分离项目</w:t>
      </w:r>
    </w:p>
    <w:p>
      <w:pPr>
        <w:tabs>
          <w:tab w:val="clear" w:pos="426"/>
        </w:tabs>
        <w:rPr>
          <w:highlight w:val="none"/>
        </w:rPr>
      </w:pPr>
      <w:r>
        <w:rPr>
          <w:rFonts w:hint="eastAsia"/>
          <w:highlight w:val="none"/>
        </w:rPr>
        <w:t>评定分离项目，评审委员会应当按照综合评分法、定性评审法、最低价法或者法律、法规及规章规定的其他评审方法对投标文件进行评审。</w:t>
      </w:r>
    </w:p>
    <w:p>
      <w:pPr>
        <w:tabs>
          <w:tab w:val="clear" w:pos="426"/>
        </w:tabs>
        <w:rPr>
          <w:b/>
          <w:highlight w:val="none"/>
        </w:rPr>
      </w:pPr>
      <w:r>
        <w:rPr>
          <w:rFonts w:hint="eastAsia"/>
          <w:highlight w:val="none"/>
        </w:rPr>
        <w:t>38.3.1综合评分法</w:t>
      </w:r>
    </w:p>
    <w:p>
      <w:pPr>
        <w:rPr>
          <w:bCs/>
          <w:szCs w:val="21"/>
          <w:highlight w:val="none"/>
        </w:rPr>
      </w:pPr>
      <w:r>
        <w:rPr>
          <w:rFonts w:hint="eastAsia"/>
          <w:bCs/>
          <w:szCs w:val="21"/>
          <w:highlight w:val="none"/>
        </w:rPr>
        <w:t>综合评分法，是指投标文件满足招标文件全部实质性要求，且按照评审因素的量化指标评审得分最高的投标人为中标候选人的评标方法。</w:t>
      </w:r>
    </w:p>
    <w:p>
      <w:pPr>
        <w:tabs>
          <w:tab w:val="clear" w:pos="426"/>
        </w:tabs>
        <w:rPr>
          <w:color w:val="1D1D1D"/>
          <w:sz w:val="18"/>
          <w:szCs w:val="18"/>
          <w:highlight w:val="none"/>
          <w:shd w:val="clear" w:color="auto" w:fill="FFFFFF"/>
        </w:rPr>
      </w:pPr>
      <w:r>
        <w:rPr>
          <w:rFonts w:hint="eastAsia"/>
          <w:highlight w:val="none"/>
        </w:rPr>
        <w:t>38.3.2</w:t>
      </w:r>
      <w:r>
        <w:rPr>
          <w:rFonts w:hint="eastAsia"/>
          <w:bCs/>
          <w:highlight w:val="none"/>
        </w:rPr>
        <w:t>定性评审法</w:t>
      </w:r>
    </w:p>
    <w:p>
      <w:pPr>
        <w:tabs>
          <w:tab w:val="clear" w:pos="426"/>
        </w:tabs>
        <w:rPr>
          <w:highlight w:val="none"/>
        </w:rPr>
      </w:pPr>
      <w:r>
        <w:rPr>
          <w:rFonts w:hint="eastAsia"/>
          <w:highlight w:val="none"/>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人，均推荐为候选中标人。</w:t>
      </w:r>
    </w:p>
    <w:p>
      <w:pPr>
        <w:tabs>
          <w:tab w:val="clear" w:pos="426"/>
        </w:tabs>
        <w:rPr>
          <w:highlight w:val="none"/>
        </w:rPr>
      </w:pPr>
      <w:r>
        <w:rPr>
          <w:rFonts w:hint="eastAsia"/>
          <w:highlight w:val="none"/>
        </w:rPr>
        <w:t>38.3.3最低价法</w:t>
      </w:r>
    </w:p>
    <w:p>
      <w:pPr>
        <w:tabs>
          <w:tab w:val="clear" w:pos="426"/>
        </w:tabs>
        <w:rPr>
          <w:highlight w:val="none"/>
        </w:rPr>
      </w:pPr>
      <w:r>
        <w:rPr>
          <w:rFonts w:hint="eastAsia"/>
          <w:highlight w:val="none"/>
        </w:rPr>
        <w:t>最低价法是指以价格为主要因素确定候选中标人的评审方法。</w:t>
      </w:r>
    </w:p>
    <w:p>
      <w:pPr>
        <w:tabs>
          <w:tab w:val="clear" w:pos="426"/>
        </w:tabs>
        <w:rPr>
          <w:highlight w:val="none"/>
        </w:rPr>
      </w:pPr>
      <w:r>
        <w:rPr>
          <w:rFonts w:hint="eastAsia"/>
          <w:highlight w:val="none"/>
        </w:rPr>
        <w:t>38.4本项目采用的评标方法</w:t>
      </w:r>
      <w:bookmarkEnd w:id="315"/>
      <w:r>
        <w:rPr>
          <w:rFonts w:hint="eastAsia"/>
          <w:highlight w:val="none"/>
        </w:rPr>
        <w:t>见本项目招标文件专用条款的相关内容。</w:t>
      </w:r>
    </w:p>
    <w:p>
      <w:pPr>
        <w:pStyle w:val="4"/>
        <w:tabs>
          <w:tab w:val="clear" w:pos="426"/>
        </w:tabs>
        <w:rPr>
          <w:highlight w:val="none"/>
        </w:rPr>
      </w:pPr>
      <w:bookmarkStart w:id="316" w:name="_Toc398220535"/>
      <w:bookmarkStart w:id="317" w:name="_Toc23066"/>
      <w:bookmarkStart w:id="318" w:name="_Toc432592827"/>
      <w:r>
        <w:rPr>
          <w:rFonts w:hint="eastAsia"/>
          <w:highlight w:val="none"/>
        </w:rPr>
        <w:t>第七章 定标及公示</w:t>
      </w:r>
      <w:bookmarkEnd w:id="316"/>
      <w:bookmarkEnd w:id="317"/>
      <w:bookmarkEnd w:id="318"/>
    </w:p>
    <w:p>
      <w:pPr>
        <w:tabs>
          <w:tab w:val="clear" w:pos="426"/>
        </w:tabs>
        <w:rPr>
          <w:highlight w:val="none"/>
        </w:rPr>
      </w:pPr>
      <w:r>
        <w:rPr>
          <w:rFonts w:hint="eastAsia"/>
          <w:highlight w:val="none"/>
        </w:rPr>
        <w:t>39．定标方法</w:t>
      </w:r>
    </w:p>
    <w:p>
      <w:pPr>
        <w:tabs>
          <w:tab w:val="clear" w:pos="426"/>
        </w:tabs>
        <w:rPr>
          <w:highlight w:val="none"/>
        </w:rPr>
      </w:pPr>
      <w:r>
        <w:rPr>
          <w:rFonts w:hint="eastAsia"/>
          <w:highlight w:val="none"/>
        </w:rPr>
        <w:t>39</w:t>
      </w:r>
      <w:r>
        <w:rPr>
          <w:highlight w:val="none"/>
        </w:rPr>
        <w:t>.</w:t>
      </w:r>
      <w:r>
        <w:rPr>
          <w:rFonts w:hint="eastAsia"/>
          <w:highlight w:val="none"/>
        </w:rPr>
        <w:t>1项目定标方法根据是否是评定分离项目进行选择。</w:t>
      </w:r>
    </w:p>
    <w:p>
      <w:pPr>
        <w:tabs>
          <w:tab w:val="clear" w:pos="426"/>
        </w:tabs>
        <w:rPr>
          <w:highlight w:val="none"/>
        </w:rPr>
      </w:pPr>
      <w:r>
        <w:rPr>
          <w:rFonts w:hint="eastAsia"/>
          <w:highlight w:val="none"/>
        </w:rPr>
        <w:t>39</w:t>
      </w:r>
      <w:r>
        <w:rPr>
          <w:highlight w:val="none"/>
        </w:rPr>
        <w:t>.</w:t>
      </w:r>
      <w:r>
        <w:rPr>
          <w:rFonts w:hint="eastAsia"/>
          <w:highlight w:val="none"/>
        </w:rPr>
        <w:t>2非评定分离项目</w:t>
      </w:r>
    </w:p>
    <w:p>
      <w:pPr>
        <w:tabs>
          <w:tab w:val="clear" w:pos="426"/>
        </w:tabs>
        <w:rPr>
          <w:highlight w:val="none"/>
        </w:rPr>
      </w:pPr>
      <w:r>
        <w:rPr>
          <w:rFonts w:hint="eastAsia"/>
          <w:highlight w:val="none"/>
        </w:rPr>
        <w:t>评标委员会依据本项目招标文件所约定的评标方法进行评审和比较，向采购代理机构提交书面评标报告，并根据评标方法比较评价结果从优到劣进行排序，并推荐中标候选人或确定中标人；</w:t>
      </w:r>
    </w:p>
    <w:p>
      <w:pPr>
        <w:tabs>
          <w:tab w:val="clear" w:pos="426"/>
        </w:tabs>
        <w:rPr>
          <w:highlight w:val="none"/>
        </w:rPr>
      </w:pPr>
      <w:r>
        <w:rPr>
          <w:rFonts w:hint="eastAsia"/>
          <w:highlight w:val="none"/>
        </w:rPr>
        <w:t>39</w:t>
      </w:r>
      <w:r>
        <w:rPr>
          <w:highlight w:val="none"/>
        </w:rPr>
        <w:t>.</w:t>
      </w:r>
      <w:r>
        <w:rPr>
          <w:rFonts w:hint="eastAsia"/>
          <w:highlight w:val="none"/>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人的中标资格，按顺序由排在后面的供应商递补，以此类推。对是否满足实质性要求或报价是否合理或是否低于成本，评委会意见不一致时，按少数服从多数原则作出决定。</w:t>
      </w:r>
    </w:p>
    <w:p>
      <w:pPr>
        <w:tabs>
          <w:tab w:val="clear" w:pos="426"/>
        </w:tabs>
        <w:rPr>
          <w:highlight w:val="none"/>
        </w:rPr>
      </w:pPr>
      <w:r>
        <w:rPr>
          <w:rFonts w:hint="eastAsia"/>
          <w:highlight w:val="none"/>
        </w:rPr>
        <w:t>39</w:t>
      </w:r>
      <w:r>
        <w:rPr>
          <w:highlight w:val="none"/>
        </w:rPr>
        <w:t>.</w:t>
      </w:r>
      <w:r>
        <w:rPr>
          <w:rFonts w:hint="eastAsia"/>
          <w:highlight w:val="none"/>
        </w:rPr>
        <w:t>2.2采用综合评分法的，按评审后得分由高到低顺序排列。得分相同的，按投标报价由低到高顺序排列。得分且投标报价相同的，按技术指标优劣顺序排列。得分且投标报价相同的且技术指标或服务方案优劣相同的，采取随机抽取方式确定中标人推荐资格。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tabs>
          <w:tab w:val="clear" w:pos="426"/>
        </w:tabs>
        <w:rPr>
          <w:highlight w:val="none"/>
        </w:rPr>
      </w:pPr>
      <w:r>
        <w:rPr>
          <w:rFonts w:hint="eastAsia"/>
          <w:highlight w:val="none"/>
        </w:rPr>
        <w:t>39</w:t>
      </w:r>
      <w:r>
        <w:rPr>
          <w:highlight w:val="none"/>
        </w:rPr>
        <w:t>.</w:t>
      </w:r>
      <w:r>
        <w:rPr>
          <w:rFonts w:hint="eastAsia"/>
          <w:highlight w:val="none"/>
        </w:rPr>
        <w:t>2.3</w:t>
      </w:r>
      <w:r>
        <w:rPr>
          <w:highlight w:val="none"/>
        </w:rPr>
        <w:t>采用</w:t>
      </w:r>
      <w:r>
        <w:rPr>
          <w:rFonts w:hint="eastAsia"/>
          <w:highlight w:val="none"/>
        </w:rPr>
        <w:t>性价比</w:t>
      </w:r>
      <w:r>
        <w:rPr>
          <w:highlight w:val="none"/>
        </w:rPr>
        <w:t>法的</w:t>
      </w:r>
      <w:r>
        <w:rPr>
          <w:rFonts w:hint="eastAsia"/>
          <w:highlight w:val="none"/>
        </w:rPr>
        <w:t>，按商数得分由高到低顺序排列。商数得分相同的，按投标报价由低到高顺序排列。商数得分且投标报价相同的，按技术指标优劣顺序排列。</w:t>
      </w:r>
    </w:p>
    <w:p>
      <w:pPr>
        <w:tabs>
          <w:tab w:val="clear" w:pos="426"/>
        </w:tabs>
        <w:rPr>
          <w:highlight w:val="none"/>
        </w:rPr>
      </w:pPr>
      <w:r>
        <w:rPr>
          <w:rFonts w:hint="eastAsia"/>
          <w:highlight w:val="none"/>
        </w:rPr>
        <w:t>39</w:t>
      </w:r>
      <w:r>
        <w:rPr>
          <w:highlight w:val="none"/>
        </w:rPr>
        <w:t>.</w:t>
      </w:r>
      <w:r>
        <w:rPr>
          <w:rFonts w:hint="eastAsia"/>
          <w:highlight w:val="none"/>
        </w:rPr>
        <w:t>3评定分离项目</w:t>
      </w:r>
    </w:p>
    <w:p>
      <w:pPr>
        <w:tabs>
          <w:tab w:val="clear" w:pos="426"/>
        </w:tabs>
        <w:rPr>
          <w:highlight w:val="none"/>
        </w:rPr>
      </w:pPr>
      <w:r>
        <w:rPr>
          <w:rFonts w:hint="eastAsia"/>
          <w:highlight w:val="none"/>
        </w:rPr>
        <w:t>适用评定分离的政府采购项目，采购人应当根据不同的项目选用自定法、抽签法、竞价法或者法律、法规及规章规定的其他定标方法确定中标人。</w:t>
      </w:r>
    </w:p>
    <w:p>
      <w:pPr>
        <w:tabs>
          <w:tab w:val="clear" w:pos="426"/>
        </w:tabs>
        <w:rPr>
          <w:highlight w:val="none"/>
        </w:rPr>
      </w:pPr>
      <w:r>
        <w:rPr>
          <w:rFonts w:hint="eastAsia"/>
          <w:highlight w:val="none"/>
        </w:rPr>
        <w:t>39</w:t>
      </w:r>
      <w:r>
        <w:rPr>
          <w:highlight w:val="none"/>
        </w:rPr>
        <w:t>.</w:t>
      </w:r>
      <w:r>
        <w:rPr>
          <w:rFonts w:hint="eastAsia"/>
          <w:highlight w:val="none"/>
        </w:rPr>
        <w:t>3.1自定法是指采购人组织定标委员会，由定标委员会在候选中标人中确定中标人。</w:t>
      </w:r>
    </w:p>
    <w:p>
      <w:pPr>
        <w:tabs>
          <w:tab w:val="clear" w:pos="426"/>
        </w:tabs>
        <w:rPr>
          <w:highlight w:val="none"/>
        </w:rPr>
      </w:pPr>
      <w:r>
        <w:rPr>
          <w:rFonts w:hint="eastAsia"/>
          <w:highlight w:val="none"/>
        </w:rPr>
        <w:t>39</w:t>
      </w:r>
      <w:r>
        <w:rPr>
          <w:highlight w:val="none"/>
        </w:rPr>
        <w:t>.</w:t>
      </w:r>
      <w:r>
        <w:rPr>
          <w:rFonts w:hint="eastAsia"/>
          <w:highlight w:val="none"/>
        </w:rPr>
        <w:t>3.2 抽签法是指候选中标人产生后，由采购人委托招标机构按照随机抽签的方式在候选中标人中确定中标人。 </w:t>
      </w:r>
    </w:p>
    <w:p>
      <w:pPr>
        <w:tabs>
          <w:tab w:val="clear" w:pos="426"/>
        </w:tabs>
        <w:rPr>
          <w:highlight w:val="none"/>
        </w:rPr>
      </w:pPr>
      <w:r>
        <w:rPr>
          <w:rFonts w:hint="eastAsia"/>
          <w:highlight w:val="none"/>
        </w:rPr>
        <w:t>39</w:t>
      </w:r>
      <w:r>
        <w:rPr>
          <w:highlight w:val="none"/>
        </w:rPr>
        <w:t>.</w:t>
      </w:r>
      <w:r>
        <w:rPr>
          <w:rFonts w:hint="eastAsia"/>
          <w:highlight w:val="none"/>
        </w:rPr>
        <w:t>3.3竞价法是指候选中标人产生后，由采购人委托招标机构组织候选中标人进行二次竞价，最终报价最低的为中标人</w:t>
      </w:r>
    </w:p>
    <w:p>
      <w:pPr>
        <w:tabs>
          <w:tab w:val="clear" w:pos="426"/>
        </w:tabs>
        <w:rPr>
          <w:color w:val="FF0000"/>
          <w:highlight w:val="none"/>
        </w:rPr>
      </w:pPr>
      <w:r>
        <w:rPr>
          <w:rFonts w:hint="eastAsia"/>
          <w:highlight w:val="none"/>
        </w:rPr>
        <w:t>39.4本项目采用的定标方法见本项目招标文件专用条款的相关内容。</w:t>
      </w:r>
    </w:p>
    <w:p>
      <w:pPr>
        <w:tabs>
          <w:tab w:val="clear" w:pos="426"/>
        </w:tabs>
        <w:rPr>
          <w:highlight w:val="none"/>
        </w:rPr>
      </w:pPr>
      <w:bookmarkStart w:id="319" w:name="_Toc100052404"/>
      <w:r>
        <w:rPr>
          <w:rFonts w:hint="eastAsia"/>
          <w:highlight w:val="none"/>
        </w:rPr>
        <w:t>40．编写评标报告</w:t>
      </w:r>
      <w:bookmarkEnd w:id="319"/>
    </w:p>
    <w:p>
      <w:pPr>
        <w:tabs>
          <w:tab w:val="clear" w:pos="426"/>
        </w:tabs>
        <w:rPr>
          <w:highlight w:val="none"/>
        </w:rPr>
      </w:pPr>
      <w:r>
        <w:rPr>
          <w:rFonts w:hint="eastAsia"/>
          <w:highlight w:val="none"/>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tabs>
          <w:tab w:val="clear" w:pos="426"/>
        </w:tabs>
        <w:rPr>
          <w:highlight w:val="none"/>
        </w:rPr>
      </w:pPr>
      <w:bookmarkStart w:id="320" w:name="_Toc100052405"/>
      <w:bookmarkStart w:id="321" w:name="_Toc73521588"/>
      <w:bookmarkStart w:id="322" w:name="_Toc73517681"/>
      <w:bookmarkStart w:id="323" w:name="_Toc73521676"/>
      <w:bookmarkStart w:id="324" w:name="_Toc73518159"/>
      <w:r>
        <w:rPr>
          <w:rFonts w:hint="eastAsia"/>
          <w:highlight w:val="none"/>
        </w:rPr>
        <w:t>41．中标公告</w:t>
      </w:r>
      <w:bookmarkEnd w:id="320"/>
    </w:p>
    <w:p>
      <w:pPr>
        <w:tabs>
          <w:tab w:val="clear" w:pos="426"/>
        </w:tabs>
        <w:rPr>
          <w:highlight w:val="none"/>
        </w:rPr>
      </w:pPr>
      <w:r>
        <w:rPr>
          <w:rFonts w:hint="eastAsia"/>
          <w:highlight w:val="none"/>
        </w:rPr>
        <w:t>41.1为体现“公开、公平、公正”的原则，评标结束后，采购代理机构将在“深圳政府采购网”（</w:t>
      </w:r>
      <w:r>
        <w:rPr>
          <w:highlight w:val="none"/>
        </w:rPr>
        <w:fldChar w:fldCharType="begin"/>
      </w:r>
      <w:r>
        <w:rPr>
          <w:highlight w:val="none"/>
        </w:rPr>
        <w:instrText xml:space="preserve"> HYPERLINK "http://www.szfb.gov.cn:8080/" </w:instrText>
      </w:r>
      <w:r>
        <w:rPr>
          <w:highlight w:val="none"/>
        </w:rPr>
        <w:fldChar w:fldCharType="separate"/>
      </w:r>
      <w:r>
        <w:rPr>
          <w:color w:val="0000FF"/>
          <w:highlight w:val="none"/>
          <w:u w:val="single"/>
        </w:rPr>
        <w:t>http://www.szzfcg.cn/</w:t>
      </w:r>
      <w:r>
        <w:rPr>
          <w:color w:val="0000FF"/>
          <w:highlight w:val="none"/>
          <w:u w:val="single"/>
        </w:rPr>
        <w:fldChar w:fldCharType="end"/>
      </w:r>
      <w:r>
        <w:rPr>
          <w:rFonts w:hint="eastAsia"/>
          <w:highlight w:val="none"/>
        </w:rPr>
        <w:t>）及采购代理机构官网：（</w:t>
      </w:r>
      <w:r>
        <w:rPr>
          <w:highlight w:val="none"/>
        </w:rPr>
        <w:t>http://www.szsszx.com/</w:t>
      </w:r>
      <w:r>
        <w:rPr>
          <w:rFonts w:hint="eastAsia"/>
          <w:highlight w:val="none"/>
        </w:rPr>
        <w:t>）上发布中标结果公告，公示期为72小时。供应商如对评标结果有异议，请于公示期内，以书面的形式向我公司反映。若在公示期内未提出异议，则视为认同该评标结果。</w:t>
      </w:r>
    </w:p>
    <w:p>
      <w:pPr>
        <w:tabs>
          <w:tab w:val="clear" w:pos="426"/>
        </w:tabs>
        <w:rPr>
          <w:highlight w:val="none"/>
        </w:rPr>
      </w:pPr>
      <w:r>
        <w:rPr>
          <w:rFonts w:hint="eastAsia"/>
          <w:highlight w:val="none"/>
        </w:rPr>
        <w:t>41.2质疑投诉人应保证质疑投诉内容的真实性和可靠性，并承担相应的法律责任。</w:t>
      </w:r>
    </w:p>
    <w:p>
      <w:pPr>
        <w:tabs>
          <w:tab w:val="clear" w:pos="426"/>
        </w:tabs>
        <w:rPr>
          <w:highlight w:val="none"/>
        </w:rPr>
      </w:pPr>
      <w:bookmarkStart w:id="325" w:name="_Toc100052406"/>
      <w:r>
        <w:rPr>
          <w:rFonts w:hint="eastAsia"/>
          <w:highlight w:val="none"/>
        </w:rPr>
        <w:t>42．中标通知书</w:t>
      </w:r>
      <w:bookmarkEnd w:id="325"/>
    </w:p>
    <w:bookmarkEnd w:id="321"/>
    <w:bookmarkEnd w:id="322"/>
    <w:bookmarkEnd w:id="323"/>
    <w:bookmarkEnd w:id="324"/>
    <w:p>
      <w:pPr>
        <w:tabs>
          <w:tab w:val="clear" w:pos="426"/>
        </w:tabs>
        <w:rPr>
          <w:highlight w:val="none"/>
        </w:rPr>
      </w:pPr>
      <w:r>
        <w:rPr>
          <w:rFonts w:hint="eastAsia"/>
          <w:highlight w:val="none"/>
        </w:rPr>
        <w:t>42</w:t>
      </w:r>
      <w:r>
        <w:rPr>
          <w:highlight w:val="none"/>
        </w:rPr>
        <w:t>.</w:t>
      </w:r>
      <w:r>
        <w:rPr>
          <w:rFonts w:hint="eastAsia"/>
          <w:highlight w:val="none"/>
        </w:rPr>
        <w:t>1中标公告公布后,公示期内无人投诉,请中标人凭单位证明及本人身份证到采购代理机构领取《中标通知书》。</w:t>
      </w:r>
    </w:p>
    <w:p>
      <w:pPr>
        <w:tabs>
          <w:tab w:val="clear" w:pos="426"/>
        </w:tabs>
        <w:rPr>
          <w:highlight w:val="none"/>
        </w:rPr>
      </w:pPr>
      <w:r>
        <w:rPr>
          <w:rFonts w:hint="eastAsia"/>
          <w:highlight w:val="none"/>
        </w:rPr>
        <w:t>42</w:t>
      </w:r>
      <w:r>
        <w:rPr>
          <w:highlight w:val="none"/>
        </w:rPr>
        <w:t>.2</w:t>
      </w:r>
      <w:r>
        <w:rPr>
          <w:rFonts w:hint="eastAsia"/>
          <w:highlight w:val="none"/>
        </w:rPr>
        <w:t>中标通知书是合同的重要组成部分。</w:t>
      </w:r>
    </w:p>
    <w:p>
      <w:pPr>
        <w:tabs>
          <w:tab w:val="clear" w:pos="426"/>
        </w:tabs>
        <w:rPr>
          <w:highlight w:val="none"/>
        </w:rPr>
      </w:pPr>
      <w:r>
        <w:rPr>
          <w:rFonts w:hint="eastAsia"/>
          <w:highlight w:val="none"/>
        </w:rPr>
        <w:t>42.3因质疑投诉或其它原因导致项目结果变更或采购终止的，我公司有权收回中标通知书或终止采购合同。</w:t>
      </w:r>
    </w:p>
    <w:p>
      <w:pPr>
        <w:pStyle w:val="4"/>
        <w:tabs>
          <w:tab w:val="clear" w:pos="426"/>
        </w:tabs>
        <w:rPr>
          <w:highlight w:val="none"/>
        </w:rPr>
      </w:pPr>
      <w:bookmarkStart w:id="326" w:name="bt合同的授予"/>
      <w:bookmarkEnd w:id="326"/>
      <w:bookmarkStart w:id="327" w:name="_Toc30143"/>
      <w:bookmarkStart w:id="328" w:name="_Toc398220536"/>
      <w:bookmarkStart w:id="329" w:name="_Toc432592828"/>
      <w:bookmarkStart w:id="330" w:name="_Toc100052407"/>
      <w:bookmarkStart w:id="331" w:name="_Toc101074884"/>
      <w:bookmarkStart w:id="332" w:name="_Toc73518156"/>
      <w:bookmarkStart w:id="333" w:name="_Toc73517678"/>
      <w:r>
        <w:rPr>
          <w:rFonts w:hint="eastAsia"/>
          <w:highlight w:val="none"/>
        </w:rPr>
        <w:t>第八章 公开招标失败的后续处理</w:t>
      </w:r>
      <w:bookmarkEnd w:id="327"/>
      <w:bookmarkEnd w:id="328"/>
      <w:bookmarkEnd w:id="329"/>
    </w:p>
    <w:p>
      <w:pPr>
        <w:tabs>
          <w:tab w:val="clear" w:pos="426"/>
        </w:tabs>
        <w:rPr>
          <w:highlight w:val="none"/>
        </w:rPr>
      </w:pPr>
      <w:r>
        <w:rPr>
          <w:rFonts w:hint="eastAsia"/>
          <w:highlight w:val="none"/>
        </w:rPr>
        <w:t>43．公开招标失败的处理</w:t>
      </w:r>
    </w:p>
    <w:p>
      <w:pPr>
        <w:tabs>
          <w:tab w:val="clear" w:pos="426"/>
        </w:tabs>
        <w:rPr>
          <w:highlight w:val="none"/>
        </w:rPr>
      </w:pPr>
      <w:r>
        <w:rPr>
          <w:rFonts w:hint="eastAsia"/>
          <w:szCs w:val="21"/>
          <w:highlight w:val="none"/>
        </w:rPr>
        <w:t>43.1本项目公开招标过程中若由于投标截止后</w:t>
      </w:r>
      <w:r>
        <w:rPr>
          <w:rFonts w:hint="eastAsia"/>
          <w:highlight w:val="none"/>
        </w:rPr>
        <w:t>实际递交</w:t>
      </w:r>
      <w:r>
        <w:rPr>
          <w:highlight w:val="none"/>
        </w:rPr>
        <w:t>投标</w:t>
      </w:r>
      <w:r>
        <w:rPr>
          <w:rFonts w:hint="eastAsia"/>
          <w:highlight w:val="none"/>
        </w:rPr>
        <w:t>文件的供应商数量不足、经评标委员会评审对招标文件作实质响应的供应商不足等原因造成公开招标失败，可由采购代理机构重新组织采购。</w:t>
      </w:r>
    </w:p>
    <w:p>
      <w:pPr>
        <w:tabs>
          <w:tab w:val="clear" w:pos="426"/>
        </w:tabs>
        <w:rPr>
          <w:highlight w:val="none"/>
        </w:rPr>
      </w:pPr>
      <w:r>
        <w:rPr>
          <w:rFonts w:hint="eastAsia"/>
          <w:highlight w:val="none"/>
        </w:rPr>
        <w:t>43.2对公开招标失败的项目，评标委员会在出具该项目招标失败结论的同时，提出重新采购组织形式的建议，以及进一步完善招标文件的资格、技术、商务要求的修改建议。</w:t>
      </w:r>
    </w:p>
    <w:p>
      <w:pPr>
        <w:tabs>
          <w:tab w:val="clear" w:pos="426"/>
        </w:tabs>
        <w:rPr>
          <w:highlight w:val="none"/>
        </w:rPr>
      </w:pPr>
      <w:r>
        <w:rPr>
          <w:rFonts w:hint="eastAsia"/>
          <w:highlight w:val="none"/>
        </w:rPr>
        <w:t>43.3重新组织采购有以下两种组织形式：</w:t>
      </w:r>
    </w:p>
    <w:p>
      <w:pPr>
        <w:tabs>
          <w:tab w:val="clear" w:pos="426"/>
        </w:tabs>
        <w:rPr>
          <w:highlight w:val="none"/>
        </w:rPr>
      </w:pPr>
      <w:r>
        <w:rPr>
          <w:rFonts w:hint="eastAsia"/>
          <w:highlight w:val="none"/>
        </w:rPr>
        <w:t>（1）由采购代理机构重新组织公开招标；</w:t>
      </w:r>
    </w:p>
    <w:p>
      <w:pPr>
        <w:tabs>
          <w:tab w:val="clear" w:pos="426"/>
        </w:tabs>
        <w:rPr>
          <w:highlight w:val="none"/>
        </w:rPr>
      </w:pPr>
      <w:r>
        <w:rPr>
          <w:rFonts w:hint="eastAsia"/>
          <w:highlight w:val="none"/>
        </w:rPr>
        <w:t>（2）根据实际情况需要向政府采购监督管理部门提出非公开招标方式申请，经政府采购监督管理部门批准公开招标失败采购项目可转为竞争性谈判或单一来源谈判方式采购。</w:t>
      </w:r>
    </w:p>
    <w:p>
      <w:pPr>
        <w:tabs>
          <w:tab w:val="clear" w:pos="426"/>
        </w:tabs>
        <w:rPr>
          <w:highlight w:val="none"/>
        </w:rPr>
      </w:pPr>
      <w:r>
        <w:rPr>
          <w:rFonts w:hint="eastAsia"/>
          <w:highlight w:val="none"/>
        </w:rPr>
        <w:t>43.4公开招标失败的采购项目重新组织公开招标，采购代理机构要重新按公开招标流程发布采购公告和招标文件、组成评标委员会等组织采购活动。</w:t>
      </w:r>
    </w:p>
    <w:p>
      <w:pPr>
        <w:tabs>
          <w:tab w:val="clear" w:pos="426"/>
        </w:tabs>
        <w:rPr>
          <w:highlight w:val="none"/>
        </w:rPr>
      </w:pPr>
      <w:r>
        <w:rPr>
          <w:rFonts w:hint="eastAsia"/>
          <w:highlight w:val="none"/>
        </w:rPr>
        <w:t>43.5公开招标失败的采购项目经政府采购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pPr>
        <w:tabs>
          <w:tab w:val="clear" w:pos="426"/>
        </w:tabs>
        <w:rPr>
          <w:highlight w:val="none"/>
        </w:rPr>
      </w:pPr>
      <w:r>
        <w:rPr>
          <w:rFonts w:hint="eastAsia"/>
          <w:highlight w:val="none"/>
        </w:rPr>
        <w:t>44．公开招标失败项目转为竞争性谈判方式采购的</w:t>
      </w:r>
    </w:p>
    <w:p>
      <w:pPr>
        <w:tabs>
          <w:tab w:val="clear" w:pos="426"/>
        </w:tabs>
        <w:rPr>
          <w:highlight w:val="none"/>
        </w:rPr>
      </w:pPr>
      <w:r>
        <w:rPr>
          <w:rFonts w:hint="eastAsia"/>
          <w:highlight w:val="none"/>
        </w:rPr>
        <w:t>44.1谈判文件</w:t>
      </w:r>
    </w:p>
    <w:p>
      <w:pPr>
        <w:tabs>
          <w:tab w:val="clear" w:pos="426"/>
        </w:tabs>
        <w:rPr>
          <w:highlight w:val="none"/>
        </w:rPr>
      </w:pPr>
      <w:r>
        <w:rPr>
          <w:rFonts w:hint="eastAsia"/>
          <w:highlight w:val="none"/>
        </w:rPr>
        <w:t>44.1.1公开招标失败项目转为竞争性谈判方式采购的，原招标文件转为谈判文件。</w:t>
      </w:r>
    </w:p>
    <w:p>
      <w:pPr>
        <w:tabs>
          <w:tab w:val="clear" w:pos="426"/>
        </w:tabs>
        <w:rPr>
          <w:highlight w:val="none"/>
        </w:rPr>
      </w:pPr>
      <w:r>
        <w:rPr>
          <w:rFonts w:hint="eastAsia"/>
          <w:highlight w:val="none"/>
        </w:rPr>
        <w:t>44.2谈判小组</w:t>
      </w:r>
    </w:p>
    <w:p>
      <w:pPr>
        <w:tabs>
          <w:tab w:val="clear" w:pos="426"/>
        </w:tabs>
        <w:rPr>
          <w:highlight w:val="none"/>
        </w:rPr>
      </w:pPr>
      <w:r>
        <w:rPr>
          <w:rFonts w:hint="eastAsia"/>
          <w:highlight w:val="none"/>
        </w:rPr>
        <w:t>44.2.1公开招标失败项目转为竞争性谈判方式采购后，评标委员会转为谈判小组；专家可重新抽取也可继续采用评标委员会内专家。</w:t>
      </w:r>
    </w:p>
    <w:p>
      <w:pPr>
        <w:tabs>
          <w:tab w:val="clear" w:pos="426"/>
        </w:tabs>
        <w:rPr>
          <w:b/>
          <w:highlight w:val="none"/>
        </w:rPr>
      </w:pPr>
      <w:r>
        <w:rPr>
          <w:rFonts w:hint="eastAsia"/>
          <w:szCs w:val="21"/>
          <w:highlight w:val="none"/>
        </w:rPr>
        <w:t>44.2.2</w:t>
      </w:r>
      <w:r>
        <w:rPr>
          <w:rFonts w:hint="eastAsia"/>
          <w:highlight w:val="none"/>
        </w:rPr>
        <w:t>谈判前，谈判小组将对各供应商的谈判应答文件进行审查，</w:t>
      </w:r>
      <w:r>
        <w:rPr>
          <w:rFonts w:hint="eastAsia"/>
          <w:bCs/>
          <w:highlight w:val="none"/>
        </w:rPr>
        <w:t>当谈判应答文件出现下列情况之一的将视为无效，按无效标或废标处理，不得进入谈判，</w:t>
      </w:r>
      <w:r>
        <w:rPr>
          <w:rFonts w:hint="eastAsia"/>
          <w:b/>
          <w:highlight w:val="none"/>
        </w:rPr>
        <w:t>具体内容见原招标文件中“资格、符合性评审</w:t>
      </w:r>
      <w:r>
        <w:rPr>
          <w:rFonts w:hint="eastAsia"/>
          <w:b/>
          <w:bCs/>
          <w:highlight w:val="none"/>
        </w:rPr>
        <w:t>”</w:t>
      </w:r>
      <w:r>
        <w:rPr>
          <w:rFonts w:hint="eastAsia"/>
          <w:b/>
          <w:highlight w:val="none"/>
        </w:rPr>
        <w:t>部分以及谈判邀请中相应的变动部分。</w:t>
      </w:r>
    </w:p>
    <w:p>
      <w:pPr>
        <w:tabs>
          <w:tab w:val="clear" w:pos="426"/>
        </w:tabs>
        <w:rPr>
          <w:highlight w:val="none"/>
        </w:rPr>
      </w:pPr>
      <w:r>
        <w:rPr>
          <w:rFonts w:hint="eastAsia"/>
          <w:highlight w:val="none"/>
        </w:rPr>
        <w:t>44.3谈判程序</w:t>
      </w:r>
    </w:p>
    <w:p>
      <w:pPr>
        <w:tabs>
          <w:tab w:val="clear" w:pos="426"/>
        </w:tabs>
        <w:rPr>
          <w:highlight w:val="none"/>
        </w:rPr>
      </w:pPr>
      <w:r>
        <w:rPr>
          <w:rFonts w:hint="eastAsia"/>
          <w:highlight w:val="none"/>
        </w:rPr>
        <w:t>44.3.1参加谈判的供应商和谈判小组成员填写谈判登记表，并交验证明文件（法定代表人证明书、法人授权委托书、被授权的谈判代表身份证原件）。</w:t>
      </w:r>
    </w:p>
    <w:p>
      <w:pPr>
        <w:tabs>
          <w:tab w:val="clear" w:pos="426"/>
        </w:tabs>
        <w:rPr>
          <w:highlight w:val="none"/>
        </w:rPr>
      </w:pPr>
      <w:r>
        <w:rPr>
          <w:rFonts w:hint="eastAsia"/>
          <w:highlight w:val="none"/>
        </w:rPr>
        <w:t>44.3</w:t>
      </w:r>
      <w:r>
        <w:rPr>
          <w:highlight w:val="none"/>
        </w:rPr>
        <w:t>.2</w:t>
      </w:r>
      <w:r>
        <w:rPr>
          <w:rFonts w:hint="eastAsia"/>
          <w:highlight w:val="none"/>
        </w:rPr>
        <w:t>谈判小组主持人宣布谈判规则和谈判纪律。</w:t>
      </w:r>
    </w:p>
    <w:p>
      <w:pPr>
        <w:tabs>
          <w:tab w:val="clear" w:pos="426"/>
        </w:tabs>
        <w:rPr>
          <w:highlight w:val="none"/>
        </w:rPr>
      </w:pPr>
      <w:r>
        <w:rPr>
          <w:rFonts w:hint="eastAsia"/>
          <w:highlight w:val="none"/>
        </w:rPr>
        <w:t>44.3</w:t>
      </w:r>
      <w:r>
        <w:rPr>
          <w:highlight w:val="none"/>
        </w:rPr>
        <w:t>.3</w:t>
      </w:r>
      <w:r>
        <w:rPr>
          <w:rFonts w:hint="eastAsia"/>
          <w:highlight w:val="none"/>
        </w:rPr>
        <w:t>在谈判中，谈判小组将就以下谈判内容跟供应商进行谈判：</w:t>
      </w:r>
    </w:p>
    <w:p>
      <w:pPr>
        <w:tabs>
          <w:tab w:val="clear" w:pos="426"/>
        </w:tabs>
        <w:rPr>
          <w:highlight w:val="none"/>
        </w:rPr>
      </w:pPr>
      <w:r>
        <w:rPr>
          <w:rFonts w:hint="eastAsia"/>
          <w:highlight w:val="none"/>
        </w:rPr>
        <w:t>（</w:t>
      </w:r>
      <w:r>
        <w:rPr>
          <w:highlight w:val="none"/>
        </w:rPr>
        <w:t>1</w:t>
      </w:r>
      <w:r>
        <w:rPr>
          <w:rFonts w:hint="eastAsia"/>
          <w:highlight w:val="none"/>
        </w:rPr>
        <w:t>）项目方案；</w:t>
      </w:r>
    </w:p>
    <w:p>
      <w:pPr>
        <w:tabs>
          <w:tab w:val="clear" w:pos="426"/>
        </w:tabs>
        <w:rPr>
          <w:highlight w:val="none"/>
        </w:rPr>
      </w:pPr>
      <w:r>
        <w:rPr>
          <w:rFonts w:hint="eastAsia"/>
          <w:highlight w:val="none"/>
        </w:rPr>
        <w:t>（2）报价；</w:t>
      </w:r>
    </w:p>
    <w:p>
      <w:pPr>
        <w:tabs>
          <w:tab w:val="clear" w:pos="426"/>
        </w:tabs>
        <w:rPr>
          <w:highlight w:val="none"/>
        </w:rPr>
      </w:pPr>
      <w:r>
        <w:rPr>
          <w:rFonts w:hint="eastAsia"/>
          <w:highlight w:val="none"/>
        </w:rPr>
        <w:t>（3）其它相关事项。</w:t>
      </w:r>
    </w:p>
    <w:p>
      <w:pPr>
        <w:tabs>
          <w:tab w:val="clear" w:pos="426"/>
        </w:tabs>
        <w:rPr>
          <w:highlight w:val="none"/>
        </w:rPr>
      </w:pPr>
      <w:r>
        <w:rPr>
          <w:rFonts w:hint="eastAsia"/>
          <w:highlight w:val="none"/>
        </w:rPr>
        <w:t>原招标文件或谈判邀请文件有实质性变动的，谈判小组应当通过采购代理机构通知所有参加谈判的供应商。</w:t>
      </w:r>
    </w:p>
    <w:p>
      <w:pPr>
        <w:tabs>
          <w:tab w:val="clear" w:pos="426"/>
        </w:tabs>
        <w:rPr>
          <w:highlight w:val="none"/>
        </w:rPr>
      </w:pPr>
      <w:r>
        <w:rPr>
          <w:rFonts w:hint="eastAsia"/>
          <w:highlight w:val="none"/>
        </w:rPr>
        <w:t>44.3.4谈判小组可以用书面形式要求各供应商对其谈判应答文件含义不明确的内容作必要的澄清或者说明，重要问题供应商应以书面形式进行澄清、说明。</w:t>
      </w:r>
    </w:p>
    <w:p>
      <w:pPr>
        <w:tabs>
          <w:tab w:val="clear" w:pos="426"/>
        </w:tabs>
        <w:rPr>
          <w:highlight w:val="none"/>
        </w:rPr>
      </w:pPr>
      <w:r>
        <w:rPr>
          <w:rFonts w:hint="eastAsia"/>
          <w:highlight w:val="none"/>
        </w:rPr>
        <w:t>44.3</w:t>
      </w:r>
      <w:r>
        <w:rPr>
          <w:highlight w:val="none"/>
        </w:rPr>
        <w:t>.</w:t>
      </w:r>
      <w:r>
        <w:rPr>
          <w:rFonts w:hint="eastAsia"/>
          <w:highlight w:val="none"/>
        </w:rPr>
        <w:t>5 允许供应商在谈判结束之前根据谈判小组提出的内容进行澄清、修改或完善，或对项目方案进行相应的调整。</w:t>
      </w:r>
    </w:p>
    <w:p>
      <w:pPr>
        <w:tabs>
          <w:tab w:val="clear" w:pos="426"/>
        </w:tabs>
        <w:rPr>
          <w:highlight w:val="none"/>
        </w:rPr>
      </w:pPr>
      <w:r>
        <w:rPr>
          <w:rFonts w:hint="eastAsia"/>
          <w:highlight w:val="none"/>
        </w:rPr>
        <w:t>44.3</w:t>
      </w:r>
      <w:r>
        <w:rPr>
          <w:highlight w:val="none"/>
        </w:rPr>
        <w:t>.</w:t>
      </w:r>
      <w:r>
        <w:rPr>
          <w:rFonts w:hint="eastAsia"/>
          <w:highlight w:val="none"/>
        </w:rPr>
        <w:t>6供应商对谈判应答文件进行修改，都应形成文字材料，并经供应商谈判授权人签字认可。</w:t>
      </w:r>
    </w:p>
    <w:p>
      <w:pPr>
        <w:tabs>
          <w:tab w:val="clear" w:pos="426"/>
        </w:tabs>
        <w:rPr>
          <w:highlight w:val="none"/>
        </w:rPr>
      </w:pPr>
      <w:r>
        <w:rPr>
          <w:rFonts w:hint="eastAsia"/>
          <w:highlight w:val="none"/>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tabs>
          <w:tab w:val="clear" w:pos="426"/>
        </w:tabs>
        <w:rPr>
          <w:szCs w:val="21"/>
          <w:highlight w:val="none"/>
        </w:rPr>
      </w:pPr>
      <w:r>
        <w:rPr>
          <w:rFonts w:hint="eastAsia"/>
          <w:szCs w:val="21"/>
          <w:highlight w:val="none"/>
        </w:rPr>
        <w:t>44.3.8有下列情形之一的，该供应商的谈判结果</w:t>
      </w:r>
      <w:r>
        <w:rPr>
          <w:rFonts w:hint="eastAsia"/>
          <w:bCs/>
          <w:highlight w:val="none"/>
        </w:rPr>
        <w:t>按无效标或废标处理</w:t>
      </w:r>
      <w:r>
        <w:rPr>
          <w:rFonts w:hint="eastAsia"/>
          <w:szCs w:val="21"/>
          <w:highlight w:val="none"/>
        </w:rPr>
        <w:t>，</w:t>
      </w:r>
      <w:r>
        <w:rPr>
          <w:rFonts w:hint="eastAsia"/>
          <w:highlight w:val="none"/>
        </w:rPr>
        <w:t>具体内容见原招标文件中不符合“</w:t>
      </w:r>
      <w:r>
        <w:rPr>
          <w:rFonts w:hint="eastAsia"/>
          <w:b/>
          <w:highlight w:val="none"/>
        </w:rPr>
        <w:t>资格、符合性评审条款</w:t>
      </w:r>
      <w:r>
        <w:rPr>
          <w:rFonts w:hint="eastAsia"/>
          <w:highlight w:val="none"/>
        </w:rPr>
        <w:t>”部分以及谈判邀请中相应的变动部分。</w:t>
      </w:r>
    </w:p>
    <w:p>
      <w:pPr>
        <w:tabs>
          <w:tab w:val="clear" w:pos="426"/>
        </w:tabs>
        <w:rPr>
          <w:highlight w:val="none"/>
        </w:rPr>
      </w:pPr>
      <w:r>
        <w:rPr>
          <w:rFonts w:hint="eastAsia"/>
          <w:highlight w:val="none"/>
        </w:rPr>
        <w:t>44.3</w:t>
      </w:r>
      <w:r>
        <w:rPr>
          <w:highlight w:val="none"/>
        </w:rPr>
        <w:t>.</w:t>
      </w:r>
      <w:r>
        <w:rPr>
          <w:rFonts w:hint="eastAsia"/>
          <w:highlight w:val="none"/>
        </w:rPr>
        <w:t>9谈判结束后，谈判小组根据供应商提供的谈判应答文件、谈判过程中产生的相关资料，对供应商谈判应答文件进行评估与比较，提出书面评审意见。</w:t>
      </w:r>
    </w:p>
    <w:p>
      <w:pPr>
        <w:tabs>
          <w:tab w:val="clear" w:pos="426"/>
        </w:tabs>
        <w:rPr>
          <w:highlight w:val="none"/>
        </w:rPr>
      </w:pPr>
      <w:r>
        <w:rPr>
          <w:rFonts w:hint="eastAsia"/>
          <w:highlight w:val="none"/>
        </w:rPr>
        <w:t>44.3.10谈判小组将对谈判过程进行记录，以存档备查。</w:t>
      </w:r>
    </w:p>
    <w:p>
      <w:pPr>
        <w:tabs>
          <w:tab w:val="clear" w:pos="426"/>
        </w:tabs>
        <w:rPr>
          <w:highlight w:val="none"/>
        </w:rPr>
      </w:pPr>
      <w:r>
        <w:rPr>
          <w:rFonts w:hint="eastAsia"/>
          <w:highlight w:val="none"/>
        </w:rPr>
        <w:t>44.4评标方法和定标原则</w:t>
      </w:r>
    </w:p>
    <w:p>
      <w:pPr>
        <w:tabs>
          <w:tab w:val="clear" w:pos="426"/>
        </w:tabs>
        <w:rPr>
          <w:highlight w:val="none"/>
        </w:rPr>
      </w:pPr>
      <w:r>
        <w:rPr>
          <w:rFonts w:hint="eastAsia"/>
          <w:highlight w:val="none"/>
        </w:rPr>
        <w:t>44.4.1根据《深圳市政府采购评标委员会和评标方法暂行规定》（深财购〔2005〕5号），竞争性谈判采购项目的评标方法要比照</w:t>
      </w:r>
      <w:r>
        <w:rPr>
          <w:rFonts w:hint="eastAsia"/>
          <w:b/>
          <w:highlight w:val="none"/>
        </w:rPr>
        <w:t>最低评标价法规定执行</w:t>
      </w:r>
      <w:r>
        <w:rPr>
          <w:rFonts w:hint="eastAsia"/>
          <w:highlight w:val="none"/>
        </w:rPr>
        <w:t>。如确因实际情况需要采用其他评标方法的，应报经同级政府采购监督管理部门批准。</w:t>
      </w:r>
      <w:r>
        <w:rPr>
          <w:rFonts w:hint="eastAsia"/>
          <w:b/>
          <w:highlight w:val="none"/>
        </w:rPr>
        <w:t>原招标文件若采用</w:t>
      </w:r>
      <w:r>
        <w:rPr>
          <w:rFonts w:hint="eastAsia"/>
          <w:b/>
          <w:bCs/>
          <w:highlight w:val="none"/>
        </w:rPr>
        <w:t>最低评标价法以外的评标方法，转为竞争性谈判后，评标方法应采用</w:t>
      </w:r>
      <w:r>
        <w:rPr>
          <w:rFonts w:hint="eastAsia"/>
          <w:b/>
          <w:highlight w:val="none"/>
        </w:rPr>
        <w:t>最低评标价法。</w:t>
      </w:r>
    </w:p>
    <w:p>
      <w:pPr>
        <w:tabs>
          <w:tab w:val="clear" w:pos="426"/>
        </w:tabs>
        <w:rPr>
          <w:highlight w:val="none"/>
        </w:rPr>
      </w:pPr>
      <w:r>
        <w:rPr>
          <w:rFonts w:hint="eastAsia"/>
          <w:szCs w:val="21"/>
          <w:highlight w:val="none"/>
        </w:rPr>
        <w:t>44.4.2对公开招标失败转为竞争性谈判方式采购的项目，谈判小组</w:t>
      </w:r>
      <w:r>
        <w:rPr>
          <w:rFonts w:hint="eastAsia"/>
          <w:highlight w:val="none"/>
        </w:rPr>
        <w:t>对谈判应答文件进行评审和比较，综合各家供应商最终的方案、服务和投资等谈判结果并按本通用条款第</w:t>
      </w:r>
      <w:r>
        <w:rPr>
          <w:rFonts w:hint="eastAsia"/>
          <w:bCs/>
          <w:szCs w:val="21"/>
          <w:highlight w:val="none"/>
        </w:rPr>
        <w:t>37.1.1款</w:t>
      </w:r>
      <w:r>
        <w:rPr>
          <w:rFonts w:hint="eastAsia"/>
          <w:highlight w:val="none"/>
        </w:rPr>
        <w:t>的</w:t>
      </w:r>
      <w:r>
        <w:rPr>
          <w:rFonts w:hint="eastAsia"/>
          <w:b/>
          <w:bCs/>
          <w:highlight w:val="none"/>
        </w:rPr>
        <w:t>最低评标价法</w:t>
      </w:r>
      <w:r>
        <w:rPr>
          <w:rFonts w:hint="eastAsia"/>
          <w:highlight w:val="none"/>
        </w:rPr>
        <w:t>进行评审。</w:t>
      </w:r>
    </w:p>
    <w:p>
      <w:pPr>
        <w:tabs>
          <w:tab w:val="clear" w:pos="426"/>
        </w:tabs>
        <w:rPr>
          <w:highlight w:val="none"/>
        </w:rPr>
      </w:pPr>
      <w:r>
        <w:rPr>
          <w:rFonts w:hint="eastAsia"/>
          <w:highlight w:val="none"/>
        </w:rPr>
        <w:t>44.4.3若要采用其他评标方法的，必须报经政府采购监督管理部门批准，谈判小组按批准的评标方法进行评审。谈判邀请文件中应注明批准的评标方法。</w:t>
      </w:r>
    </w:p>
    <w:p>
      <w:pPr>
        <w:tabs>
          <w:tab w:val="clear" w:pos="426"/>
        </w:tabs>
        <w:rPr>
          <w:highlight w:val="none"/>
        </w:rPr>
      </w:pPr>
      <w:r>
        <w:rPr>
          <w:rFonts w:hint="eastAsia"/>
          <w:highlight w:val="none"/>
        </w:rPr>
        <w:t>44.4.4谈判小组向采购代理机构提交书面评标报告，并推荐中标候选人或确定中标人。</w:t>
      </w:r>
    </w:p>
    <w:p>
      <w:pPr>
        <w:tabs>
          <w:tab w:val="clear" w:pos="426"/>
        </w:tabs>
        <w:rPr>
          <w:highlight w:val="none"/>
        </w:rPr>
      </w:pPr>
      <w:r>
        <w:rPr>
          <w:rFonts w:hint="eastAsia"/>
          <w:highlight w:val="none"/>
        </w:rPr>
        <w:t>45．公开招标失败项目转为单一来源谈判方式采购</w:t>
      </w:r>
    </w:p>
    <w:p>
      <w:pPr>
        <w:tabs>
          <w:tab w:val="clear" w:pos="426"/>
        </w:tabs>
        <w:rPr>
          <w:highlight w:val="none"/>
        </w:rPr>
      </w:pPr>
      <w:r>
        <w:rPr>
          <w:rFonts w:hint="eastAsia"/>
          <w:highlight w:val="none"/>
        </w:rPr>
        <w:t>45.1谈判文件</w:t>
      </w:r>
    </w:p>
    <w:p>
      <w:pPr>
        <w:tabs>
          <w:tab w:val="clear" w:pos="426"/>
        </w:tabs>
        <w:rPr>
          <w:highlight w:val="none"/>
        </w:rPr>
      </w:pPr>
      <w:r>
        <w:rPr>
          <w:rFonts w:hint="eastAsia"/>
          <w:highlight w:val="none"/>
        </w:rPr>
        <w:t>45.1.1公开招标失败项目转为单一来源谈判方式采购的，原招标文件转为谈判文件。</w:t>
      </w:r>
    </w:p>
    <w:p>
      <w:pPr>
        <w:tabs>
          <w:tab w:val="clear" w:pos="426"/>
        </w:tabs>
        <w:rPr>
          <w:highlight w:val="none"/>
        </w:rPr>
      </w:pPr>
      <w:r>
        <w:rPr>
          <w:rFonts w:hint="eastAsia"/>
          <w:highlight w:val="none"/>
        </w:rPr>
        <w:t>45.2谈判小组</w:t>
      </w:r>
    </w:p>
    <w:p>
      <w:pPr>
        <w:tabs>
          <w:tab w:val="clear" w:pos="426"/>
        </w:tabs>
        <w:rPr>
          <w:highlight w:val="none"/>
        </w:rPr>
      </w:pPr>
      <w:r>
        <w:rPr>
          <w:rFonts w:hint="eastAsia"/>
          <w:highlight w:val="none"/>
        </w:rPr>
        <w:t>45.2.1公开招标失败项目转为单一来源谈判方式采购后，评标委员会转为谈判小组，专家可重新抽取也可继续采用评标委员会内专家。</w:t>
      </w:r>
    </w:p>
    <w:p>
      <w:pPr>
        <w:tabs>
          <w:tab w:val="clear" w:pos="426"/>
        </w:tabs>
        <w:rPr>
          <w:highlight w:val="none"/>
        </w:rPr>
      </w:pPr>
      <w:r>
        <w:rPr>
          <w:rFonts w:hint="eastAsia"/>
          <w:szCs w:val="21"/>
          <w:highlight w:val="none"/>
        </w:rPr>
        <w:t>45.2.2</w:t>
      </w:r>
      <w:r>
        <w:rPr>
          <w:rFonts w:hint="eastAsia"/>
          <w:highlight w:val="none"/>
        </w:rPr>
        <w:t>谈判前，谈判小组将对单一来源供应商的谈判应答文件进行审查，</w:t>
      </w:r>
      <w:r>
        <w:rPr>
          <w:rFonts w:hint="eastAsia"/>
          <w:bCs/>
          <w:highlight w:val="none"/>
        </w:rPr>
        <w:t>当谈判应答文件出现下列情况之一的将视为无效，按无效标或废标处理，不得进入谈判，</w:t>
      </w:r>
      <w:r>
        <w:rPr>
          <w:rFonts w:hint="eastAsia"/>
          <w:b/>
          <w:highlight w:val="none"/>
        </w:rPr>
        <w:t>具体内容见原招标文件中“资格、符合性评审条款</w:t>
      </w:r>
      <w:r>
        <w:rPr>
          <w:rFonts w:hint="eastAsia"/>
          <w:b/>
          <w:bCs/>
          <w:highlight w:val="none"/>
        </w:rPr>
        <w:t>”</w:t>
      </w:r>
      <w:r>
        <w:rPr>
          <w:rFonts w:hint="eastAsia"/>
          <w:b/>
          <w:highlight w:val="none"/>
        </w:rPr>
        <w:t>部分以及谈判邀请中相应的变动部分。</w:t>
      </w:r>
    </w:p>
    <w:p>
      <w:pPr>
        <w:tabs>
          <w:tab w:val="clear" w:pos="426"/>
        </w:tabs>
        <w:rPr>
          <w:highlight w:val="none"/>
        </w:rPr>
      </w:pPr>
      <w:r>
        <w:rPr>
          <w:rFonts w:hint="eastAsia"/>
          <w:highlight w:val="none"/>
        </w:rPr>
        <w:t>45.3谈判程序</w:t>
      </w:r>
    </w:p>
    <w:p>
      <w:pPr>
        <w:tabs>
          <w:tab w:val="clear" w:pos="426"/>
        </w:tabs>
        <w:rPr>
          <w:highlight w:val="none"/>
        </w:rPr>
      </w:pPr>
      <w:r>
        <w:rPr>
          <w:rFonts w:hint="eastAsia"/>
          <w:highlight w:val="none"/>
        </w:rPr>
        <w:t>45.3.1参加谈判的供应商和谈判小组成员填写谈判登记表，并交验证明文件（法定代表人证明书、法人授权委托书、被授权的谈判代表身份证原件）。</w:t>
      </w:r>
    </w:p>
    <w:p>
      <w:pPr>
        <w:tabs>
          <w:tab w:val="clear" w:pos="426"/>
        </w:tabs>
        <w:rPr>
          <w:highlight w:val="none"/>
        </w:rPr>
      </w:pPr>
      <w:r>
        <w:rPr>
          <w:rFonts w:hint="eastAsia"/>
          <w:highlight w:val="none"/>
        </w:rPr>
        <w:t>45.3</w:t>
      </w:r>
      <w:r>
        <w:rPr>
          <w:highlight w:val="none"/>
        </w:rPr>
        <w:t>.2</w:t>
      </w:r>
      <w:r>
        <w:rPr>
          <w:rFonts w:hint="eastAsia"/>
          <w:highlight w:val="none"/>
        </w:rPr>
        <w:t>谈判小组主持人宣布谈判规则和谈判纪律。</w:t>
      </w:r>
    </w:p>
    <w:p>
      <w:pPr>
        <w:tabs>
          <w:tab w:val="clear" w:pos="426"/>
        </w:tabs>
        <w:rPr>
          <w:highlight w:val="none"/>
        </w:rPr>
      </w:pPr>
      <w:r>
        <w:rPr>
          <w:rFonts w:hint="eastAsia"/>
          <w:highlight w:val="none"/>
        </w:rPr>
        <w:t>45.3</w:t>
      </w:r>
      <w:r>
        <w:rPr>
          <w:highlight w:val="none"/>
        </w:rPr>
        <w:t>.3</w:t>
      </w:r>
      <w:r>
        <w:rPr>
          <w:rFonts w:hint="eastAsia"/>
          <w:highlight w:val="none"/>
        </w:rPr>
        <w:t>在谈判中，谈判小组将就以下谈判内容跟供应商进行谈判：</w:t>
      </w:r>
    </w:p>
    <w:p>
      <w:pPr>
        <w:tabs>
          <w:tab w:val="clear" w:pos="426"/>
        </w:tabs>
        <w:rPr>
          <w:highlight w:val="none"/>
        </w:rPr>
      </w:pPr>
      <w:r>
        <w:rPr>
          <w:rFonts w:hint="eastAsia"/>
          <w:highlight w:val="none"/>
        </w:rPr>
        <w:t>（</w:t>
      </w:r>
      <w:r>
        <w:rPr>
          <w:highlight w:val="none"/>
        </w:rPr>
        <w:t>1</w:t>
      </w:r>
      <w:r>
        <w:rPr>
          <w:rFonts w:hint="eastAsia"/>
          <w:highlight w:val="none"/>
        </w:rPr>
        <w:t>）项目方案；</w:t>
      </w:r>
    </w:p>
    <w:p>
      <w:pPr>
        <w:tabs>
          <w:tab w:val="clear" w:pos="426"/>
        </w:tabs>
        <w:rPr>
          <w:highlight w:val="none"/>
        </w:rPr>
      </w:pPr>
      <w:r>
        <w:rPr>
          <w:rFonts w:hint="eastAsia"/>
          <w:highlight w:val="none"/>
        </w:rPr>
        <w:t>（2）报价；</w:t>
      </w:r>
    </w:p>
    <w:p>
      <w:pPr>
        <w:tabs>
          <w:tab w:val="clear" w:pos="426"/>
        </w:tabs>
        <w:rPr>
          <w:highlight w:val="none"/>
        </w:rPr>
      </w:pPr>
      <w:r>
        <w:rPr>
          <w:rFonts w:hint="eastAsia"/>
          <w:highlight w:val="none"/>
        </w:rPr>
        <w:t>（3）其它相关事项。</w:t>
      </w:r>
    </w:p>
    <w:p>
      <w:pPr>
        <w:tabs>
          <w:tab w:val="clear" w:pos="426"/>
        </w:tabs>
        <w:rPr>
          <w:highlight w:val="none"/>
        </w:rPr>
      </w:pPr>
      <w:r>
        <w:rPr>
          <w:rFonts w:hint="eastAsia"/>
          <w:highlight w:val="none"/>
        </w:rPr>
        <w:t>原招标文件或谈判邀请文件有实质性变动的，谈判小组应当通过采购代理机构通知供应商。</w:t>
      </w:r>
    </w:p>
    <w:p>
      <w:pPr>
        <w:tabs>
          <w:tab w:val="clear" w:pos="426"/>
        </w:tabs>
        <w:rPr>
          <w:highlight w:val="none"/>
        </w:rPr>
      </w:pPr>
      <w:r>
        <w:rPr>
          <w:rFonts w:hint="eastAsia"/>
          <w:highlight w:val="none"/>
        </w:rPr>
        <w:t>45.3.4谈判小组可以用书面形式要求供应商对其谈判应答文件含义不明确的内容作必要的澄清或者说明，重要问题供应商应以书面形式进行澄清、说明。</w:t>
      </w:r>
    </w:p>
    <w:p>
      <w:pPr>
        <w:tabs>
          <w:tab w:val="clear" w:pos="426"/>
        </w:tabs>
        <w:rPr>
          <w:highlight w:val="none"/>
        </w:rPr>
      </w:pPr>
      <w:r>
        <w:rPr>
          <w:rFonts w:hint="eastAsia"/>
          <w:highlight w:val="none"/>
        </w:rPr>
        <w:t>45.3</w:t>
      </w:r>
      <w:r>
        <w:rPr>
          <w:highlight w:val="none"/>
        </w:rPr>
        <w:t>.</w:t>
      </w:r>
      <w:r>
        <w:rPr>
          <w:rFonts w:hint="eastAsia"/>
          <w:highlight w:val="none"/>
        </w:rPr>
        <w:t>5 允许供应商在谈判结束之前根据谈判小组提出的内容进行澄清、修改或完善，或对项目方案进行相应的调整。</w:t>
      </w:r>
    </w:p>
    <w:p>
      <w:pPr>
        <w:tabs>
          <w:tab w:val="clear" w:pos="426"/>
        </w:tabs>
        <w:rPr>
          <w:highlight w:val="none"/>
        </w:rPr>
      </w:pPr>
      <w:r>
        <w:rPr>
          <w:rFonts w:hint="eastAsia"/>
          <w:highlight w:val="none"/>
        </w:rPr>
        <w:t>45.3</w:t>
      </w:r>
      <w:r>
        <w:rPr>
          <w:highlight w:val="none"/>
        </w:rPr>
        <w:t>.</w:t>
      </w:r>
      <w:r>
        <w:rPr>
          <w:rFonts w:hint="eastAsia"/>
          <w:highlight w:val="none"/>
        </w:rPr>
        <w:t>6供应商对谈判应答文件进行修改，都应形成文字材料，并经供应商谈判授权人签字认可。</w:t>
      </w:r>
    </w:p>
    <w:p>
      <w:pPr>
        <w:tabs>
          <w:tab w:val="clear" w:pos="426"/>
        </w:tabs>
        <w:rPr>
          <w:highlight w:val="none"/>
        </w:rPr>
      </w:pPr>
      <w:r>
        <w:rPr>
          <w:rFonts w:hint="eastAsia"/>
          <w:highlight w:val="none"/>
        </w:rPr>
        <w:t>45.3.7谈判小组与单一来源供应商进行谈判。供应商有两次更改机会；供应商应在规定的时间内提出最后更改及书面承诺。</w:t>
      </w:r>
    </w:p>
    <w:p>
      <w:pPr>
        <w:tabs>
          <w:tab w:val="clear" w:pos="426"/>
        </w:tabs>
        <w:rPr>
          <w:szCs w:val="21"/>
          <w:highlight w:val="none"/>
        </w:rPr>
      </w:pPr>
      <w:r>
        <w:rPr>
          <w:rFonts w:hint="eastAsia"/>
          <w:szCs w:val="21"/>
          <w:highlight w:val="none"/>
        </w:rPr>
        <w:t>45.3.8有下列情形之一的，供应商的谈判结果作废标处理，</w:t>
      </w:r>
      <w:r>
        <w:rPr>
          <w:rFonts w:hint="eastAsia"/>
          <w:highlight w:val="none"/>
        </w:rPr>
        <w:t>具体内容见原招标文件中不符合“</w:t>
      </w:r>
      <w:r>
        <w:rPr>
          <w:rFonts w:hint="eastAsia"/>
          <w:b/>
          <w:highlight w:val="none"/>
        </w:rPr>
        <w:t>资格、符合性评审条款</w:t>
      </w:r>
      <w:r>
        <w:rPr>
          <w:rFonts w:hint="eastAsia"/>
          <w:highlight w:val="none"/>
        </w:rPr>
        <w:t>”部分以及谈判邀请中相应的变动部分。</w:t>
      </w:r>
    </w:p>
    <w:p>
      <w:pPr>
        <w:tabs>
          <w:tab w:val="clear" w:pos="426"/>
        </w:tabs>
        <w:rPr>
          <w:highlight w:val="none"/>
        </w:rPr>
      </w:pPr>
      <w:r>
        <w:rPr>
          <w:rFonts w:hint="eastAsia"/>
          <w:highlight w:val="none"/>
        </w:rPr>
        <w:t>45.3</w:t>
      </w:r>
      <w:r>
        <w:rPr>
          <w:highlight w:val="none"/>
        </w:rPr>
        <w:t>.</w:t>
      </w:r>
      <w:r>
        <w:rPr>
          <w:rFonts w:hint="eastAsia"/>
          <w:highlight w:val="none"/>
        </w:rPr>
        <w:t>9谈判结束后，谈判小组根据供应商提供的谈判应答文件、谈判过程中产生的相关资料，对供应商谈判应答文件进行评估与比较，提出书面评审意见。</w:t>
      </w:r>
    </w:p>
    <w:p>
      <w:pPr>
        <w:tabs>
          <w:tab w:val="clear" w:pos="426"/>
        </w:tabs>
        <w:rPr>
          <w:highlight w:val="none"/>
        </w:rPr>
      </w:pPr>
      <w:r>
        <w:rPr>
          <w:rFonts w:hint="eastAsia"/>
          <w:highlight w:val="none"/>
        </w:rPr>
        <w:t>45.3.10谈判小组将对谈判过程进行记录，以存档备查。</w:t>
      </w:r>
    </w:p>
    <w:p>
      <w:pPr>
        <w:tabs>
          <w:tab w:val="clear" w:pos="426"/>
        </w:tabs>
        <w:rPr>
          <w:highlight w:val="none"/>
        </w:rPr>
      </w:pPr>
      <w:r>
        <w:rPr>
          <w:rFonts w:hint="eastAsia"/>
          <w:highlight w:val="none"/>
        </w:rPr>
        <w:t>45.4评标方法和定标原则</w:t>
      </w:r>
    </w:p>
    <w:p>
      <w:pPr>
        <w:tabs>
          <w:tab w:val="clear" w:pos="426"/>
        </w:tabs>
        <w:rPr>
          <w:highlight w:val="none"/>
        </w:rPr>
      </w:pPr>
      <w:r>
        <w:rPr>
          <w:rFonts w:hint="eastAsia"/>
          <w:szCs w:val="21"/>
          <w:highlight w:val="none"/>
        </w:rPr>
        <w:t>45.4.1</w:t>
      </w:r>
      <w:r>
        <w:rPr>
          <w:rFonts w:hint="eastAsia"/>
          <w:b/>
          <w:szCs w:val="21"/>
          <w:highlight w:val="none"/>
        </w:rPr>
        <w:t>单一来源谈判采用最低评标价法。</w:t>
      </w:r>
      <w:r>
        <w:rPr>
          <w:rFonts w:hint="eastAsia"/>
          <w:highlight w:val="none"/>
        </w:rPr>
        <w:t>原招标文件若采用</w:t>
      </w:r>
      <w:r>
        <w:rPr>
          <w:rFonts w:hint="eastAsia"/>
          <w:bCs/>
          <w:highlight w:val="none"/>
        </w:rPr>
        <w:t>最低评标价法以外的评标方法，转为单一来源谈判后，评标方法改为</w:t>
      </w:r>
      <w:r>
        <w:rPr>
          <w:rFonts w:hint="eastAsia"/>
          <w:szCs w:val="21"/>
          <w:highlight w:val="none"/>
        </w:rPr>
        <w:t>最低评标价法。谈判小组</w:t>
      </w:r>
      <w:r>
        <w:rPr>
          <w:rFonts w:hint="eastAsia"/>
          <w:highlight w:val="none"/>
        </w:rPr>
        <w:t>对谈判应答文件进行评审和比较，对供应商最终的方案、服务和投资等谈判结果按本通用条款第37.1.1的</w:t>
      </w:r>
      <w:r>
        <w:rPr>
          <w:rFonts w:hint="eastAsia"/>
          <w:b/>
          <w:bCs/>
          <w:highlight w:val="none"/>
        </w:rPr>
        <w:t>最低评标价法</w:t>
      </w:r>
      <w:r>
        <w:rPr>
          <w:rFonts w:hint="eastAsia"/>
          <w:highlight w:val="none"/>
        </w:rPr>
        <w:t>进行评审。</w:t>
      </w:r>
    </w:p>
    <w:p>
      <w:pPr>
        <w:tabs>
          <w:tab w:val="clear" w:pos="426"/>
        </w:tabs>
        <w:rPr>
          <w:szCs w:val="21"/>
          <w:highlight w:val="none"/>
        </w:rPr>
      </w:pPr>
      <w:r>
        <w:rPr>
          <w:rFonts w:hint="eastAsia"/>
          <w:highlight w:val="none"/>
        </w:rPr>
        <w:t>45.4.2谈判小组向采购代理机构提交书面评标报告，并推荐中标候选人或确定中标人。</w:t>
      </w:r>
    </w:p>
    <w:bookmarkEnd w:id="330"/>
    <w:bookmarkEnd w:id="331"/>
    <w:bookmarkEnd w:id="332"/>
    <w:bookmarkEnd w:id="333"/>
    <w:p>
      <w:pPr>
        <w:pStyle w:val="4"/>
        <w:tabs>
          <w:tab w:val="clear" w:pos="426"/>
        </w:tabs>
        <w:rPr>
          <w:sz w:val="28"/>
          <w:szCs w:val="28"/>
          <w:highlight w:val="none"/>
        </w:rPr>
      </w:pPr>
      <w:bookmarkStart w:id="334" w:name="_Toc398220537"/>
      <w:bookmarkStart w:id="335" w:name="_Toc166"/>
      <w:bookmarkStart w:id="336" w:name="_Toc432592829"/>
      <w:r>
        <w:rPr>
          <w:rFonts w:hint="eastAsia"/>
          <w:highlight w:val="none"/>
        </w:rPr>
        <w:t>第九章 合同的授予与备案</w:t>
      </w:r>
      <w:bookmarkEnd w:id="334"/>
      <w:bookmarkEnd w:id="335"/>
      <w:bookmarkEnd w:id="336"/>
    </w:p>
    <w:p>
      <w:pPr>
        <w:tabs>
          <w:tab w:val="clear" w:pos="426"/>
        </w:tabs>
        <w:rPr>
          <w:highlight w:val="none"/>
        </w:rPr>
      </w:pPr>
      <w:bookmarkStart w:id="337" w:name="_33._合同授予标准"/>
      <w:bookmarkEnd w:id="337"/>
      <w:bookmarkStart w:id="338" w:name="_Toc201401407"/>
      <w:bookmarkStart w:id="339" w:name="_Toc201401599"/>
      <w:bookmarkStart w:id="340" w:name="_Toc201997860"/>
      <w:r>
        <w:rPr>
          <w:rFonts w:hint="eastAsia"/>
          <w:highlight w:val="none"/>
        </w:rPr>
        <w:t xml:space="preserve">46．  </w:t>
      </w:r>
      <w:bookmarkEnd w:id="338"/>
      <w:bookmarkEnd w:id="339"/>
      <w:r>
        <w:rPr>
          <w:rFonts w:hint="eastAsia"/>
          <w:highlight w:val="none"/>
        </w:rPr>
        <w:t>履约担保</w:t>
      </w:r>
      <w:bookmarkEnd w:id="340"/>
    </w:p>
    <w:p>
      <w:pPr>
        <w:tabs>
          <w:tab w:val="clear" w:pos="426"/>
        </w:tabs>
        <w:rPr>
          <w:highlight w:val="none"/>
        </w:rPr>
      </w:pPr>
      <w:r>
        <w:rPr>
          <w:rFonts w:hint="eastAsia"/>
          <w:highlight w:val="none"/>
        </w:rPr>
        <w:t>46.1  本项目履约担保的相关要求：详见“投标须知前附表”。</w:t>
      </w:r>
    </w:p>
    <w:p>
      <w:pPr>
        <w:tabs>
          <w:tab w:val="clear" w:pos="426"/>
        </w:tabs>
        <w:rPr>
          <w:highlight w:val="none"/>
        </w:rPr>
      </w:pPr>
      <w:r>
        <w:rPr>
          <w:rFonts w:hint="eastAsia"/>
          <w:highlight w:val="none"/>
        </w:rPr>
        <w:t>46.2  在签订合同前，中标人应按规定向采购人提交履约担保，采用履约保函形式的可参照使用本招标文件提供的格式。</w:t>
      </w:r>
    </w:p>
    <w:p>
      <w:pPr>
        <w:tabs>
          <w:tab w:val="clear" w:pos="426"/>
        </w:tabs>
        <w:rPr>
          <w:highlight w:val="none"/>
        </w:rPr>
      </w:pPr>
      <w:r>
        <w:rPr>
          <w:rFonts w:hint="eastAsia"/>
          <w:highlight w:val="none"/>
        </w:rPr>
        <w:t>46.3  联合体中标的，其履约担保由联合体牵头人提交，并应符合本节第42.1条、第45.2条的规定。</w:t>
      </w:r>
    </w:p>
    <w:p>
      <w:pPr>
        <w:tabs>
          <w:tab w:val="clear" w:pos="426"/>
        </w:tabs>
        <w:rPr>
          <w:highlight w:val="none"/>
        </w:rPr>
      </w:pPr>
      <w:r>
        <w:rPr>
          <w:rFonts w:hint="eastAsia"/>
          <w:highlight w:val="none"/>
        </w:rPr>
        <w:t>46.4  如果中标人拒不提交本节第42.1条、第42.2条要求的履约担保的，采购人可取消其中标资格，并没收其投标担保。</w:t>
      </w:r>
    </w:p>
    <w:p>
      <w:pPr>
        <w:tabs>
          <w:tab w:val="clear" w:pos="426"/>
        </w:tabs>
        <w:rPr>
          <w:highlight w:val="none"/>
        </w:rPr>
      </w:pPr>
      <w:bookmarkStart w:id="341" w:name="_Toc201997862"/>
      <w:bookmarkStart w:id="342" w:name="_Toc201401600"/>
      <w:bookmarkStart w:id="343" w:name="_Toc201401408"/>
      <w:r>
        <w:rPr>
          <w:rFonts w:hint="eastAsia"/>
          <w:highlight w:val="none"/>
        </w:rPr>
        <w:t>47．  签订合同</w:t>
      </w:r>
      <w:bookmarkEnd w:id="341"/>
      <w:bookmarkEnd w:id="342"/>
      <w:bookmarkEnd w:id="343"/>
    </w:p>
    <w:p>
      <w:pPr>
        <w:tabs>
          <w:tab w:val="clear" w:pos="426"/>
        </w:tabs>
        <w:rPr>
          <w:highlight w:val="none"/>
        </w:rPr>
      </w:pPr>
      <w:r>
        <w:rPr>
          <w:rFonts w:hint="eastAsia"/>
          <w:highlight w:val="none"/>
        </w:rPr>
        <w:t>47.1  采购人和中标人应当按“投标须知前附表”的规定，依据招标文件和中标人的投标文件订立书面合同。</w:t>
      </w:r>
    </w:p>
    <w:p>
      <w:pPr>
        <w:tabs>
          <w:tab w:val="clear" w:pos="426"/>
        </w:tabs>
        <w:rPr>
          <w:highlight w:val="none"/>
        </w:rPr>
      </w:pPr>
      <w:r>
        <w:rPr>
          <w:rFonts w:hint="eastAsia"/>
          <w:highlight w:val="none"/>
        </w:rPr>
        <w:t>47.2  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pPr>
        <w:pStyle w:val="4"/>
        <w:tabs>
          <w:tab w:val="clear" w:pos="426"/>
        </w:tabs>
        <w:rPr>
          <w:highlight w:val="none"/>
        </w:rPr>
      </w:pPr>
      <w:bookmarkStart w:id="344" w:name="_Toc432592830"/>
      <w:bookmarkStart w:id="345" w:name="_Toc398220538"/>
      <w:bookmarkStart w:id="346" w:name="_Toc29856"/>
      <w:r>
        <w:rPr>
          <w:rFonts w:hint="eastAsia"/>
          <w:highlight w:val="none"/>
        </w:rPr>
        <w:t>第十章 质疑受理</w:t>
      </w:r>
      <w:bookmarkEnd w:id="344"/>
      <w:bookmarkEnd w:id="345"/>
      <w:bookmarkEnd w:id="346"/>
    </w:p>
    <w:p>
      <w:pPr>
        <w:tabs>
          <w:tab w:val="clear" w:pos="426"/>
        </w:tabs>
        <w:rPr>
          <w:highlight w:val="none"/>
        </w:rPr>
      </w:pPr>
      <w:r>
        <w:rPr>
          <w:rFonts w:hint="eastAsia"/>
          <w:highlight w:val="none"/>
        </w:rPr>
        <w:t>48.质疑受理机构</w:t>
      </w:r>
    </w:p>
    <w:p>
      <w:pPr>
        <w:tabs>
          <w:tab w:val="clear" w:pos="426"/>
        </w:tabs>
        <w:rPr>
          <w:sz w:val="22"/>
          <w:szCs w:val="22"/>
          <w:highlight w:val="none"/>
        </w:rPr>
      </w:pPr>
      <w:r>
        <w:rPr>
          <w:rFonts w:hint="eastAsia"/>
          <w:highlight w:val="none"/>
        </w:rPr>
        <w:t>采购代理机构及采购人</w:t>
      </w:r>
      <w:r>
        <w:rPr>
          <w:highlight w:val="none"/>
        </w:rPr>
        <w:t>负责受理和答复质疑</w:t>
      </w:r>
      <w:r>
        <w:rPr>
          <w:sz w:val="22"/>
          <w:szCs w:val="22"/>
          <w:highlight w:val="none"/>
        </w:rPr>
        <w:t>。</w:t>
      </w:r>
    </w:p>
    <w:p>
      <w:pPr>
        <w:tabs>
          <w:tab w:val="clear" w:pos="426"/>
        </w:tabs>
        <w:rPr>
          <w:highlight w:val="none"/>
        </w:rPr>
      </w:pPr>
      <w:r>
        <w:rPr>
          <w:rFonts w:hint="eastAsia"/>
          <w:highlight w:val="none"/>
        </w:rPr>
        <w:t>49.质疑处理原则</w:t>
      </w:r>
    </w:p>
    <w:p>
      <w:pPr>
        <w:tabs>
          <w:tab w:val="clear" w:pos="426"/>
        </w:tabs>
        <w:rPr>
          <w:highlight w:val="none"/>
        </w:rPr>
      </w:pPr>
      <w:r>
        <w:rPr>
          <w:rFonts w:hint="eastAsia"/>
          <w:highlight w:val="none"/>
        </w:rPr>
        <w:t>49.1</w:t>
      </w:r>
      <w:r>
        <w:rPr>
          <w:highlight w:val="none"/>
        </w:rPr>
        <w:t>质疑处理遵循公平、公正、规范、高效的原则。</w:t>
      </w:r>
    </w:p>
    <w:p>
      <w:pPr>
        <w:tabs>
          <w:tab w:val="clear" w:pos="426"/>
        </w:tabs>
        <w:rPr>
          <w:highlight w:val="none"/>
        </w:rPr>
      </w:pPr>
      <w:r>
        <w:rPr>
          <w:rFonts w:hint="eastAsia"/>
          <w:highlight w:val="none"/>
        </w:rPr>
        <w:t>49.2</w:t>
      </w:r>
      <w:r>
        <w:rPr>
          <w:highlight w:val="none"/>
        </w:rPr>
        <w:t>供应商质疑实行实名制和“谁质疑，谁举证”的原则，质疑应有具体的事项及事实根据。</w:t>
      </w:r>
    </w:p>
    <w:p>
      <w:pPr>
        <w:tabs>
          <w:tab w:val="clear" w:pos="426"/>
        </w:tabs>
        <w:rPr>
          <w:highlight w:val="none"/>
        </w:rPr>
      </w:pPr>
      <w:r>
        <w:rPr>
          <w:rFonts w:hint="eastAsia"/>
          <w:highlight w:val="none"/>
        </w:rPr>
        <w:t>50.质疑受理的时效和范围</w:t>
      </w:r>
    </w:p>
    <w:p>
      <w:pPr>
        <w:tabs>
          <w:tab w:val="clear" w:pos="426"/>
        </w:tabs>
        <w:rPr>
          <w:highlight w:val="none"/>
        </w:rPr>
      </w:pPr>
      <w:r>
        <w:rPr>
          <w:rFonts w:hint="eastAsia"/>
          <w:highlight w:val="none"/>
        </w:rPr>
        <w:t>50.1供应商认为采购文件、采购过程和中标、成交结果使自己权益受到损害的，可以在知道或者应知其权益受到损害之日起七个工作日内，以书面形式向采购代理机构提出质疑。</w:t>
      </w:r>
    </w:p>
    <w:p>
      <w:pPr>
        <w:tabs>
          <w:tab w:val="clear" w:pos="426"/>
        </w:tabs>
        <w:rPr>
          <w:highlight w:val="none"/>
        </w:rPr>
      </w:pPr>
      <w:r>
        <w:rPr>
          <w:rFonts w:hint="eastAsia"/>
          <w:highlight w:val="none"/>
        </w:rPr>
        <w:t>50.2供应商对采购文件有疑问的，采购代理机构及采购人按答疑程序处理；供应商对采购文件有异议的，按质疑程序处理。</w:t>
      </w:r>
    </w:p>
    <w:p>
      <w:pPr>
        <w:tabs>
          <w:tab w:val="clear" w:pos="426"/>
        </w:tabs>
        <w:rPr>
          <w:highlight w:val="none"/>
        </w:rPr>
      </w:pPr>
      <w:r>
        <w:rPr>
          <w:rFonts w:hint="eastAsia"/>
          <w:highlight w:val="none"/>
        </w:rPr>
        <w:t>51.质疑条件</w:t>
      </w:r>
    </w:p>
    <w:p>
      <w:pPr>
        <w:tabs>
          <w:tab w:val="clear" w:pos="426"/>
        </w:tabs>
        <w:rPr>
          <w:highlight w:val="none"/>
        </w:rPr>
      </w:pPr>
      <w:r>
        <w:rPr>
          <w:rFonts w:hint="eastAsia"/>
          <w:highlight w:val="none"/>
        </w:rPr>
        <w:t>51.1提出质疑的应是直接参与相应采购项目的供应商。以联合体形式参与的，由联合体共同提出；</w:t>
      </w:r>
    </w:p>
    <w:p>
      <w:pPr>
        <w:tabs>
          <w:tab w:val="clear" w:pos="426"/>
        </w:tabs>
        <w:rPr>
          <w:highlight w:val="none"/>
        </w:rPr>
      </w:pPr>
      <w:r>
        <w:rPr>
          <w:rFonts w:hint="eastAsia"/>
          <w:highlight w:val="none"/>
        </w:rPr>
        <w:t>51.2提供质疑的项目名称和编号、质疑供应商的单位名称、详细地址、邮政编码、联系人及联系电话等基本情况；</w:t>
      </w:r>
    </w:p>
    <w:p>
      <w:pPr>
        <w:tabs>
          <w:tab w:val="clear" w:pos="426"/>
        </w:tabs>
        <w:rPr>
          <w:highlight w:val="none"/>
        </w:rPr>
      </w:pPr>
      <w:r>
        <w:rPr>
          <w:rFonts w:hint="eastAsia"/>
          <w:highlight w:val="none"/>
        </w:rPr>
        <w:t>51.3有质疑的具体事项、请求及理由，并附相关证据材料；</w:t>
      </w:r>
    </w:p>
    <w:p>
      <w:pPr>
        <w:tabs>
          <w:tab w:val="clear" w:pos="426"/>
        </w:tabs>
        <w:rPr>
          <w:highlight w:val="none"/>
        </w:rPr>
      </w:pPr>
      <w:r>
        <w:rPr>
          <w:rFonts w:hint="eastAsia"/>
          <w:highlight w:val="none"/>
        </w:rPr>
        <w:t>51.4质疑书加盖公章，被授权人进行质疑的同时提交法人授权委托书；</w:t>
      </w:r>
    </w:p>
    <w:p>
      <w:pPr>
        <w:tabs>
          <w:tab w:val="clear" w:pos="426"/>
        </w:tabs>
        <w:rPr>
          <w:highlight w:val="none"/>
        </w:rPr>
      </w:pPr>
      <w:r>
        <w:rPr>
          <w:rFonts w:hint="eastAsia"/>
          <w:highlight w:val="none"/>
        </w:rPr>
        <w:t>51.5质疑材料中有外文资料的，应一并附上中文译本，并以中文译本为准。</w:t>
      </w:r>
    </w:p>
    <w:p>
      <w:pPr>
        <w:tabs>
          <w:tab w:val="clear" w:pos="426"/>
        </w:tabs>
        <w:rPr>
          <w:highlight w:val="none"/>
        </w:rPr>
      </w:pPr>
      <w:r>
        <w:rPr>
          <w:rFonts w:hint="eastAsia"/>
          <w:highlight w:val="none"/>
        </w:rPr>
        <w:t>51.6质疑不得超过质疑受理的时效和范围。</w:t>
      </w:r>
    </w:p>
    <w:p>
      <w:pPr>
        <w:tabs>
          <w:tab w:val="clear" w:pos="426"/>
        </w:tabs>
        <w:rPr>
          <w:highlight w:val="none"/>
        </w:rPr>
      </w:pPr>
      <w:r>
        <w:rPr>
          <w:rFonts w:hint="eastAsia"/>
          <w:highlight w:val="none"/>
        </w:rPr>
        <w:t>不符合上述条件的，我采购代理机构不予受理。</w:t>
      </w:r>
    </w:p>
    <w:p>
      <w:pPr>
        <w:tabs>
          <w:tab w:val="clear" w:pos="426"/>
        </w:tabs>
        <w:rPr>
          <w:highlight w:val="none"/>
        </w:rPr>
      </w:pPr>
      <w:r>
        <w:rPr>
          <w:rFonts w:hint="eastAsia"/>
          <w:highlight w:val="none"/>
        </w:rPr>
        <w:t>52.受理质疑办理程序</w:t>
      </w:r>
    </w:p>
    <w:p>
      <w:pPr>
        <w:tabs>
          <w:tab w:val="clear" w:pos="426"/>
        </w:tabs>
        <w:rPr>
          <w:highlight w:val="none"/>
        </w:rPr>
      </w:pPr>
      <w:r>
        <w:rPr>
          <w:rFonts w:hint="eastAsia"/>
          <w:highlight w:val="none"/>
        </w:rPr>
        <w:t>52.1先与质疑供应商进行沟通，以消除因误解或对采购规则和程序的不了解而引起的质疑。对沟通情况满意的，供应商撤回质疑，质疑处理程序终止。</w:t>
      </w:r>
    </w:p>
    <w:p>
      <w:pPr>
        <w:tabs>
          <w:tab w:val="clear" w:pos="426"/>
        </w:tabs>
        <w:rPr>
          <w:highlight w:val="none"/>
        </w:rPr>
      </w:pPr>
      <w:r>
        <w:rPr>
          <w:rFonts w:hint="eastAsia"/>
          <w:highlight w:val="none"/>
        </w:rPr>
        <w:t>52.2处理质疑一般进行书面审查；必要时听取各方当事人的陈述和申辩、进行相关调查；组织原评标委员会或谈判小组进行复议。</w:t>
      </w:r>
    </w:p>
    <w:p>
      <w:pPr>
        <w:tabs>
          <w:tab w:val="clear" w:pos="426"/>
        </w:tabs>
        <w:rPr>
          <w:highlight w:val="none"/>
        </w:rPr>
      </w:pPr>
      <w:r>
        <w:rPr>
          <w:rFonts w:hint="eastAsia"/>
          <w:highlight w:val="none"/>
        </w:rPr>
        <w:t>52.3在质疑处理期间，采购代理机构视情形决定暂停采购活动。</w:t>
      </w:r>
    </w:p>
    <w:p>
      <w:pPr>
        <w:tabs>
          <w:tab w:val="clear" w:pos="426"/>
        </w:tabs>
        <w:rPr>
          <w:highlight w:val="none"/>
        </w:rPr>
      </w:pPr>
      <w:r>
        <w:rPr>
          <w:rFonts w:hint="eastAsia"/>
          <w:highlight w:val="none"/>
        </w:rPr>
        <w:t>52.4采购代理机构原则上在质疑受理之日起十个工作日内书面答复质疑供应商。答复函以直接领取、传真或邮寄方式送达。</w:t>
      </w:r>
    </w:p>
    <w:p>
      <w:pPr>
        <w:tabs>
          <w:tab w:val="clear" w:pos="426"/>
        </w:tabs>
        <w:rPr>
          <w:highlight w:val="none"/>
        </w:rPr>
      </w:pPr>
      <w:r>
        <w:rPr>
          <w:rFonts w:hint="eastAsia"/>
          <w:highlight w:val="none"/>
        </w:rPr>
        <w:t>52.5供应商向采购代理机构提出质疑后，在质疑处理期限内，不得同时向其他方面提起同一质疑。质疑供应商如已就同一事项提起投诉、提请行政复议或诉讼的，质疑程序终止。</w:t>
      </w:r>
    </w:p>
    <w:p>
      <w:pPr>
        <w:tabs>
          <w:tab w:val="clear" w:pos="426"/>
        </w:tabs>
        <w:rPr>
          <w:highlight w:val="none"/>
        </w:rPr>
      </w:pPr>
      <w:r>
        <w:rPr>
          <w:rFonts w:hint="eastAsia"/>
          <w:highlight w:val="none"/>
        </w:rPr>
        <w:t>53.相关责任与义务</w:t>
      </w:r>
    </w:p>
    <w:p>
      <w:pPr>
        <w:tabs>
          <w:tab w:val="clear" w:pos="426"/>
        </w:tabs>
        <w:rPr>
          <w:highlight w:val="none"/>
        </w:rPr>
      </w:pPr>
      <w:r>
        <w:rPr>
          <w:rFonts w:hint="eastAsia"/>
          <w:highlight w:val="none"/>
        </w:rPr>
        <w:t>53.1采购单位、评标专家和相关供应商等当事人应积极配合采购代理机构进行质疑调查，如实反映情况，及时提供证明材料。</w:t>
      </w:r>
    </w:p>
    <w:p>
      <w:pPr>
        <w:tabs>
          <w:tab w:val="clear" w:pos="426"/>
        </w:tabs>
        <w:rPr>
          <w:highlight w:val="none"/>
        </w:rPr>
      </w:pPr>
      <w:r>
        <w:rPr>
          <w:rFonts w:hint="eastAsia"/>
          <w:highlight w:val="none"/>
        </w:rPr>
        <w:t>53.2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pPr>
        <w:tabs>
          <w:tab w:val="clear" w:pos="426"/>
        </w:tabs>
        <w:rPr>
          <w:highlight w:val="none"/>
        </w:rPr>
      </w:pPr>
      <w:r>
        <w:rPr>
          <w:rFonts w:hint="eastAsia"/>
          <w:highlight w:val="none"/>
        </w:rPr>
        <w:t>53.2.1捏造事实或提供虚假证明材料的；</w:t>
      </w:r>
    </w:p>
    <w:p>
      <w:pPr>
        <w:tabs>
          <w:tab w:val="clear" w:pos="426"/>
        </w:tabs>
        <w:rPr>
          <w:highlight w:val="none"/>
        </w:rPr>
      </w:pPr>
      <w:r>
        <w:rPr>
          <w:rFonts w:hint="eastAsia"/>
          <w:highlight w:val="none"/>
        </w:rPr>
        <w:t>53.2.2假冒他人名义进行质疑的；</w:t>
      </w:r>
    </w:p>
    <w:p>
      <w:pPr>
        <w:tabs>
          <w:tab w:val="clear" w:pos="426"/>
        </w:tabs>
        <w:rPr>
          <w:highlight w:val="none"/>
        </w:rPr>
      </w:pPr>
      <w:r>
        <w:rPr>
          <w:rFonts w:hint="eastAsia"/>
          <w:highlight w:val="none"/>
        </w:rPr>
        <w:t>53.2.3拒不配合进行有关调查、情节严重的。</w:t>
      </w:r>
    </w:p>
    <w:p>
      <w:pPr>
        <w:tabs>
          <w:tab w:val="clear" w:pos="426"/>
        </w:tabs>
        <w:rPr>
          <w:b/>
          <w:highlight w:val="none"/>
        </w:rPr>
      </w:pPr>
      <w:bookmarkStart w:id="347" w:name="_Toc201401601"/>
      <w:bookmarkStart w:id="348" w:name="_Toc201997863"/>
      <w:bookmarkStart w:id="349" w:name="_Toc201401409"/>
      <w:r>
        <w:rPr>
          <w:rFonts w:hint="eastAsia"/>
          <w:highlight w:val="none"/>
        </w:rPr>
        <w:t xml:space="preserve">54．  </w:t>
      </w:r>
      <w:r>
        <w:rPr>
          <w:rFonts w:hint="eastAsia"/>
          <w:b/>
          <w:highlight w:val="none"/>
        </w:rPr>
        <w:t>其他</w:t>
      </w:r>
      <w:bookmarkEnd w:id="347"/>
      <w:bookmarkEnd w:id="348"/>
      <w:bookmarkEnd w:id="349"/>
    </w:p>
    <w:p>
      <w:pPr>
        <w:tabs>
          <w:tab w:val="clear" w:pos="426"/>
        </w:tabs>
        <w:rPr>
          <w:highlight w:val="none"/>
        </w:rPr>
      </w:pPr>
      <w:r>
        <w:rPr>
          <w:rFonts w:hint="eastAsia"/>
          <w:highlight w:val="none"/>
        </w:rPr>
        <w:t>54.1  本招标文件的解释权归采购代理机构所有，采购代理机构在征得采购人或相关主管部门同意后，有权在法律允许范围内调整本次招标活动的细节及保留最终解释权。</w:t>
      </w:r>
    </w:p>
    <w:p>
      <w:pPr>
        <w:tabs>
          <w:tab w:val="clear" w:pos="426"/>
        </w:tabs>
        <w:rPr>
          <w:highlight w:val="none"/>
        </w:rPr>
      </w:pPr>
      <w:r>
        <w:rPr>
          <w:rFonts w:hint="eastAsia"/>
          <w:highlight w:val="none"/>
        </w:rPr>
        <w:t>54.2 采购代理机构向投标人提供的资料和数据，是采购代理机构现有的能供投标人利用的资料，采购代理机构对投标人由此而作出的推论、理解和结论概不负责。</w:t>
      </w:r>
    </w:p>
    <w:p>
      <w:pPr>
        <w:tabs>
          <w:tab w:val="clear" w:pos="426"/>
        </w:tabs>
        <w:rPr>
          <w:highlight w:val="none"/>
        </w:rPr>
      </w:pPr>
      <w:r>
        <w:rPr>
          <w:rFonts w:hint="eastAsia"/>
          <w:highlight w:val="none"/>
        </w:rPr>
        <w:t>54.3 如果投标人实质上不符合投标资格，即使已购买招标文件、参加投标并缴纳各种费用，采购代理机构或采购人可以随时取消其投标或中标资格，采购代理机构或采购人对该投标人的一切损失概不责任。</w:t>
      </w:r>
    </w:p>
    <w:p>
      <w:pPr>
        <w:tabs>
          <w:tab w:val="clear" w:pos="426"/>
        </w:tabs>
        <w:rPr>
          <w:highlight w:val="none"/>
        </w:rPr>
      </w:pPr>
      <w:r>
        <w:rPr>
          <w:rFonts w:hint="eastAsia"/>
          <w:highlight w:val="none"/>
        </w:rPr>
        <w:t>54.4 中标无效的，发出的中标通知书和签订的合同自始没有法律约束力，但不影响合同中存在的有关解决争议方法的条款的效力。</w:t>
      </w:r>
    </w:p>
    <w:p>
      <w:pPr>
        <w:tabs>
          <w:tab w:val="clear" w:pos="426"/>
        </w:tabs>
        <w:rPr>
          <w:highlight w:val="none"/>
        </w:rPr>
      </w:pPr>
      <w:r>
        <w:rPr>
          <w:rFonts w:hint="eastAsia"/>
          <w:highlight w:val="none"/>
        </w:rPr>
        <w:t>54.5 本招标文件所有的附件与本招标文件具有同等效力。</w:t>
      </w:r>
    </w:p>
    <w:sectPr>
      <w:pgSz w:w="11906" w:h="16838"/>
      <w:pgMar w:top="1134" w:right="1134" w:bottom="1134" w:left="1418"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新宋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Style w:val="49"/>
      </w:rPr>
    </w:pPr>
    <w:r>
      <w:rPr>
        <w:rStyle w:val="49"/>
      </w:rPr>
      <w:fldChar w:fldCharType="begin"/>
    </w:r>
    <w:r>
      <w:rPr>
        <w:rStyle w:val="49"/>
      </w:rPr>
      <w:instrText xml:space="preserve">PAGE  </w:instrText>
    </w:r>
    <w:r>
      <w:rPr>
        <w:rStyle w:val="49"/>
      </w:rPr>
      <w:fldChar w:fldCharType="separate"/>
    </w:r>
    <w:r>
      <w:rPr>
        <w:rStyle w:val="49"/>
      </w:rPr>
      <w:t>65</w:t>
    </w:r>
    <w:r>
      <w:rPr>
        <w:rStyle w:val="49"/>
      </w:rPr>
      <w:fldChar w:fldCharType="end"/>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74</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14</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line="240" w:lineRule="auto"/>
    </w:pPr>
    <w:r>
      <w:rPr>
        <w:rFonts w:hint="eastAsia"/>
      </w:rPr>
      <w:t>深圳市深水水务咨询有限公司政府采购招标文件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rFonts w:hint="eastAsia"/>
      </w:rPr>
      <w:t>深圳市深水水务咨询有限公司政府采购招标文件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decimal"/>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lvlText w:val="%5)"/>
      <w:lvlJc w:val="left"/>
      <w:pPr>
        <w:tabs>
          <w:tab w:val="left" w:pos="2111"/>
        </w:tabs>
        <w:ind w:left="2111" w:hanging="420"/>
      </w:pPr>
    </w:lvl>
    <w:lvl w:ilvl="5" w:tentative="0">
      <w:start w:val="1"/>
      <w:numFmt w:val="lowerRoman"/>
      <w:lvlText w:val="%6."/>
      <w:lvlJc w:val="right"/>
      <w:pPr>
        <w:tabs>
          <w:tab w:val="left" w:pos="2531"/>
        </w:tabs>
        <w:ind w:left="2531" w:hanging="420"/>
      </w:pPr>
    </w:lvl>
    <w:lvl w:ilvl="6" w:tentative="0">
      <w:start w:val="1"/>
      <w:numFmt w:val="decimal"/>
      <w:lvlText w:val="%7."/>
      <w:lvlJc w:val="left"/>
      <w:pPr>
        <w:tabs>
          <w:tab w:val="left" w:pos="2951"/>
        </w:tabs>
        <w:ind w:left="2951" w:hanging="420"/>
      </w:pPr>
    </w:lvl>
    <w:lvl w:ilvl="7" w:tentative="0">
      <w:start w:val="1"/>
      <w:numFmt w:val="lowerLetter"/>
      <w:lvlText w:val="%8)"/>
      <w:lvlJc w:val="left"/>
      <w:pPr>
        <w:tabs>
          <w:tab w:val="left" w:pos="3371"/>
        </w:tabs>
        <w:ind w:left="3371" w:hanging="420"/>
      </w:pPr>
    </w:lvl>
    <w:lvl w:ilvl="8" w:tentative="0">
      <w:start w:val="1"/>
      <w:numFmt w:val="lowerRoman"/>
      <w:lvlText w:val="%9."/>
      <w:lvlJc w:val="right"/>
      <w:pPr>
        <w:tabs>
          <w:tab w:val="left" w:pos="3791"/>
        </w:tabs>
        <w:ind w:left="3791" w:hanging="420"/>
      </w:pPr>
    </w:lvl>
  </w:abstractNum>
  <w:abstractNum w:abstractNumId="1">
    <w:nsid w:val="00000004"/>
    <w:multiLevelType w:val="multilevel"/>
    <w:tmpl w:val="00000004"/>
    <w:lvl w:ilvl="0" w:tentative="0">
      <w:start w:val="1"/>
      <w:numFmt w:val="bullet"/>
      <w:pStyle w:val="123"/>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000000A"/>
    <w:multiLevelType w:val="multilevel"/>
    <w:tmpl w:val="0000000A"/>
    <w:lvl w:ilvl="0" w:tentative="0">
      <w:start w:val="1"/>
      <w:numFmt w:val="bullet"/>
      <w:pStyle w:val="21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00DB0158"/>
    <w:multiLevelType w:val="multilevel"/>
    <w:tmpl w:val="00DB0158"/>
    <w:lvl w:ilvl="0" w:tentative="0">
      <w:start w:val="1"/>
      <w:numFmt w:val="bullet"/>
      <w:pStyle w:val="92"/>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4">
    <w:nsid w:val="01D320DE"/>
    <w:multiLevelType w:val="multilevel"/>
    <w:tmpl w:val="01D320DE"/>
    <w:lvl w:ilvl="0" w:tentative="0">
      <w:start w:val="1"/>
      <w:numFmt w:val="chineseCountingThousand"/>
      <w:pStyle w:val="133"/>
      <w:lvlText w:val="第%1章"/>
      <w:lvlJc w:val="left"/>
      <w:pPr>
        <w:tabs>
          <w:tab w:val="left" w:pos="1440"/>
        </w:tabs>
        <w:ind w:left="0" w:firstLine="0"/>
      </w:pPr>
      <w:rPr>
        <w:rFonts w:hint="eastAsia"/>
      </w:rPr>
    </w:lvl>
    <w:lvl w:ilvl="1" w:tentative="0">
      <w:start w:val="1"/>
      <w:numFmt w:val="decimal"/>
      <w:pStyle w:val="134"/>
      <w:isLgl/>
      <w:lvlText w:val="%1.%2"/>
      <w:lvlJc w:val="left"/>
      <w:pPr>
        <w:tabs>
          <w:tab w:val="left" w:pos="720"/>
        </w:tabs>
        <w:ind w:left="0" w:firstLine="0"/>
      </w:pPr>
      <w:rPr>
        <w:rFonts w:hint="eastAsia"/>
      </w:rPr>
    </w:lvl>
    <w:lvl w:ilvl="2" w:tentative="0">
      <w:start w:val="1"/>
      <w:numFmt w:val="decimal"/>
      <w:pStyle w:val="135"/>
      <w:isLgl/>
      <w:suff w:val="space"/>
      <w:lvlText w:val="%1.%2.%3"/>
      <w:lvlJc w:val="left"/>
      <w:pPr>
        <w:ind w:left="0" w:firstLine="0"/>
      </w:pPr>
      <w:rPr>
        <w:rFonts w:hint="eastAsia"/>
      </w:rPr>
    </w:lvl>
    <w:lvl w:ilvl="3" w:tentative="0">
      <w:start w:val="1"/>
      <w:numFmt w:val="decimal"/>
      <w:lvlText w:val=""/>
      <w:lvlJc w:val="left"/>
      <w:pPr>
        <w:tabs>
          <w:tab w:val="left" w:pos="360"/>
        </w:tabs>
        <w:ind w:left="0" w:firstLine="0"/>
      </w:pPr>
      <w:rPr>
        <w:rFonts w:hint="eastAsia"/>
      </w:rPr>
    </w:lvl>
    <w:lvl w:ilvl="4" w:tentative="0">
      <w:start w:val="1"/>
      <w:numFmt w:val="decimal"/>
      <w:lvlText w:val=""/>
      <w:lvlJc w:val="left"/>
      <w:pPr>
        <w:tabs>
          <w:tab w:val="left" w:pos="360"/>
        </w:tabs>
        <w:ind w:left="0" w:firstLine="0"/>
      </w:pPr>
      <w:rPr>
        <w:rFonts w:hint="eastAsia"/>
      </w:rPr>
    </w:lvl>
    <w:lvl w:ilvl="5" w:tentative="0">
      <w:start w:val="1"/>
      <w:numFmt w:val="decimal"/>
      <w:lvlText w:val=""/>
      <w:lvlJc w:val="left"/>
      <w:pPr>
        <w:tabs>
          <w:tab w:val="left" w:pos="360"/>
        </w:tabs>
        <w:ind w:left="0" w:firstLine="0"/>
      </w:pPr>
      <w:rPr>
        <w:rFonts w:hint="eastAsia"/>
      </w:rPr>
    </w:lvl>
    <w:lvl w:ilvl="6" w:tentative="0">
      <w:start w:val="1"/>
      <w:numFmt w:val="decimal"/>
      <w:lvlText w:val=""/>
      <w:lvlJc w:val="left"/>
      <w:pPr>
        <w:tabs>
          <w:tab w:val="left" w:pos="360"/>
        </w:tabs>
        <w:ind w:left="0" w:firstLine="0"/>
      </w:pPr>
      <w:rPr>
        <w:rFonts w:hint="eastAsia"/>
      </w:rPr>
    </w:lvl>
    <w:lvl w:ilvl="7" w:tentative="0">
      <w:start w:val="1"/>
      <w:numFmt w:val="decimal"/>
      <w:lvlText w:val=""/>
      <w:lvlJc w:val="left"/>
      <w:pPr>
        <w:tabs>
          <w:tab w:val="left" w:pos="360"/>
        </w:tabs>
        <w:ind w:left="0" w:firstLine="0"/>
      </w:pPr>
      <w:rPr>
        <w:rFonts w:hint="eastAsia"/>
      </w:rPr>
    </w:lvl>
    <w:lvl w:ilvl="8" w:tentative="0">
      <w:start w:val="1"/>
      <w:numFmt w:val="decimal"/>
      <w:lvlText w:val=""/>
      <w:lvlJc w:val="left"/>
      <w:pPr>
        <w:tabs>
          <w:tab w:val="left" w:pos="360"/>
        </w:tabs>
        <w:ind w:left="0" w:firstLine="0"/>
      </w:pPr>
      <w:rPr>
        <w:rFonts w:hint="eastAsia"/>
      </w:rPr>
    </w:lvl>
  </w:abstractNum>
  <w:abstractNum w:abstractNumId="5">
    <w:nsid w:val="061F55C0"/>
    <w:multiLevelType w:val="singleLevel"/>
    <w:tmpl w:val="061F55C0"/>
    <w:lvl w:ilvl="0" w:tentative="0">
      <w:start w:val="1"/>
      <w:numFmt w:val="decimal"/>
      <w:suff w:val="nothing"/>
      <w:lvlText w:val="（%1）"/>
      <w:lvlJc w:val="left"/>
    </w:lvl>
  </w:abstractNum>
  <w:abstractNum w:abstractNumId="6">
    <w:nsid w:val="06C154E2"/>
    <w:multiLevelType w:val="multilevel"/>
    <w:tmpl w:val="06C154E2"/>
    <w:lvl w:ilvl="0" w:tentative="0">
      <w:start w:val="1"/>
      <w:numFmt w:val="chineseCountingThousand"/>
      <w:suff w:val="nothing"/>
      <w:lvlText w:val="%1、"/>
      <w:lvlJc w:val="left"/>
      <w:pPr>
        <w:ind w:left="562" w:hanging="420"/>
      </w:pPr>
      <w:rPr>
        <w:rFonts w:hint="eastAsia"/>
        <w:b/>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6AE5335"/>
    <w:multiLevelType w:val="multilevel"/>
    <w:tmpl w:val="16AE5335"/>
    <w:lvl w:ilvl="0" w:tentative="0">
      <w:start w:val="1"/>
      <w:numFmt w:val="decimal"/>
      <w:pStyle w:val="87"/>
      <w:lvlText w:val="图4-%1."/>
      <w:lvlJc w:val="center"/>
      <w:pPr>
        <w:tabs>
          <w:tab w:val="left" w:pos="737"/>
        </w:tabs>
        <w:ind w:left="737" w:hanging="449"/>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1E1C4B"/>
    <w:multiLevelType w:val="multilevel"/>
    <w:tmpl w:val="1A1E1C4B"/>
    <w:lvl w:ilvl="0" w:tentative="0">
      <w:start w:val="1"/>
      <w:numFmt w:val="chineseCountingThousand"/>
      <w:pStyle w:val="91"/>
      <w:lvlText w:val="第%1章"/>
      <w:lvlJc w:val="left"/>
      <w:pPr>
        <w:ind w:left="420" w:hanging="420"/>
      </w:pPr>
      <w:rPr>
        <w:rFonts w:hint="eastAsia"/>
      </w:rPr>
    </w:lvl>
    <w:lvl w:ilvl="1" w:tentative="0">
      <w:start w:val="1"/>
      <w:numFmt w:val="decimal"/>
      <w:lvlText w:val="1.%2"/>
      <w:lvlJc w:val="left"/>
      <w:pPr>
        <w:ind w:left="420" w:hanging="420"/>
      </w:pPr>
      <w:rPr>
        <w:rFonts w:hint="default" w:ascii="Calibri Light" w:hAnsi="Calibri Light" w:eastAsia="宋体" w:cs="Calibri"/>
        <w:sz w:val="32"/>
        <w:szCs w:val="32"/>
      </w:rPr>
    </w:lvl>
    <w:lvl w:ilvl="2" w:tentative="0">
      <w:start w:val="1"/>
      <w:numFmt w:val="decimal"/>
      <w:lvlText w:val="1.1.%3"/>
      <w:lvlJc w:val="left"/>
      <w:pPr>
        <w:ind w:left="420" w:firstLine="147"/>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D726854"/>
    <w:multiLevelType w:val="multilevel"/>
    <w:tmpl w:val="1D726854"/>
    <w:lvl w:ilvl="0" w:tentative="0">
      <w:start w:val="1"/>
      <w:numFmt w:val="decimal"/>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lvlText w:val="%5)"/>
      <w:lvlJc w:val="left"/>
      <w:pPr>
        <w:tabs>
          <w:tab w:val="left" w:pos="2111"/>
        </w:tabs>
        <w:ind w:left="2111" w:hanging="420"/>
      </w:pPr>
    </w:lvl>
    <w:lvl w:ilvl="5" w:tentative="0">
      <w:start w:val="1"/>
      <w:numFmt w:val="lowerRoman"/>
      <w:lvlText w:val="%6."/>
      <w:lvlJc w:val="right"/>
      <w:pPr>
        <w:tabs>
          <w:tab w:val="left" w:pos="2531"/>
        </w:tabs>
        <w:ind w:left="2531" w:hanging="420"/>
      </w:pPr>
    </w:lvl>
    <w:lvl w:ilvl="6" w:tentative="0">
      <w:start w:val="1"/>
      <w:numFmt w:val="decimal"/>
      <w:lvlText w:val="%7."/>
      <w:lvlJc w:val="left"/>
      <w:pPr>
        <w:tabs>
          <w:tab w:val="left" w:pos="2951"/>
        </w:tabs>
        <w:ind w:left="2951" w:hanging="420"/>
      </w:pPr>
    </w:lvl>
    <w:lvl w:ilvl="7" w:tentative="0">
      <w:start w:val="1"/>
      <w:numFmt w:val="lowerLetter"/>
      <w:lvlText w:val="%8)"/>
      <w:lvlJc w:val="left"/>
      <w:pPr>
        <w:tabs>
          <w:tab w:val="left" w:pos="3371"/>
        </w:tabs>
        <w:ind w:left="3371" w:hanging="420"/>
      </w:pPr>
    </w:lvl>
    <w:lvl w:ilvl="8" w:tentative="0">
      <w:start w:val="1"/>
      <w:numFmt w:val="lowerRoman"/>
      <w:lvlText w:val="%9."/>
      <w:lvlJc w:val="right"/>
      <w:pPr>
        <w:tabs>
          <w:tab w:val="left" w:pos="3791"/>
        </w:tabs>
        <w:ind w:left="3791" w:hanging="420"/>
      </w:pPr>
    </w:lvl>
  </w:abstractNum>
  <w:abstractNum w:abstractNumId="10">
    <w:nsid w:val="217F3F51"/>
    <w:multiLevelType w:val="multilevel"/>
    <w:tmpl w:val="217F3F51"/>
    <w:lvl w:ilvl="0" w:tentative="0">
      <w:start w:val="1"/>
      <w:numFmt w:val="chineseCountingThousand"/>
      <w:lvlText w:val="%1、"/>
      <w:lvlJc w:val="left"/>
      <w:pPr>
        <w:ind w:left="420" w:hanging="420"/>
      </w:pPr>
    </w:lvl>
    <w:lvl w:ilvl="1" w:tentative="0">
      <w:start w:val="1"/>
      <w:numFmt w:val="chineseCountingThousand"/>
      <w:suff w:val="nothing"/>
      <w:lvlText w:val="%2、"/>
      <w:lvlJc w:val="left"/>
      <w:pPr>
        <w:ind w:left="988" w:hanging="420"/>
      </w:pPr>
      <w:rPr>
        <w:rFonts w:hint="eastAsia"/>
        <w:b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suff w:val="nothing"/>
      <w:lvlText w:val="%2."/>
      <w:lvlJc w:val="left"/>
      <w:pPr>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2">
    <w:nsid w:val="28200F5E"/>
    <w:multiLevelType w:val="multilevel"/>
    <w:tmpl w:val="28200F5E"/>
    <w:lvl w:ilvl="0" w:tentative="0">
      <w:start w:val="1"/>
      <w:numFmt w:val="decimal"/>
      <w:pStyle w:val="95"/>
      <w:lvlText w:val="%1)"/>
      <w:lvlJc w:val="left"/>
      <w:pPr>
        <w:ind w:left="42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3">
    <w:nsid w:val="2D2470EB"/>
    <w:multiLevelType w:val="multilevel"/>
    <w:tmpl w:val="2D2470EB"/>
    <w:lvl w:ilvl="0" w:tentative="0">
      <w:start w:val="1"/>
      <w:numFmt w:val="bullet"/>
      <w:lvlText w:val=""/>
      <w:lvlJc w:val="left"/>
      <w:pPr>
        <w:ind w:left="420" w:hanging="420"/>
      </w:pPr>
      <w:rPr>
        <w:rFonts w:hint="default" w:ascii="Wingdings" w:hAnsi="Wingdings"/>
      </w:rPr>
    </w:lvl>
    <w:lvl w:ilvl="1" w:tentative="0">
      <w:start w:val="1"/>
      <w:numFmt w:val="decimal"/>
      <w:pStyle w:val="262"/>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2E8F6958"/>
    <w:multiLevelType w:val="multilevel"/>
    <w:tmpl w:val="2E8F6958"/>
    <w:lvl w:ilvl="0" w:tentative="0">
      <w:start w:val="1"/>
      <w:numFmt w:val="decimal"/>
      <w:pStyle w:val="243"/>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5">
    <w:nsid w:val="30555EAE"/>
    <w:multiLevelType w:val="multilevel"/>
    <w:tmpl w:val="30555EAE"/>
    <w:lvl w:ilvl="0" w:tentative="0">
      <w:start w:val="1"/>
      <w:numFmt w:val="decimal"/>
      <w:lvlText w:val="%1."/>
      <w:lvlJc w:val="left"/>
      <w:pPr>
        <w:tabs>
          <w:tab w:val="left" w:pos="420"/>
        </w:tabs>
        <w:ind w:left="0" w:firstLine="420"/>
      </w:pPr>
      <w:rPr>
        <w:rFonts w:hint="eastAsia"/>
      </w:rPr>
    </w:lvl>
    <w:lvl w:ilvl="1" w:tentative="0">
      <w:start w:val="1"/>
      <w:numFmt w:val="decimal"/>
      <w:lvlText w:val="(%2)"/>
      <w:lvlJc w:val="left"/>
      <w:pPr>
        <w:tabs>
          <w:tab w:val="left" w:pos="420"/>
        </w:tabs>
        <w:ind w:left="800" w:hanging="380"/>
      </w:pPr>
      <w:rPr>
        <w:rFonts w:hint="eastAsia"/>
      </w:rPr>
    </w:lvl>
    <w:lvl w:ilvl="2" w:tentative="0">
      <w:start w:val="1"/>
      <w:numFmt w:val="none"/>
      <w:lvlText w:val=""/>
      <w:lvlJc w:val="left"/>
      <w:pPr>
        <w:tabs>
          <w:tab w:val="left" w:pos="-328"/>
        </w:tabs>
        <w:ind w:left="-1462" w:firstLine="400"/>
      </w:pPr>
      <w:rPr>
        <w:rFonts w:hint="eastAsia"/>
      </w:rPr>
    </w:lvl>
    <w:lvl w:ilvl="3" w:tentative="0">
      <w:start w:val="1"/>
      <w:numFmt w:val="none"/>
      <w:lvlText w:val=""/>
      <w:lvlJc w:val="left"/>
      <w:pPr>
        <w:tabs>
          <w:tab w:val="left" w:pos="-1059"/>
        </w:tabs>
        <w:ind w:left="-2193" w:firstLine="400"/>
      </w:pPr>
      <w:rPr>
        <w:rFonts w:hint="eastAsia"/>
      </w:rPr>
    </w:lvl>
    <w:lvl w:ilvl="4" w:tentative="0">
      <w:start w:val="1"/>
      <w:numFmt w:val="none"/>
      <w:lvlText w:val=""/>
      <w:lvlJc w:val="left"/>
      <w:pPr>
        <w:tabs>
          <w:tab w:val="left" w:pos="-1790"/>
        </w:tabs>
        <w:ind w:left="-2924" w:firstLine="400"/>
      </w:pPr>
      <w:rPr>
        <w:rFonts w:hint="eastAsia"/>
      </w:rPr>
    </w:lvl>
    <w:lvl w:ilvl="5" w:tentative="0">
      <w:start w:val="1"/>
      <w:numFmt w:val="decimal"/>
      <w:lvlText w:val="%1.%2.%3.%4.%5.%6"/>
      <w:lvlJc w:val="left"/>
      <w:pPr>
        <w:tabs>
          <w:tab w:val="left" w:pos="-2521"/>
        </w:tabs>
        <w:ind w:left="-3655" w:firstLine="400"/>
      </w:pPr>
      <w:rPr>
        <w:rFonts w:hint="eastAsia"/>
      </w:rPr>
    </w:lvl>
    <w:lvl w:ilvl="6" w:tentative="0">
      <w:start w:val="1"/>
      <w:numFmt w:val="decimal"/>
      <w:lvlText w:val="%1.%2.%3.%4.%5.%6.%7"/>
      <w:lvlJc w:val="left"/>
      <w:pPr>
        <w:tabs>
          <w:tab w:val="left" w:pos="-3252"/>
        </w:tabs>
        <w:ind w:left="-4386" w:firstLine="400"/>
      </w:pPr>
      <w:rPr>
        <w:rFonts w:hint="eastAsia"/>
      </w:rPr>
    </w:lvl>
    <w:lvl w:ilvl="7" w:tentative="0">
      <w:start w:val="1"/>
      <w:numFmt w:val="decimal"/>
      <w:lvlText w:val="%1.%2.%3.%4.%5.%6.%7.%8"/>
      <w:lvlJc w:val="left"/>
      <w:pPr>
        <w:tabs>
          <w:tab w:val="left" w:pos="-3983"/>
        </w:tabs>
        <w:ind w:left="-5117" w:firstLine="400"/>
      </w:pPr>
      <w:rPr>
        <w:rFonts w:hint="eastAsia"/>
      </w:rPr>
    </w:lvl>
    <w:lvl w:ilvl="8" w:tentative="0">
      <w:start w:val="1"/>
      <w:numFmt w:val="decimal"/>
      <w:lvlText w:val="%1.%2.%3.%4.%5.%6.%7.%8.%9"/>
      <w:lvlJc w:val="left"/>
      <w:pPr>
        <w:tabs>
          <w:tab w:val="left" w:pos="-4714"/>
        </w:tabs>
        <w:ind w:left="-5848" w:firstLine="400"/>
      </w:pPr>
      <w:rPr>
        <w:rFonts w:hint="eastAsia"/>
      </w:rPr>
    </w:lvl>
  </w:abstractNum>
  <w:abstractNum w:abstractNumId="16">
    <w:nsid w:val="37D3508F"/>
    <w:multiLevelType w:val="multilevel"/>
    <w:tmpl w:val="37D3508F"/>
    <w:lvl w:ilvl="0" w:tentative="0">
      <w:start w:val="5"/>
      <w:numFmt w:val="decimal"/>
      <w:lvlText w:val="%1"/>
      <w:lvlJc w:val="left"/>
      <w:pPr>
        <w:tabs>
          <w:tab w:val="left" w:pos="425"/>
        </w:tabs>
        <w:ind w:left="425" w:hanging="425"/>
      </w:pPr>
      <w:rPr>
        <w:rFonts w:hint="eastAsia"/>
      </w:rPr>
    </w:lvl>
    <w:lvl w:ilvl="1" w:tentative="0">
      <w:start w:val="1"/>
      <w:numFmt w:val="decimal"/>
      <w:pStyle w:val="86"/>
      <w:lvlText w:val="%1.%2"/>
      <w:lvlJc w:val="left"/>
      <w:pPr>
        <w:tabs>
          <w:tab w:val="left" w:pos="510"/>
        </w:tabs>
        <w:ind w:left="420" w:hanging="42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3C287EEF"/>
    <w:multiLevelType w:val="multilevel"/>
    <w:tmpl w:val="3C287EEF"/>
    <w:lvl w:ilvl="0" w:tentative="0">
      <w:start w:val="1"/>
      <w:numFmt w:val="decimal"/>
      <w:pStyle w:val="259"/>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CAA55CD"/>
    <w:multiLevelType w:val="multilevel"/>
    <w:tmpl w:val="4CAA55CD"/>
    <w:lvl w:ilvl="0" w:tentative="0">
      <w:start w:val="1"/>
      <w:numFmt w:val="bullet"/>
      <w:pStyle w:val="14"/>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9">
    <w:nsid w:val="570941F9"/>
    <w:multiLevelType w:val="multilevel"/>
    <w:tmpl w:val="570941F9"/>
    <w:lvl w:ilvl="0" w:tentative="0">
      <w:start w:val="1"/>
      <w:numFmt w:val="decimal"/>
      <w:pStyle w:val="138"/>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D4A37DC"/>
    <w:multiLevelType w:val="multilevel"/>
    <w:tmpl w:val="5D4A37DC"/>
    <w:lvl w:ilvl="0" w:tentative="0">
      <w:start w:val="1"/>
      <w:numFmt w:val="decimal"/>
      <w:pStyle w:val="249"/>
      <w:lvlText w:val="%1)"/>
      <w:lvlJc w:val="left"/>
      <w:pPr>
        <w:ind w:left="982" w:hanging="420"/>
      </w:pPr>
    </w:lvl>
    <w:lvl w:ilvl="1" w:tentative="0">
      <w:start w:val="1"/>
      <w:numFmt w:val="lowerLetter"/>
      <w:pStyle w:val="246"/>
      <w:lvlText w:val="%2)"/>
      <w:lvlJc w:val="left"/>
      <w:pPr>
        <w:ind w:left="1402" w:hanging="420"/>
      </w:pPr>
    </w:lvl>
    <w:lvl w:ilvl="2" w:tentative="0">
      <w:start w:val="1"/>
      <w:numFmt w:val="lowerRoman"/>
      <w:pStyle w:val="247"/>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1">
    <w:nsid w:val="5F8239D3"/>
    <w:multiLevelType w:val="singleLevel"/>
    <w:tmpl w:val="5F8239D3"/>
    <w:lvl w:ilvl="0" w:tentative="0">
      <w:start w:val="1"/>
      <w:numFmt w:val="bullet"/>
      <w:pStyle w:val="161"/>
      <w:lvlText w:val=""/>
      <w:lvlJc w:val="left"/>
      <w:pPr>
        <w:tabs>
          <w:tab w:val="left" w:pos="360"/>
        </w:tabs>
        <w:ind w:left="360" w:hanging="360"/>
      </w:pPr>
      <w:rPr>
        <w:rFonts w:hint="default" w:ascii="Wingdings" w:hAnsi="Wingdings"/>
      </w:rPr>
    </w:lvl>
  </w:abstractNum>
  <w:abstractNum w:abstractNumId="22">
    <w:nsid w:val="64253DA1"/>
    <w:multiLevelType w:val="multilevel"/>
    <w:tmpl w:val="64253DA1"/>
    <w:lvl w:ilvl="0" w:tentative="0">
      <w:start w:val="1"/>
      <w:numFmt w:val="decimal"/>
      <w:suff w:val="nothing"/>
      <w:lvlText w:val="%1"/>
      <w:lvlJc w:val="left"/>
      <w:pPr>
        <w:ind w:left="84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23">
    <w:nsid w:val="682F2EA2"/>
    <w:multiLevelType w:val="multilevel"/>
    <w:tmpl w:val="682F2EA2"/>
    <w:lvl w:ilvl="0" w:tentative="0">
      <w:start w:val="1"/>
      <w:numFmt w:val="chineseCountingThousand"/>
      <w:pStyle w:val="229"/>
      <w:lvlText w:val="第%1章"/>
      <w:lvlJc w:val="left"/>
      <w:pPr>
        <w:tabs>
          <w:tab w:val="left" w:pos="340"/>
        </w:tabs>
        <w:ind w:left="0" w:firstLine="0"/>
      </w:pPr>
      <w:rPr>
        <w:rFonts w:hint="eastAsia"/>
      </w:rPr>
    </w:lvl>
    <w:lvl w:ilvl="1" w:tentative="0">
      <w:start w:val="1"/>
      <w:numFmt w:val="decimal"/>
      <w:pStyle w:val="230"/>
      <w:isLgl/>
      <w:suff w:val="space"/>
      <w:lvlText w:val="%1.%2"/>
      <w:lvlJc w:val="left"/>
      <w:pPr>
        <w:ind w:left="0" w:firstLine="0"/>
      </w:pPr>
      <w:rPr>
        <w:rFonts w:hint="eastAsia"/>
      </w:rPr>
    </w:lvl>
    <w:lvl w:ilvl="2" w:tentative="0">
      <w:start w:val="1"/>
      <w:numFmt w:val="decimal"/>
      <w:pStyle w:val="232"/>
      <w:isLgl/>
      <w:suff w:val="space"/>
      <w:lvlText w:val="%1.%2.%3"/>
      <w:lvlJc w:val="left"/>
      <w:pPr>
        <w:ind w:left="0" w:firstLine="0"/>
      </w:pPr>
      <w:rPr>
        <w:rFonts w:hint="eastAsia"/>
      </w:rPr>
    </w:lvl>
    <w:lvl w:ilvl="3" w:tentative="0">
      <w:start w:val="1"/>
      <w:numFmt w:val="decimal"/>
      <w:pStyle w:val="234"/>
      <w:isLgl/>
      <w:suff w:val="space"/>
      <w:lvlText w:val="%1.%2.%3.%4"/>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pStyle w:val="236"/>
      <w:isLgl/>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4">
    <w:nsid w:val="6D314D68"/>
    <w:multiLevelType w:val="multilevel"/>
    <w:tmpl w:val="6D314D68"/>
    <w:lvl w:ilvl="0" w:tentative="0">
      <w:start w:val="1"/>
      <w:numFmt w:val="decimal"/>
      <w:pStyle w:val="254"/>
      <w:lvlText w:val="%1)"/>
      <w:lvlJc w:val="left"/>
      <w:pPr>
        <w:ind w:left="980" w:hanging="420"/>
      </w:pPr>
      <w:rPr>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5">
    <w:nsid w:val="726C71F1"/>
    <w:multiLevelType w:val="multilevel"/>
    <w:tmpl w:val="726C71F1"/>
    <w:lvl w:ilvl="0" w:tentative="0">
      <w:start w:val="1"/>
      <w:numFmt w:val="chineseCountingThousand"/>
      <w:suff w:val="nothing"/>
      <w:lvlText w:val="%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34F656C"/>
    <w:multiLevelType w:val="multilevel"/>
    <w:tmpl w:val="734F656C"/>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B0E2BCA"/>
    <w:multiLevelType w:val="multilevel"/>
    <w:tmpl w:val="7B0E2BCA"/>
    <w:lvl w:ilvl="0" w:tentative="0">
      <w:start w:val="1"/>
      <w:numFmt w:val="bullet"/>
      <w:pStyle w:val="129"/>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7DD51E1B"/>
    <w:multiLevelType w:val="multilevel"/>
    <w:tmpl w:val="7DD51E1B"/>
    <w:lvl w:ilvl="0" w:tentative="0">
      <w:start w:val="1"/>
      <w:numFmt w:val="decimal"/>
      <w:pStyle w:val="219"/>
      <w:suff w:val="space"/>
      <w:lvlText w:val="%1"/>
      <w:lvlJc w:val="left"/>
      <w:pPr>
        <w:ind w:left="0" w:firstLine="0"/>
      </w:pPr>
      <w:rPr>
        <w:rFonts w:hint="eastAsia"/>
      </w:rPr>
    </w:lvl>
    <w:lvl w:ilvl="1" w:tentative="0">
      <w:start w:val="1"/>
      <w:numFmt w:val="decimal"/>
      <w:pStyle w:val="221"/>
      <w:suff w:val="space"/>
      <w:lvlText w:val="%1.%2"/>
      <w:lvlJc w:val="left"/>
      <w:pPr>
        <w:ind w:left="0" w:firstLine="0"/>
      </w:pPr>
      <w:rPr>
        <w:rFonts w:hint="eastAsia"/>
      </w:rPr>
    </w:lvl>
    <w:lvl w:ilvl="2" w:tentative="0">
      <w:start w:val="1"/>
      <w:numFmt w:val="decimal"/>
      <w:pStyle w:val="223"/>
      <w:suff w:val="space"/>
      <w:lvlText w:val="%1.%2.%3"/>
      <w:lvlJc w:val="left"/>
      <w:pPr>
        <w:ind w:left="0" w:firstLine="0"/>
      </w:pPr>
      <w:rPr>
        <w:rFonts w:hint="eastAsia"/>
      </w:rPr>
    </w:lvl>
    <w:lvl w:ilvl="3" w:tentative="0">
      <w:start w:val="1"/>
      <w:numFmt w:val="decimal"/>
      <w:pStyle w:val="225"/>
      <w:suff w:val="space"/>
      <w:lvlText w:val="%1.%2.%3.%4"/>
      <w:lvlJc w:val="left"/>
      <w:pPr>
        <w:ind w:left="0" w:firstLine="0"/>
      </w:pPr>
      <w:rPr>
        <w:rFonts w:hint="eastAsia"/>
      </w:rPr>
    </w:lvl>
    <w:lvl w:ilvl="4" w:tentative="0">
      <w:start w:val="1"/>
      <w:numFmt w:val="decimal"/>
      <w:pStyle w:val="227"/>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8"/>
  </w:num>
  <w:num w:numId="2">
    <w:abstractNumId w:val="16"/>
  </w:num>
  <w:num w:numId="3">
    <w:abstractNumId w:val="7"/>
  </w:num>
  <w:num w:numId="4">
    <w:abstractNumId w:val="8"/>
  </w:num>
  <w:num w:numId="5">
    <w:abstractNumId w:val="3"/>
  </w:num>
  <w:num w:numId="6">
    <w:abstractNumId w:val="12"/>
  </w:num>
  <w:num w:numId="7">
    <w:abstractNumId w:val="15"/>
    <w:lvlOverride w:ilvl="0">
      <w:lvl w:ilvl="0" w:tentative="1">
        <w:start w:val="1"/>
        <w:numFmt w:val="decimal"/>
        <w:pStyle w:val="115"/>
        <w:lvlText w:val="%1."/>
        <w:lvlJc w:val="left"/>
        <w:pPr>
          <w:tabs>
            <w:tab w:val="left" w:pos="420"/>
          </w:tabs>
          <w:ind w:left="0" w:firstLine="420"/>
        </w:pPr>
        <w:rPr>
          <w:rFonts w:hint="eastAsia"/>
        </w:rPr>
      </w:lvl>
    </w:lvlOverride>
    <w:lvlOverride w:ilvl="1">
      <w:lvl w:ilvl="1" w:tentative="1">
        <w:start w:val="1"/>
        <w:numFmt w:val="decimal"/>
        <w:pStyle w:val="116"/>
        <w:lvlText w:val="(%2)"/>
        <w:lvlJc w:val="left"/>
        <w:pPr>
          <w:tabs>
            <w:tab w:val="left" w:pos="420"/>
          </w:tabs>
          <w:ind w:left="800" w:hanging="380"/>
        </w:pPr>
        <w:rPr>
          <w:rFonts w:hint="eastAsia"/>
        </w:rPr>
      </w:lvl>
    </w:lvlOverride>
    <w:lvlOverride w:ilvl="2">
      <w:lvl w:ilvl="2" w:tentative="1">
        <w:start w:val="1"/>
        <w:numFmt w:val="none"/>
        <w:lvlText w:val=""/>
        <w:lvlJc w:val="left"/>
        <w:pPr>
          <w:tabs>
            <w:tab w:val="left" w:pos="-328"/>
          </w:tabs>
          <w:ind w:left="-1462" w:firstLine="400"/>
        </w:pPr>
        <w:rPr>
          <w:rFonts w:hint="eastAsia"/>
        </w:rPr>
      </w:lvl>
    </w:lvlOverride>
    <w:lvlOverride w:ilvl="3">
      <w:lvl w:ilvl="3" w:tentative="1">
        <w:start w:val="1"/>
        <w:numFmt w:val="none"/>
        <w:lvlText w:val=""/>
        <w:lvlJc w:val="left"/>
        <w:pPr>
          <w:tabs>
            <w:tab w:val="left" w:pos="-1059"/>
          </w:tabs>
          <w:ind w:left="-2193" w:firstLine="400"/>
        </w:pPr>
        <w:rPr>
          <w:rFonts w:hint="eastAsia"/>
        </w:rPr>
      </w:lvl>
    </w:lvlOverride>
    <w:lvlOverride w:ilvl="4">
      <w:lvl w:ilvl="4" w:tentative="1">
        <w:start w:val="1"/>
        <w:numFmt w:val="none"/>
        <w:lvlText w:val=""/>
        <w:lvlJc w:val="left"/>
        <w:pPr>
          <w:tabs>
            <w:tab w:val="left" w:pos="-1790"/>
          </w:tabs>
          <w:ind w:left="-2924" w:firstLine="400"/>
        </w:pPr>
        <w:rPr>
          <w:rFonts w:hint="eastAsia"/>
        </w:rPr>
      </w:lvl>
    </w:lvlOverride>
    <w:lvlOverride w:ilvl="5">
      <w:lvl w:ilvl="5" w:tentative="1">
        <w:start w:val="1"/>
        <w:numFmt w:val="decimal"/>
        <w:lvlText w:val="%1.%2.%3.%4.%5.%6"/>
        <w:lvlJc w:val="left"/>
        <w:pPr>
          <w:tabs>
            <w:tab w:val="left" w:pos="-2521"/>
          </w:tabs>
          <w:ind w:left="-3655" w:firstLine="400"/>
        </w:pPr>
        <w:rPr>
          <w:rFonts w:hint="eastAsia"/>
        </w:rPr>
      </w:lvl>
    </w:lvlOverride>
    <w:lvlOverride w:ilvl="6">
      <w:lvl w:ilvl="6" w:tentative="1">
        <w:start w:val="1"/>
        <w:numFmt w:val="decimal"/>
        <w:lvlText w:val="%1.%2.%3.%4.%5.%6.%7"/>
        <w:lvlJc w:val="left"/>
        <w:pPr>
          <w:tabs>
            <w:tab w:val="left" w:pos="-3252"/>
          </w:tabs>
          <w:ind w:left="-4386" w:firstLine="400"/>
        </w:pPr>
        <w:rPr>
          <w:rFonts w:hint="eastAsia"/>
        </w:rPr>
      </w:lvl>
    </w:lvlOverride>
    <w:lvlOverride w:ilvl="7">
      <w:lvl w:ilvl="7" w:tentative="1">
        <w:start w:val="1"/>
        <w:numFmt w:val="decimal"/>
        <w:lvlText w:val="%1.%2.%3.%4.%5.%6.%7.%8"/>
        <w:lvlJc w:val="left"/>
        <w:pPr>
          <w:tabs>
            <w:tab w:val="left" w:pos="-3983"/>
          </w:tabs>
          <w:ind w:left="-5117" w:firstLine="400"/>
        </w:pPr>
        <w:rPr>
          <w:rFonts w:hint="eastAsia"/>
        </w:rPr>
      </w:lvl>
    </w:lvlOverride>
    <w:lvlOverride w:ilvl="8">
      <w:lvl w:ilvl="8" w:tentative="1">
        <w:start w:val="1"/>
        <w:numFmt w:val="decimal"/>
        <w:lvlText w:val="%1.%2.%3.%4.%5.%6.%7.%8.%9"/>
        <w:lvlJc w:val="left"/>
        <w:pPr>
          <w:tabs>
            <w:tab w:val="left" w:pos="-4714"/>
          </w:tabs>
          <w:ind w:left="-5848" w:firstLine="400"/>
        </w:pPr>
        <w:rPr>
          <w:rFonts w:hint="eastAsia"/>
        </w:rPr>
      </w:lvl>
    </w:lvlOverride>
  </w:num>
  <w:num w:numId="8">
    <w:abstractNumId w:val="1"/>
  </w:num>
  <w:num w:numId="9">
    <w:abstractNumId w:val="27"/>
  </w:num>
  <w:num w:numId="10">
    <w:abstractNumId w:val="4"/>
  </w:num>
  <w:num w:numId="11">
    <w:abstractNumId w:val="19"/>
  </w:num>
  <w:num w:numId="12">
    <w:abstractNumId w:val="21"/>
  </w:num>
  <w:num w:numId="13">
    <w:abstractNumId w:val="2"/>
  </w:num>
  <w:num w:numId="14">
    <w:abstractNumId w:val="28"/>
  </w:num>
  <w:num w:numId="15">
    <w:abstractNumId w:val="23"/>
  </w:num>
  <w:num w:numId="16">
    <w:abstractNumId w:val="14"/>
  </w:num>
  <w:num w:numId="17">
    <w:abstractNumId w:val="20"/>
  </w:num>
  <w:num w:numId="18">
    <w:abstractNumId w:val="24"/>
  </w:num>
  <w:num w:numId="19">
    <w:abstractNumId w:val="17"/>
  </w:num>
  <w:num w:numId="20">
    <w:abstractNumId w:val="13"/>
  </w:num>
  <w:num w:numId="21">
    <w:abstractNumId w:val="26"/>
  </w:num>
  <w:num w:numId="22">
    <w:abstractNumId w:val="22"/>
  </w:num>
  <w:num w:numId="23">
    <w:abstractNumId w:val="0"/>
  </w:num>
  <w:num w:numId="24">
    <w:abstractNumId w:val="9"/>
  </w:num>
  <w:num w:numId="25">
    <w:abstractNumId w:val="5"/>
  </w:num>
  <w:num w:numId="26">
    <w:abstractNumId w:val="25"/>
  </w:num>
  <w:num w:numId="27">
    <w:abstractNumId w:val="10"/>
  </w:num>
  <w:num w:numId="28">
    <w:abstractNumId w:val="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683"/>
    <w:rsid w:val="0000037F"/>
    <w:rsid w:val="000006B9"/>
    <w:rsid w:val="00000915"/>
    <w:rsid w:val="00000941"/>
    <w:rsid w:val="00000AFB"/>
    <w:rsid w:val="00000DA4"/>
    <w:rsid w:val="000011F7"/>
    <w:rsid w:val="0000145B"/>
    <w:rsid w:val="0000159C"/>
    <w:rsid w:val="00001AEA"/>
    <w:rsid w:val="00001CE0"/>
    <w:rsid w:val="00002DB5"/>
    <w:rsid w:val="00002F9F"/>
    <w:rsid w:val="000036F7"/>
    <w:rsid w:val="000038EB"/>
    <w:rsid w:val="00003CC2"/>
    <w:rsid w:val="00003FF6"/>
    <w:rsid w:val="00004225"/>
    <w:rsid w:val="00004251"/>
    <w:rsid w:val="0000488C"/>
    <w:rsid w:val="00004952"/>
    <w:rsid w:val="00005215"/>
    <w:rsid w:val="00005A10"/>
    <w:rsid w:val="00005AB7"/>
    <w:rsid w:val="00005AFC"/>
    <w:rsid w:val="00006D66"/>
    <w:rsid w:val="00007FCD"/>
    <w:rsid w:val="00010102"/>
    <w:rsid w:val="00010A6F"/>
    <w:rsid w:val="00011500"/>
    <w:rsid w:val="0001175B"/>
    <w:rsid w:val="000124E2"/>
    <w:rsid w:val="0001275D"/>
    <w:rsid w:val="000128AD"/>
    <w:rsid w:val="00012C0A"/>
    <w:rsid w:val="00014026"/>
    <w:rsid w:val="00014E10"/>
    <w:rsid w:val="00014F58"/>
    <w:rsid w:val="000151D5"/>
    <w:rsid w:val="00015433"/>
    <w:rsid w:val="000154D8"/>
    <w:rsid w:val="00015968"/>
    <w:rsid w:val="00015E98"/>
    <w:rsid w:val="0001634A"/>
    <w:rsid w:val="00016D58"/>
    <w:rsid w:val="00017112"/>
    <w:rsid w:val="0001716B"/>
    <w:rsid w:val="0001792D"/>
    <w:rsid w:val="0001794C"/>
    <w:rsid w:val="00020321"/>
    <w:rsid w:val="000211EA"/>
    <w:rsid w:val="000218B0"/>
    <w:rsid w:val="00022196"/>
    <w:rsid w:val="00022548"/>
    <w:rsid w:val="00022E19"/>
    <w:rsid w:val="000234B2"/>
    <w:rsid w:val="0002382E"/>
    <w:rsid w:val="0002401D"/>
    <w:rsid w:val="000244E1"/>
    <w:rsid w:val="000245FE"/>
    <w:rsid w:val="000252D1"/>
    <w:rsid w:val="00025673"/>
    <w:rsid w:val="00025E39"/>
    <w:rsid w:val="00026A09"/>
    <w:rsid w:val="0003053A"/>
    <w:rsid w:val="0003072D"/>
    <w:rsid w:val="0003148B"/>
    <w:rsid w:val="00031700"/>
    <w:rsid w:val="00031E25"/>
    <w:rsid w:val="00031F18"/>
    <w:rsid w:val="00031F6E"/>
    <w:rsid w:val="00032001"/>
    <w:rsid w:val="00032090"/>
    <w:rsid w:val="000325A7"/>
    <w:rsid w:val="00032AF9"/>
    <w:rsid w:val="00032C22"/>
    <w:rsid w:val="0003373D"/>
    <w:rsid w:val="000339DE"/>
    <w:rsid w:val="00033B7B"/>
    <w:rsid w:val="00034B41"/>
    <w:rsid w:val="0003503F"/>
    <w:rsid w:val="0003617B"/>
    <w:rsid w:val="000372DD"/>
    <w:rsid w:val="000377F6"/>
    <w:rsid w:val="00037F52"/>
    <w:rsid w:val="00037F54"/>
    <w:rsid w:val="0004000A"/>
    <w:rsid w:val="00040715"/>
    <w:rsid w:val="00040A4B"/>
    <w:rsid w:val="00040D3C"/>
    <w:rsid w:val="0004120F"/>
    <w:rsid w:val="00041B72"/>
    <w:rsid w:val="00041B9A"/>
    <w:rsid w:val="00041E1A"/>
    <w:rsid w:val="00041E58"/>
    <w:rsid w:val="00042BE4"/>
    <w:rsid w:val="00042CE2"/>
    <w:rsid w:val="00043131"/>
    <w:rsid w:val="0004348E"/>
    <w:rsid w:val="00043819"/>
    <w:rsid w:val="00043A89"/>
    <w:rsid w:val="00044204"/>
    <w:rsid w:val="00044591"/>
    <w:rsid w:val="00044926"/>
    <w:rsid w:val="0004538E"/>
    <w:rsid w:val="00045739"/>
    <w:rsid w:val="00045AD6"/>
    <w:rsid w:val="0004790E"/>
    <w:rsid w:val="000510B6"/>
    <w:rsid w:val="00051D3E"/>
    <w:rsid w:val="00051F3F"/>
    <w:rsid w:val="0005204E"/>
    <w:rsid w:val="00052798"/>
    <w:rsid w:val="00052BC1"/>
    <w:rsid w:val="00053715"/>
    <w:rsid w:val="0005381C"/>
    <w:rsid w:val="000538BE"/>
    <w:rsid w:val="00053A25"/>
    <w:rsid w:val="0005506C"/>
    <w:rsid w:val="00055256"/>
    <w:rsid w:val="000557BC"/>
    <w:rsid w:val="0005582B"/>
    <w:rsid w:val="00055BF3"/>
    <w:rsid w:val="00055C4B"/>
    <w:rsid w:val="00055F5C"/>
    <w:rsid w:val="000566D1"/>
    <w:rsid w:val="0005677F"/>
    <w:rsid w:val="00056E39"/>
    <w:rsid w:val="00057332"/>
    <w:rsid w:val="0005740C"/>
    <w:rsid w:val="000601F6"/>
    <w:rsid w:val="000602D1"/>
    <w:rsid w:val="0006039A"/>
    <w:rsid w:val="00060E5A"/>
    <w:rsid w:val="0006171E"/>
    <w:rsid w:val="00061BBA"/>
    <w:rsid w:val="00061DCB"/>
    <w:rsid w:val="0006267A"/>
    <w:rsid w:val="00062882"/>
    <w:rsid w:val="00062BA0"/>
    <w:rsid w:val="00062C42"/>
    <w:rsid w:val="00062E92"/>
    <w:rsid w:val="00063131"/>
    <w:rsid w:val="000638E3"/>
    <w:rsid w:val="00063CD3"/>
    <w:rsid w:val="00063F40"/>
    <w:rsid w:val="00063FD9"/>
    <w:rsid w:val="00064AF3"/>
    <w:rsid w:val="0006640B"/>
    <w:rsid w:val="0006670C"/>
    <w:rsid w:val="00067390"/>
    <w:rsid w:val="00067A02"/>
    <w:rsid w:val="00067B7F"/>
    <w:rsid w:val="00067D5E"/>
    <w:rsid w:val="000702E0"/>
    <w:rsid w:val="00070409"/>
    <w:rsid w:val="0007051D"/>
    <w:rsid w:val="00070736"/>
    <w:rsid w:val="000709E4"/>
    <w:rsid w:val="00072DD1"/>
    <w:rsid w:val="00073180"/>
    <w:rsid w:val="000732C9"/>
    <w:rsid w:val="00073E77"/>
    <w:rsid w:val="000740B8"/>
    <w:rsid w:val="0007455E"/>
    <w:rsid w:val="000750DC"/>
    <w:rsid w:val="0007542D"/>
    <w:rsid w:val="00075C4A"/>
    <w:rsid w:val="00076380"/>
    <w:rsid w:val="00077188"/>
    <w:rsid w:val="00080925"/>
    <w:rsid w:val="0008103C"/>
    <w:rsid w:val="00081A6E"/>
    <w:rsid w:val="000820FF"/>
    <w:rsid w:val="00082667"/>
    <w:rsid w:val="00083A13"/>
    <w:rsid w:val="00083AAF"/>
    <w:rsid w:val="00083DA4"/>
    <w:rsid w:val="00083DC6"/>
    <w:rsid w:val="0008409D"/>
    <w:rsid w:val="00085023"/>
    <w:rsid w:val="00085592"/>
    <w:rsid w:val="00085624"/>
    <w:rsid w:val="00085B5B"/>
    <w:rsid w:val="000862AC"/>
    <w:rsid w:val="000864B8"/>
    <w:rsid w:val="000869D8"/>
    <w:rsid w:val="00086C4F"/>
    <w:rsid w:val="00087A08"/>
    <w:rsid w:val="00090A99"/>
    <w:rsid w:val="00091179"/>
    <w:rsid w:val="0009141A"/>
    <w:rsid w:val="00091BDA"/>
    <w:rsid w:val="000924E5"/>
    <w:rsid w:val="00092590"/>
    <w:rsid w:val="0009269A"/>
    <w:rsid w:val="000927D9"/>
    <w:rsid w:val="00092CD0"/>
    <w:rsid w:val="00092FC7"/>
    <w:rsid w:val="00093003"/>
    <w:rsid w:val="00094EB7"/>
    <w:rsid w:val="000950A7"/>
    <w:rsid w:val="00095480"/>
    <w:rsid w:val="000954D5"/>
    <w:rsid w:val="0009550F"/>
    <w:rsid w:val="00095747"/>
    <w:rsid w:val="00095778"/>
    <w:rsid w:val="00095A25"/>
    <w:rsid w:val="0009618D"/>
    <w:rsid w:val="000961F2"/>
    <w:rsid w:val="00096ED1"/>
    <w:rsid w:val="0009709B"/>
    <w:rsid w:val="0009778F"/>
    <w:rsid w:val="000A0441"/>
    <w:rsid w:val="000A0B8E"/>
    <w:rsid w:val="000A1206"/>
    <w:rsid w:val="000A1ECE"/>
    <w:rsid w:val="000A21E9"/>
    <w:rsid w:val="000A2927"/>
    <w:rsid w:val="000A2B24"/>
    <w:rsid w:val="000A2C6D"/>
    <w:rsid w:val="000A48A7"/>
    <w:rsid w:val="000A5537"/>
    <w:rsid w:val="000A599B"/>
    <w:rsid w:val="000A6BCB"/>
    <w:rsid w:val="000A6EE8"/>
    <w:rsid w:val="000A6F39"/>
    <w:rsid w:val="000A7726"/>
    <w:rsid w:val="000B00F8"/>
    <w:rsid w:val="000B05E2"/>
    <w:rsid w:val="000B11E0"/>
    <w:rsid w:val="000B1345"/>
    <w:rsid w:val="000B2568"/>
    <w:rsid w:val="000B2BAE"/>
    <w:rsid w:val="000B2BB0"/>
    <w:rsid w:val="000B381C"/>
    <w:rsid w:val="000B3E2A"/>
    <w:rsid w:val="000B428A"/>
    <w:rsid w:val="000B44C8"/>
    <w:rsid w:val="000B4591"/>
    <w:rsid w:val="000B4777"/>
    <w:rsid w:val="000B4988"/>
    <w:rsid w:val="000B5447"/>
    <w:rsid w:val="000B56CC"/>
    <w:rsid w:val="000B6142"/>
    <w:rsid w:val="000B6961"/>
    <w:rsid w:val="000B69EB"/>
    <w:rsid w:val="000B6B59"/>
    <w:rsid w:val="000B6DE4"/>
    <w:rsid w:val="000B73D3"/>
    <w:rsid w:val="000B7745"/>
    <w:rsid w:val="000B7AF7"/>
    <w:rsid w:val="000C0173"/>
    <w:rsid w:val="000C01EA"/>
    <w:rsid w:val="000C0559"/>
    <w:rsid w:val="000C1C71"/>
    <w:rsid w:val="000C1EE4"/>
    <w:rsid w:val="000C2446"/>
    <w:rsid w:val="000C2FC5"/>
    <w:rsid w:val="000C3360"/>
    <w:rsid w:val="000C3C43"/>
    <w:rsid w:val="000C3D9C"/>
    <w:rsid w:val="000C427C"/>
    <w:rsid w:val="000C4425"/>
    <w:rsid w:val="000C5044"/>
    <w:rsid w:val="000C50BE"/>
    <w:rsid w:val="000C580F"/>
    <w:rsid w:val="000C5F59"/>
    <w:rsid w:val="000C61EA"/>
    <w:rsid w:val="000C6975"/>
    <w:rsid w:val="000C6BA7"/>
    <w:rsid w:val="000C70F7"/>
    <w:rsid w:val="000C7CA5"/>
    <w:rsid w:val="000C7D81"/>
    <w:rsid w:val="000D1055"/>
    <w:rsid w:val="000D1275"/>
    <w:rsid w:val="000D12AA"/>
    <w:rsid w:val="000D1A7D"/>
    <w:rsid w:val="000D2309"/>
    <w:rsid w:val="000D2390"/>
    <w:rsid w:val="000D23AD"/>
    <w:rsid w:val="000D2C15"/>
    <w:rsid w:val="000D336F"/>
    <w:rsid w:val="000D350D"/>
    <w:rsid w:val="000D35B7"/>
    <w:rsid w:val="000D38F9"/>
    <w:rsid w:val="000D40F0"/>
    <w:rsid w:val="000D495E"/>
    <w:rsid w:val="000D4CFC"/>
    <w:rsid w:val="000D4E09"/>
    <w:rsid w:val="000D53B3"/>
    <w:rsid w:val="000D5864"/>
    <w:rsid w:val="000D58D2"/>
    <w:rsid w:val="000D5DD9"/>
    <w:rsid w:val="000D6197"/>
    <w:rsid w:val="000D695F"/>
    <w:rsid w:val="000D6AF1"/>
    <w:rsid w:val="000D6DA4"/>
    <w:rsid w:val="000D7130"/>
    <w:rsid w:val="000E0040"/>
    <w:rsid w:val="000E01F1"/>
    <w:rsid w:val="000E0227"/>
    <w:rsid w:val="000E065D"/>
    <w:rsid w:val="000E0885"/>
    <w:rsid w:val="000E121E"/>
    <w:rsid w:val="000E14A4"/>
    <w:rsid w:val="000E14C6"/>
    <w:rsid w:val="000E166A"/>
    <w:rsid w:val="000E1759"/>
    <w:rsid w:val="000E1C23"/>
    <w:rsid w:val="000E2F34"/>
    <w:rsid w:val="000E301B"/>
    <w:rsid w:val="000E34E1"/>
    <w:rsid w:val="000E4687"/>
    <w:rsid w:val="000E4DE8"/>
    <w:rsid w:val="000E60B2"/>
    <w:rsid w:val="000E69FE"/>
    <w:rsid w:val="000E6C5E"/>
    <w:rsid w:val="000E6C9A"/>
    <w:rsid w:val="000E6EC0"/>
    <w:rsid w:val="000E7D2D"/>
    <w:rsid w:val="000F179C"/>
    <w:rsid w:val="000F1FA3"/>
    <w:rsid w:val="000F2065"/>
    <w:rsid w:val="000F2359"/>
    <w:rsid w:val="000F2A88"/>
    <w:rsid w:val="000F2D1B"/>
    <w:rsid w:val="000F353A"/>
    <w:rsid w:val="000F3A80"/>
    <w:rsid w:val="000F3ADB"/>
    <w:rsid w:val="000F3FA1"/>
    <w:rsid w:val="000F4351"/>
    <w:rsid w:val="000F4752"/>
    <w:rsid w:val="000F48D9"/>
    <w:rsid w:val="000F4B7E"/>
    <w:rsid w:val="000F4E82"/>
    <w:rsid w:val="000F51DA"/>
    <w:rsid w:val="000F5577"/>
    <w:rsid w:val="000F565B"/>
    <w:rsid w:val="000F57BF"/>
    <w:rsid w:val="000F5A30"/>
    <w:rsid w:val="000F5F3F"/>
    <w:rsid w:val="000F67AA"/>
    <w:rsid w:val="001005C3"/>
    <w:rsid w:val="00100F63"/>
    <w:rsid w:val="001018E7"/>
    <w:rsid w:val="00101C3F"/>
    <w:rsid w:val="00101DD0"/>
    <w:rsid w:val="00102555"/>
    <w:rsid w:val="00102F06"/>
    <w:rsid w:val="00103DFC"/>
    <w:rsid w:val="001047E8"/>
    <w:rsid w:val="00104B2A"/>
    <w:rsid w:val="00104F15"/>
    <w:rsid w:val="001051A9"/>
    <w:rsid w:val="00105B3E"/>
    <w:rsid w:val="00105BA0"/>
    <w:rsid w:val="001061D3"/>
    <w:rsid w:val="00106748"/>
    <w:rsid w:val="001075B1"/>
    <w:rsid w:val="00107D54"/>
    <w:rsid w:val="00110079"/>
    <w:rsid w:val="00110173"/>
    <w:rsid w:val="00110A90"/>
    <w:rsid w:val="0011108B"/>
    <w:rsid w:val="001111F7"/>
    <w:rsid w:val="00111A14"/>
    <w:rsid w:val="001138DA"/>
    <w:rsid w:val="00114744"/>
    <w:rsid w:val="00115711"/>
    <w:rsid w:val="0011585F"/>
    <w:rsid w:val="00115A55"/>
    <w:rsid w:val="00115AD7"/>
    <w:rsid w:val="00116971"/>
    <w:rsid w:val="001172D4"/>
    <w:rsid w:val="00117316"/>
    <w:rsid w:val="00117A19"/>
    <w:rsid w:val="001208AF"/>
    <w:rsid w:val="00120A84"/>
    <w:rsid w:val="00121047"/>
    <w:rsid w:val="001212EF"/>
    <w:rsid w:val="001215C5"/>
    <w:rsid w:val="001217DC"/>
    <w:rsid w:val="00121AA9"/>
    <w:rsid w:val="0012203F"/>
    <w:rsid w:val="00122873"/>
    <w:rsid w:val="00122EAA"/>
    <w:rsid w:val="00123243"/>
    <w:rsid w:val="00123CC6"/>
    <w:rsid w:val="001241FC"/>
    <w:rsid w:val="00125202"/>
    <w:rsid w:val="00125C68"/>
    <w:rsid w:val="00125C8A"/>
    <w:rsid w:val="00125E74"/>
    <w:rsid w:val="00126080"/>
    <w:rsid w:val="001264D8"/>
    <w:rsid w:val="00126953"/>
    <w:rsid w:val="00126AD5"/>
    <w:rsid w:val="00126C43"/>
    <w:rsid w:val="00126E4A"/>
    <w:rsid w:val="00126EEB"/>
    <w:rsid w:val="00127777"/>
    <w:rsid w:val="001305BF"/>
    <w:rsid w:val="001307D9"/>
    <w:rsid w:val="00130827"/>
    <w:rsid w:val="001308A2"/>
    <w:rsid w:val="00130C56"/>
    <w:rsid w:val="00131668"/>
    <w:rsid w:val="001319AB"/>
    <w:rsid w:val="001321FC"/>
    <w:rsid w:val="0013288F"/>
    <w:rsid w:val="00132F55"/>
    <w:rsid w:val="00132FAF"/>
    <w:rsid w:val="001330B3"/>
    <w:rsid w:val="001333A3"/>
    <w:rsid w:val="00133D2B"/>
    <w:rsid w:val="00133F4C"/>
    <w:rsid w:val="001342FB"/>
    <w:rsid w:val="00134374"/>
    <w:rsid w:val="001343C8"/>
    <w:rsid w:val="00134AF9"/>
    <w:rsid w:val="00134B47"/>
    <w:rsid w:val="00134B53"/>
    <w:rsid w:val="00134C5F"/>
    <w:rsid w:val="00134D6D"/>
    <w:rsid w:val="00135640"/>
    <w:rsid w:val="00136467"/>
    <w:rsid w:val="00136543"/>
    <w:rsid w:val="001375DE"/>
    <w:rsid w:val="001400C7"/>
    <w:rsid w:val="0014046D"/>
    <w:rsid w:val="00142838"/>
    <w:rsid w:val="00143282"/>
    <w:rsid w:val="00143653"/>
    <w:rsid w:val="0014396D"/>
    <w:rsid w:val="00143B3A"/>
    <w:rsid w:val="00144298"/>
    <w:rsid w:val="001446E6"/>
    <w:rsid w:val="0014521C"/>
    <w:rsid w:val="0014549B"/>
    <w:rsid w:val="00146AE7"/>
    <w:rsid w:val="00147350"/>
    <w:rsid w:val="00147AE8"/>
    <w:rsid w:val="00147B3F"/>
    <w:rsid w:val="00150829"/>
    <w:rsid w:val="001520F3"/>
    <w:rsid w:val="00152CBF"/>
    <w:rsid w:val="0015305A"/>
    <w:rsid w:val="001530CC"/>
    <w:rsid w:val="001530FC"/>
    <w:rsid w:val="00153212"/>
    <w:rsid w:val="00153237"/>
    <w:rsid w:val="00153387"/>
    <w:rsid w:val="0015340E"/>
    <w:rsid w:val="0015359C"/>
    <w:rsid w:val="00154156"/>
    <w:rsid w:val="00154CC9"/>
    <w:rsid w:val="00155965"/>
    <w:rsid w:val="001559C0"/>
    <w:rsid w:val="001560F0"/>
    <w:rsid w:val="00156D80"/>
    <w:rsid w:val="00157E23"/>
    <w:rsid w:val="00157FC3"/>
    <w:rsid w:val="0016028E"/>
    <w:rsid w:val="00160352"/>
    <w:rsid w:val="00160854"/>
    <w:rsid w:val="00160EAC"/>
    <w:rsid w:val="001610A3"/>
    <w:rsid w:val="00161C84"/>
    <w:rsid w:val="001623F2"/>
    <w:rsid w:val="00162651"/>
    <w:rsid w:val="001626BD"/>
    <w:rsid w:val="001635AE"/>
    <w:rsid w:val="001635DB"/>
    <w:rsid w:val="0016379F"/>
    <w:rsid w:val="00163812"/>
    <w:rsid w:val="00163865"/>
    <w:rsid w:val="0016482C"/>
    <w:rsid w:val="0016483A"/>
    <w:rsid w:val="00164A38"/>
    <w:rsid w:val="00164ABB"/>
    <w:rsid w:val="00164E23"/>
    <w:rsid w:val="001650F8"/>
    <w:rsid w:val="00165222"/>
    <w:rsid w:val="0016595F"/>
    <w:rsid w:val="00165A06"/>
    <w:rsid w:val="00166372"/>
    <w:rsid w:val="00166A2C"/>
    <w:rsid w:val="00167E9C"/>
    <w:rsid w:val="00170E88"/>
    <w:rsid w:val="00172D74"/>
    <w:rsid w:val="0017320F"/>
    <w:rsid w:val="0017350C"/>
    <w:rsid w:val="001746C2"/>
    <w:rsid w:val="0017584B"/>
    <w:rsid w:val="00175E0B"/>
    <w:rsid w:val="00175E43"/>
    <w:rsid w:val="00176286"/>
    <w:rsid w:val="00176BC7"/>
    <w:rsid w:val="00176EED"/>
    <w:rsid w:val="00176F9F"/>
    <w:rsid w:val="00177167"/>
    <w:rsid w:val="00180F96"/>
    <w:rsid w:val="0018205E"/>
    <w:rsid w:val="00182A09"/>
    <w:rsid w:val="001834DC"/>
    <w:rsid w:val="00183959"/>
    <w:rsid w:val="00183C79"/>
    <w:rsid w:val="00183C8B"/>
    <w:rsid w:val="00183E75"/>
    <w:rsid w:val="00184465"/>
    <w:rsid w:val="001845CF"/>
    <w:rsid w:val="00184BF0"/>
    <w:rsid w:val="001857BB"/>
    <w:rsid w:val="001865BB"/>
    <w:rsid w:val="001868B4"/>
    <w:rsid w:val="00187339"/>
    <w:rsid w:val="00187438"/>
    <w:rsid w:val="00187518"/>
    <w:rsid w:val="00187941"/>
    <w:rsid w:val="00187A32"/>
    <w:rsid w:val="00190FB6"/>
    <w:rsid w:val="001912E3"/>
    <w:rsid w:val="001913D0"/>
    <w:rsid w:val="00191C85"/>
    <w:rsid w:val="001933A1"/>
    <w:rsid w:val="00193911"/>
    <w:rsid w:val="00194444"/>
    <w:rsid w:val="00194852"/>
    <w:rsid w:val="00194FD4"/>
    <w:rsid w:val="001952F2"/>
    <w:rsid w:val="0019560F"/>
    <w:rsid w:val="00195AC6"/>
    <w:rsid w:val="00195D58"/>
    <w:rsid w:val="00195DED"/>
    <w:rsid w:val="00196B4E"/>
    <w:rsid w:val="00197BE9"/>
    <w:rsid w:val="00197F24"/>
    <w:rsid w:val="001A01E7"/>
    <w:rsid w:val="001A027A"/>
    <w:rsid w:val="001A0C05"/>
    <w:rsid w:val="001A0D2C"/>
    <w:rsid w:val="001A3425"/>
    <w:rsid w:val="001A35A9"/>
    <w:rsid w:val="001A398D"/>
    <w:rsid w:val="001A3F62"/>
    <w:rsid w:val="001A41EA"/>
    <w:rsid w:val="001A422B"/>
    <w:rsid w:val="001A440A"/>
    <w:rsid w:val="001A4441"/>
    <w:rsid w:val="001A4797"/>
    <w:rsid w:val="001A4A55"/>
    <w:rsid w:val="001A4F44"/>
    <w:rsid w:val="001A54DC"/>
    <w:rsid w:val="001A6A4F"/>
    <w:rsid w:val="001A76B7"/>
    <w:rsid w:val="001B0C8A"/>
    <w:rsid w:val="001B1339"/>
    <w:rsid w:val="001B197E"/>
    <w:rsid w:val="001B1FC5"/>
    <w:rsid w:val="001B2B6A"/>
    <w:rsid w:val="001B32B8"/>
    <w:rsid w:val="001B3CF4"/>
    <w:rsid w:val="001B41B1"/>
    <w:rsid w:val="001B4435"/>
    <w:rsid w:val="001B4A03"/>
    <w:rsid w:val="001B4AD1"/>
    <w:rsid w:val="001B5B57"/>
    <w:rsid w:val="001B6B20"/>
    <w:rsid w:val="001B783E"/>
    <w:rsid w:val="001B7BEC"/>
    <w:rsid w:val="001C04B2"/>
    <w:rsid w:val="001C0D59"/>
    <w:rsid w:val="001C0DED"/>
    <w:rsid w:val="001C11EB"/>
    <w:rsid w:val="001C17E0"/>
    <w:rsid w:val="001C17FA"/>
    <w:rsid w:val="001C1ACC"/>
    <w:rsid w:val="001C1FDE"/>
    <w:rsid w:val="001C2140"/>
    <w:rsid w:val="001C2369"/>
    <w:rsid w:val="001C2493"/>
    <w:rsid w:val="001C2A9D"/>
    <w:rsid w:val="001C2C77"/>
    <w:rsid w:val="001C3021"/>
    <w:rsid w:val="001C3737"/>
    <w:rsid w:val="001C3CC2"/>
    <w:rsid w:val="001C3ECC"/>
    <w:rsid w:val="001C3F78"/>
    <w:rsid w:val="001C44BE"/>
    <w:rsid w:val="001C4592"/>
    <w:rsid w:val="001C4BD7"/>
    <w:rsid w:val="001C5839"/>
    <w:rsid w:val="001C61B1"/>
    <w:rsid w:val="001C6AF5"/>
    <w:rsid w:val="001C725D"/>
    <w:rsid w:val="001C77E1"/>
    <w:rsid w:val="001C7ADA"/>
    <w:rsid w:val="001D06AA"/>
    <w:rsid w:val="001D12B2"/>
    <w:rsid w:val="001D1872"/>
    <w:rsid w:val="001D1C05"/>
    <w:rsid w:val="001D1C72"/>
    <w:rsid w:val="001D24A1"/>
    <w:rsid w:val="001D28A3"/>
    <w:rsid w:val="001D2C4D"/>
    <w:rsid w:val="001D2F0C"/>
    <w:rsid w:val="001D3543"/>
    <w:rsid w:val="001D46EF"/>
    <w:rsid w:val="001D4AF5"/>
    <w:rsid w:val="001D58E5"/>
    <w:rsid w:val="001D5FAE"/>
    <w:rsid w:val="001D6191"/>
    <w:rsid w:val="001D650B"/>
    <w:rsid w:val="001D65A3"/>
    <w:rsid w:val="001D6CA4"/>
    <w:rsid w:val="001D76AD"/>
    <w:rsid w:val="001D7A5C"/>
    <w:rsid w:val="001E086E"/>
    <w:rsid w:val="001E08AE"/>
    <w:rsid w:val="001E226F"/>
    <w:rsid w:val="001E24A9"/>
    <w:rsid w:val="001E2502"/>
    <w:rsid w:val="001E292F"/>
    <w:rsid w:val="001E3202"/>
    <w:rsid w:val="001E3EF7"/>
    <w:rsid w:val="001E474D"/>
    <w:rsid w:val="001E47E9"/>
    <w:rsid w:val="001E4F0E"/>
    <w:rsid w:val="001E5210"/>
    <w:rsid w:val="001E53B7"/>
    <w:rsid w:val="001E5580"/>
    <w:rsid w:val="001E582A"/>
    <w:rsid w:val="001E5A81"/>
    <w:rsid w:val="001E5AFC"/>
    <w:rsid w:val="001E72B2"/>
    <w:rsid w:val="001E72E6"/>
    <w:rsid w:val="001E7EB4"/>
    <w:rsid w:val="001F0169"/>
    <w:rsid w:val="001F01B8"/>
    <w:rsid w:val="001F0349"/>
    <w:rsid w:val="001F0458"/>
    <w:rsid w:val="001F09FD"/>
    <w:rsid w:val="001F0B74"/>
    <w:rsid w:val="001F15EE"/>
    <w:rsid w:val="001F1A0D"/>
    <w:rsid w:val="001F1E59"/>
    <w:rsid w:val="001F2B19"/>
    <w:rsid w:val="001F3699"/>
    <w:rsid w:val="001F40A5"/>
    <w:rsid w:val="001F41F6"/>
    <w:rsid w:val="001F4EB8"/>
    <w:rsid w:val="001F59B4"/>
    <w:rsid w:val="001F59DC"/>
    <w:rsid w:val="001F6E89"/>
    <w:rsid w:val="001F6F6A"/>
    <w:rsid w:val="001F7595"/>
    <w:rsid w:val="00200B34"/>
    <w:rsid w:val="00200B4C"/>
    <w:rsid w:val="002019F2"/>
    <w:rsid w:val="00201C2A"/>
    <w:rsid w:val="00201CDA"/>
    <w:rsid w:val="002021A8"/>
    <w:rsid w:val="00202326"/>
    <w:rsid w:val="002027C7"/>
    <w:rsid w:val="00202E03"/>
    <w:rsid w:val="00203267"/>
    <w:rsid w:val="0020391D"/>
    <w:rsid w:val="00204482"/>
    <w:rsid w:val="002044BC"/>
    <w:rsid w:val="00204EFE"/>
    <w:rsid w:val="00204FAB"/>
    <w:rsid w:val="00205010"/>
    <w:rsid w:val="00205F9C"/>
    <w:rsid w:val="00206F27"/>
    <w:rsid w:val="00207369"/>
    <w:rsid w:val="00207BDB"/>
    <w:rsid w:val="00207C8F"/>
    <w:rsid w:val="00210771"/>
    <w:rsid w:val="00211885"/>
    <w:rsid w:val="00211AB7"/>
    <w:rsid w:val="00211C59"/>
    <w:rsid w:val="0021428F"/>
    <w:rsid w:val="00214715"/>
    <w:rsid w:val="00214CBB"/>
    <w:rsid w:val="002154D6"/>
    <w:rsid w:val="00215699"/>
    <w:rsid w:val="002159DE"/>
    <w:rsid w:val="00215CE6"/>
    <w:rsid w:val="00215E99"/>
    <w:rsid w:val="0021637C"/>
    <w:rsid w:val="002166A6"/>
    <w:rsid w:val="00216A61"/>
    <w:rsid w:val="00216BB6"/>
    <w:rsid w:val="00216C30"/>
    <w:rsid w:val="00217B45"/>
    <w:rsid w:val="0022048B"/>
    <w:rsid w:val="00220692"/>
    <w:rsid w:val="00222078"/>
    <w:rsid w:val="00222103"/>
    <w:rsid w:val="00222261"/>
    <w:rsid w:val="002223F5"/>
    <w:rsid w:val="00222616"/>
    <w:rsid w:val="00222D3C"/>
    <w:rsid w:val="002237D3"/>
    <w:rsid w:val="00223960"/>
    <w:rsid w:val="00223B07"/>
    <w:rsid w:val="0022436A"/>
    <w:rsid w:val="00224E52"/>
    <w:rsid w:val="00225736"/>
    <w:rsid w:val="00225884"/>
    <w:rsid w:val="0022590D"/>
    <w:rsid w:val="00225E64"/>
    <w:rsid w:val="002267CE"/>
    <w:rsid w:val="002272AB"/>
    <w:rsid w:val="00227D49"/>
    <w:rsid w:val="00227FC7"/>
    <w:rsid w:val="00230C43"/>
    <w:rsid w:val="0023140E"/>
    <w:rsid w:val="002314FD"/>
    <w:rsid w:val="00231740"/>
    <w:rsid w:val="002319E6"/>
    <w:rsid w:val="002325A8"/>
    <w:rsid w:val="00232EED"/>
    <w:rsid w:val="002341F6"/>
    <w:rsid w:val="0023440D"/>
    <w:rsid w:val="002347B1"/>
    <w:rsid w:val="00234DDE"/>
    <w:rsid w:val="0023552A"/>
    <w:rsid w:val="00235A21"/>
    <w:rsid w:val="00235D25"/>
    <w:rsid w:val="00235E13"/>
    <w:rsid w:val="00236E72"/>
    <w:rsid w:val="00236F13"/>
    <w:rsid w:val="0023706D"/>
    <w:rsid w:val="002372F4"/>
    <w:rsid w:val="0024029A"/>
    <w:rsid w:val="002407C8"/>
    <w:rsid w:val="002417F8"/>
    <w:rsid w:val="00241FC8"/>
    <w:rsid w:val="00242328"/>
    <w:rsid w:val="0024324A"/>
    <w:rsid w:val="002440FD"/>
    <w:rsid w:val="002446A3"/>
    <w:rsid w:val="0024472B"/>
    <w:rsid w:val="002449D0"/>
    <w:rsid w:val="00244E56"/>
    <w:rsid w:val="002454BE"/>
    <w:rsid w:val="00245C4C"/>
    <w:rsid w:val="00246221"/>
    <w:rsid w:val="00246447"/>
    <w:rsid w:val="00246A8C"/>
    <w:rsid w:val="00246CCD"/>
    <w:rsid w:val="002478E5"/>
    <w:rsid w:val="0025073C"/>
    <w:rsid w:val="00250F42"/>
    <w:rsid w:val="00250FD2"/>
    <w:rsid w:val="00251A8F"/>
    <w:rsid w:val="00253EA0"/>
    <w:rsid w:val="00254B44"/>
    <w:rsid w:val="00254E99"/>
    <w:rsid w:val="0025597B"/>
    <w:rsid w:val="00255BAF"/>
    <w:rsid w:val="0025753B"/>
    <w:rsid w:val="00257AAE"/>
    <w:rsid w:val="0026010B"/>
    <w:rsid w:val="0026027A"/>
    <w:rsid w:val="00260423"/>
    <w:rsid w:val="00260533"/>
    <w:rsid w:val="00260ED8"/>
    <w:rsid w:val="002615F8"/>
    <w:rsid w:val="00261A54"/>
    <w:rsid w:val="00261D37"/>
    <w:rsid w:val="00261E00"/>
    <w:rsid w:val="00262EB0"/>
    <w:rsid w:val="00263081"/>
    <w:rsid w:val="002632C8"/>
    <w:rsid w:val="00263607"/>
    <w:rsid w:val="00263874"/>
    <w:rsid w:val="00263D34"/>
    <w:rsid w:val="00263EF1"/>
    <w:rsid w:val="0026411A"/>
    <w:rsid w:val="00264FC8"/>
    <w:rsid w:val="002654E8"/>
    <w:rsid w:val="002656E1"/>
    <w:rsid w:val="00265CFF"/>
    <w:rsid w:val="002674E3"/>
    <w:rsid w:val="00267755"/>
    <w:rsid w:val="002705FE"/>
    <w:rsid w:val="002706F0"/>
    <w:rsid w:val="002713DB"/>
    <w:rsid w:val="002715AC"/>
    <w:rsid w:val="00272219"/>
    <w:rsid w:val="0027238C"/>
    <w:rsid w:val="00272D7E"/>
    <w:rsid w:val="00273278"/>
    <w:rsid w:val="00273AFD"/>
    <w:rsid w:val="002741A0"/>
    <w:rsid w:val="002746D8"/>
    <w:rsid w:val="00275343"/>
    <w:rsid w:val="00275641"/>
    <w:rsid w:val="002762E6"/>
    <w:rsid w:val="00276AE0"/>
    <w:rsid w:val="00276D6A"/>
    <w:rsid w:val="00277E64"/>
    <w:rsid w:val="00280AB5"/>
    <w:rsid w:val="00280B32"/>
    <w:rsid w:val="002811A8"/>
    <w:rsid w:val="0028218E"/>
    <w:rsid w:val="002821E9"/>
    <w:rsid w:val="00282B10"/>
    <w:rsid w:val="00285523"/>
    <w:rsid w:val="002857C6"/>
    <w:rsid w:val="002868A6"/>
    <w:rsid w:val="002868BE"/>
    <w:rsid w:val="0028710F"/>
    <w:rsid w:val="00287282"/>
    <w:rsid w:val="002872C3"/>
    <w:rsid w:val="002900C8"/>
    <w:rsid w:val="002903E2"/>
    <w:rsid w:val="0029077C"/>
    <w:rsid w:val="002908A7"/>
    <w:rsid w:val="00290FB5"/>
    <w:rsid w:val="002913FD"/>
    <w:rsid w:val="00291D71"/>
    <w:rsid w:val="00292115"/>
    <w:rsid w:val="00292F66"/>
    <w:rsid w:val="0029315D"/>
    <w:rsid w:val="00293D6E"/>
    <w:rsid w:val="00293E79"/>
    <w:rsid w:val="0029421A"/>
    <w:rsid w:val="0029449E"/>
    <w:rsid w:val="00294C8B"/>
    <w:rsid w:val="00294E8F"/>
    <w:rsid w:val="0029504D"/>
    <w:rsid w:val="0029570C"/>
    <w:rsid w:val="002965E0"/>
    <w:rsid w:val="00296F46"/>
    <w:rsid w:val="00296F8A"/>
    <w:rsid w:val="002A05C9"/>
    <w:rsid w:val="002A12BA"/>
    <w:rsid w:val="002A180F"/>
    <w:rsid w:val="002A1873"/>
    <w:rsid w:val="002A1954"/>
    <w:rsid w:val="002A1AE1"/>
    <w:rsid w:val="002A2060"/>
    <w:rsid w:val="002A2857"/>
    <w:rsid w:val="002A2D7B"/>
    <w:rsid w:val="002A353A"/>
    <w:rsid w:val="002A367A"/>
    <w:rsid w:val="002A391D"/>
    <w:rsid w:val="002A3B40"/>
    <w:rsid w:val="002A40BC"/>
    <w:rsid w:val="002A4404"/>
    <w:rsid w:val="002A51E9"/>
    <w:rsid w:val="002A52E3"/>
    <w:rsid w:val="002A5425"/>
    <w:rsid w:val="002A547D"/>
    <w:rsid w:val="002A556E"/>
    <w:rsid w:val="002A5B44"/>
    <w:rsid w:val="002A5CA0"/>
    <w:rsid w:val="002A63AF"/>
    <w:rsid w:val="002A6953"/>
    <w:rsid w:val="002A6AD1"/>
    <w:rsid w:val="002A6FBE"/>
    <w:rsid w:val="002A7869"/>
    <w:rsid w:val="002A7BB5"/>
    <w:rsid w:val="002A7F5B"/>
    <w:rsid w:val="002B0D78"/>
    <w:rsid w:val="002B0D89"/>
    <w:rsid w:val="002B0F46"/>
    <w:rsid w:val="002B1BB2"/>
    <w:rsid w:val="002B2078"/>
    <w:rsid w:val="002B22D4"/>
    <w:rsid w:val="002B2334"/>
    <w:rsid w:val="002B291F"/>
    <w:rsid w:val="002B2E6C"/>
    <w:rsid w:val="002B3178"/>
    <w:rsid w:val="002B37A1"/>
    <w:rsid w:val="002B3A68"/>
    <w:rsid w:val="002B3C14"/>
    <w:rsid w:val="002B3C46"/>
    <w:rsid w:val="002B3FD0"/>
    <w:rsid w:val="002B43FA"/>
    <w:rsid w:val="002B4DA2"/>
    <w:rsid w:val="002B5C84"/>
    <w:rsid w:val="002B65D8"/>
    <w:rsid w:val="002B6B22"/>
    <w:rsid w:val="002B73B2"/>
    <w:rsid w:val="002B7969"/>
    <w:rsid w:val="002C06D1"/>
    <w:rsid w:val="002C0BB1"/>
    <w:rsid w:val="002C1CB2"/>
    <w:rsid w:val="002C2DB8"/>
    <w:rsid w:val="002C3066"/>
    <w:rsid w:val="002C31E5"/>
    <w:rsid w:val="002C41DC"/>
    <w:rsid w:val="002C423C"/>
    <w:rsid w:val="002C4822"/>
    <w:rsid w:val="002C4CA9"/>
    <w:rsid w:val="002C5A63"/>
    <w:rsid w:val="002C63F6"/>
    <w:rsid w:val="002C6B9F"/>
    <w:rsid w:val="002C754B"/>
    <w:rsid w:val="002C79D7"/>
    <w:rsid w:val="002D0356"/>
    <w:rsid w:val="002D06E7"/>
    <w:rsid w:val="002D07C0"/>
    <w:rsid w:val="002D0904"/>
    <w:rsid w:val="002D0905"/>
    <w:rsid w:val="002D0C19"/>
    <w:rsid w:val="002D0FC6"/>
    <w:rsid w:val="002D1101"/>
    <w:rsid w:val="002D138C"/>
    <w:rsid w:val="002D14B7"/>
    <w:rsid w:val="002D18BC"/>
    <w:rsid w:val="002D1A3D"/>
    <w:rsid w:val="002D2F9B"/>
    <w:rsid w:val="002D34D0"/>
    <w:rsid w:val="002D3B3F"/>
    <w:rsid w:val="002D3EC8"/>
    <w:rsid w:val="002D403E"/>
    <w:rsid w:val="002D4325"/>
    <w:rsid w:val="002D45BF"/>
    <w:rsid w:val="002D4776"/>
    <w:rsid w:val="002D4A85"/>
    <w:rsid w:val="002D4E7E"/>
    <w:rsid w:val="002D553B"/>
    <w:rsid w:val="002D64DF"/>
    <w:rsid w:val="002D6857"/>
    <w:rsid w:val="002D6EBB"/>
    <w:rsid w:val="002D71F8"/>
    <w:rsid w:val="002E000C"/>
    <w:rsid w:val="002E02AA"/>
    <w:rsid w:val="002E0BB3"/>
    <w:rsid w:val="002E0C9F"/>
    <w:rsid w:val="002E13E0"/>
    <w:rsid w:val="002E1950"/>
    <w:rsid w:val="002E2864"/>
    <w:rsid w:val="002E2900"/>
    <w:rsid w:val="002E2D4A"/>
    <w:rsid w:val="002E38DB"/>
    <w:rsid w:val="002E39E2"/>
    <w:rsid w:val="002E43C7"/>
    <w:rsid w:val="002E4708"/>
    <w:rsid w:val="002E4F35"/>
    <w:rsid w:val="002E5256"/>
    <w:rsid w:val="002E5271"/>
    <w:rsid w:val="002E538F"/>
    <w:rsid w:val="002E539A"/>
    <w:rsid w:val="002E55DD"/>
    <w:rsid w:val="002E5995"/>
    <w:rsid w:val="002E5E77"/>
    <w:rsid w:val="002E5F31"/>
    <w:rsid w:val="002E7B71"/>
    <w:rsid w:val="002E7EA2"/>
    <w:rsid w:val="002F059B"/>
    <w:rsid w:val="002F0DB1"/>
    <w:rsid w:val="002F0F75"/>
    <w:rsid w:val="002F0FA6"/>
    <w:rsid w:val="002F108D"/>
    <w:rsid w:val="002F117A"/>
    <w:rsid w:val="002F127D"/>
    <w:rsid w:val="002F12EB"/>
    <w:rsid w:val="002F14F5"/>
    <w:rsid w:val="002F2B7A"/>
    <w:rsid w:val="002F3105"/>
    <w:rsid w:val="002F33CD"/>
    <w:rsid w:val="002F37D0"/>
    <w:rsid w:val="002F3D59"/>
    <w:rsid w:val="002F414F"/>
    <w:rsid w:val="002F4604"/>
    <w:rsid w:val="002F4675"/>
    <w:rsid w:val="002F485F"/>
    <w:rsid w:val="002F493D"/>
    <w:rsid w:val="002F49C5"/>
    <w:rsid w:val="002F4D9F"/>
    <w:rsid w:val="002F54F6"/>
    <w:rsid w:val="002F554B"/>
    <w:rsid w:val="002F572A"/>
    <w:rsid w:val="002F5836"/>
    <w:rsid w:val="002F5892"/>
    <w:rsid w:val="002F5EB8"/>
    <w:rsid w:val="002F6071"/>
    <w:rsid w:val="002F654B"/>
    <w:rsid w:val="002F6F94"/>
    <w:rsid w:val="002F72FF"/>
    <w:rsid w:val="002F79CC"/>
    <w:rsid w:val="002F7AE0"/>
    <w:rsid w:val="002F7BE7"/>
    <w:rsid w:val="002F7C59"/>
    <w:rsid w:val="002F7F8F"/>
    <w:rsid w:val="00300149"/>
    <w:rsid w:val="00300212"/>
    <w:rsid w:val="00300264"/>
    <w:rsid w:val="003014B1"/>
    <w:rsid w:val="003019D9"/>
    <w:rsid w:val="0030242B"/>
    <w:rsid w:val="00302595"/>
    <w:rsid w:val="00303041"/>
    <w:rsid w:val="003030F5"/>
    <w:rsid w:val="003033D1"/>
    <w:rsid w:val="003036F3"/>
    <w:rsid w:val="00303F4C"/>
    <w:rsid w:val="00304222"/>
    <w:rsid w:val="0030463E"/>
    <w:rsid w:val="00304AB6"/>
    <w:rsid w:val="00304ED6"/>
    <w:rsid w:val="003062A7"/>
    <w:rsid w:val="003064BF"/>
    <w:rsid w:val="00306521"/>
    <w:rsid w:val="00307223"/>
    <w:rsid w:val="00307B47"/>
    <w:rsid w:val="0031034B"/>
    <w:rsid w:val="003107C6"/>
    <w:rsid w:val="00310825"/>
    <w:rsid w:val="00311993"/>
    <w:rsid w:val="00312079"/>
    <w:rsid w:val="0031239E"/>
    <w:rsid w:val="003123BD"/>
    <w:rsid w:val="00312AB8"/>
    <w:rsid w:val="00313197"/>
    <w:rsid w:val="0031398C"/>
    <w:rsid w:val="00313CE4"/>
    <w:rsid w:val="00313D9B"/>
    <w:rsid w:val="00313E76"/>
    <w:rsid w:val="00313F79"/>
    <w:rsid w:val="00314410"/>
    <w:rsid w:val="00314547"/>
    <w:rsid w:val="00315212"/>
    <w:rsid w:val="00315A06"/>
    <w:rsid w:val="00315CD2"/>
    <w:rsid w:val="00316600"/>
    <w:rsid w:val="003166C1"/>
    <w:rsid w:val="003167AA"/>
    <w:rsid w:val="00316A8B"/>
    <w:rsid w:val="00316BF6"/>
    <w:rsid w:val="0031733B"/>
    <w:rsid w:val="00317E87"/>
    <w:rsid w:val="0032081F"/>
    <w:rsid w:val="00320912"/>
    <w:rsid w:val="00322121"/>
    <w:rsid w:val="003222C2"/>
    <w:rsid w:val="003225FB"/>
    <w:rsid w:val="00323503"/>
    <w:rsid w:val="003235CB"/>
    <w:rsid w:val="00323759"/>
    <w:rsid w:val="00323A7C"/>
    <w:rsid w:val="00323C32"/>
    <w:rsid w:val="00323FC7"/>
    <w:rsid w:val="00324071"/>
    <w:rsid w:val="00324A1D"/>
    <w:rsid w:val="00325742"/>
    <w:rsid w:val="00325B63"/>
    <w:rsid w:val="00326196"/>
    <w:rsid w:val="00326240"/>
    <w:rsid w:val="003278A1"/>
    <w:rsid w:val="00327909"/>
    <w:rsid w:val="00327AB3"/>
    <w:rsid w:val="00330D77"/>
    <w:rsid w:val="00331120"/>
    <w:rsid w:val="00331E0F"/>
    <w:rsid w:val="00331E9D"/>
    <w:rsid w:val="003327DF"/>
    <w:rsid w:val="00332FCC"/>
    <w:rsid w:val="0033371C"/>
    <w:rsid w:val="00333875"/>
    <w:rsid w:val="0033592F"/>
    <w:rsid w:val="003369FF"/>
    <w:rsid w:val="00336AEA"/>
    <w:rsid w:val="00336B35"/>
    <w:rsid w:val="003373AC"/>
    <w:rsid w:val="0033758C"/>
    <w:rsid w:val="0033764B"/>
    <w:rsid w:val="00337A00"/>
    <w:rsid w:val="00340778"/>
    <w:rsid w:val="00340B2C"/>
    <w:rsid w:val="00340B44"/>
    <w:rsid w:val="0034134C"/>
    <w:rsid w:val="003414CC"/>
    <w:rsid w:val="0034170C"/>
    <w:rsid w:val="00341A2A"/>
    <w:rsid w:val="00341CED"/>
    <w:rsid w:val="00342759"/>
    <w:rsid w:val="00342DC1"/>
    <w:rsid w:val="00343BDF"/>
    <w:rsid w:val="00343F41"/>
    <w:rsid w:val="0034459F"/>
    <w:rsid w:val="00344FD2"/>
    <w:rsid w:val="00345300"/>
    <w:rsid w:val="00345424"/>
    <w:rsid w:val="003459F3"/>
    <w:rsid w:val="00345EA7"/>
    <w:rsid w:val="0034625F"/>
    <w:rsid w:val="0034652C"/>
    <w:rsid w:val="0034765D"/>
    <w:rsid w:val="003478BD"/>
    <w:rsid w:val="00347D0E"/>
    <w:rsid w:val="00347F10"/>
    <w:rsid w:val="0035067B"/>
    <w:rsid w:val="00350D8B"/>
    <w:rsid w:val="00350E0D"/>
    <w:rsid w:val="00351B01"/>
    <w:rsid w:val="00351FB4"/>
    <w:rsid w:val="003528EA"/>
    <w:rsid w:val="00352B65"/>
    <w:rsid w:val="00352C63"/>
    <w:rsid w:val="003530E5"/>
    <w:rsid w:val="00353878"/>
    <w:rsid w:val="00353A00"/>
    <w:rsid w:val="00353ECD"/>
    <w:rsid w:val="0035470F"/>
    <w:rsid w:val="00354A1F"/>
    <w:rsid w:val="00355567"/>
    <w:rsid w:val="00355B11"/>
    <w:rsid w:val="00355B28"/>
    <w:rsid w:val="00356117"/>
    <w:rsid w:val="00357DFD"/>
    <w:rsid w:val="00357E85"/>
    <w:rsid w:val="00360494"/>
    <w:rsid w:val="00360A6C"/>
    <w:rsid w:val="003626C0"/>
    <w:rsid w:val="00362C5E"/>
    <w:rsid w:val="00362E6F"/>
    <w:rsid w:val="00362FA9"/>
    <w:rsid w:val="00363417"/>
    <w:rsid w:val="003635F2"/>
    <w:rsid w:val="003639E5"/>
    <w:rsid w:val="00363D7A"/>
    <w:rsid w:val="00363F6E"/>
    <w:rsid w:val="0036404A"/>
    <w:rsid w:val="003640A7"/>
    <w:rsid w:val="00364EA5"/>
    <w:rsid w:val="0036508D"/>
    <w:rsid w:val="003650E8"/>
    <w:rsid w:val="003651C8"/>
    <w:rsid w:val="003652EA"/>
    <w:rsid w:val="00365A25"/>
    <w:rsid w:val="00365B48"/>
    <w:rsid w:val="00366BD8"/>
    <w:rsid w:val="00366CAC"/>
    <w:rsid w:val="00367440"/>
    <w:rsid w:val="00367894"/>
    <w:rsid w:val="003679BA"/>
    <w:rsid w:val="00367C39"/>
    <w:rsid w:val="003700A3"/>
    <w:rsid w:val="00370217"/>
    <w:rsid w:val="00370290"/>
    <w:rsid w:val="00370B40"/>
    <w:rsid w:val="0037240A"/>
    <w:rsid w:val="003730D6"/>
    <w:rsid w:val="00373411"/>
    <w:rsid w:val="00373D40"/>
    <w:rsid w:val="00373F7A"/>
    <w:rsid w:val="00374251"/>
    <w:rsid w:val="003744B3"/>
    <w:rsid w:val="003745F4"/>
    <w:rsid w:val="00376E2B"/>
    <w:rsid w:val="0037769E"/>
    <w:rsid w:val="00377BE4"/>
    <w:rsid w:val="00380094"/>
    <w:rsid w:val="003800F0"/>
    <w:rsid w:val="00382306"/>
    <w:rsid w:val="00382586"/>
    <w:rsid w:val="0038292B"/>
    <w:rsid w:val="00382B86"/>
    <w:rsid w:val="00383071"/>
    <w:rsid w:val="003832EF"/>
    <w:rsid w:val="003837F4"/>
    <w:rsid w:val="003845A4"/>
    <w:rsid w:val="003846D9"/>
    <w:rsid w:val="00384F9D"/>
    <w:rsid w:val="0038564A"/>
    <w:rsid w:val="0038576C"/>
    <w:rsid w:val="00385800"/>
    <w:rsid w:val="00385B99"/>
    <w:rsid w:val="00385F39"/>
    <w:rsid w:val="0038743E"/>
    <w:rsid w:val="003879DF"/>
    <w:rsid w:val="00387DFA"/>
    <w:rsid w:val="0039083F"/>
    <w:rsid w:val="00390D65"/>
    <w:rsid w:val="00391374"/>
    <w:rsid w:val="00391FAB"/>
    <w:rsid w:val="00392050"/>
    <w:rsid w:val="00392539"/>
    <w:rsid w:val="00392677"/>
    <w:rsid w:val="0039365B"/>
    <w:rsid w:val="003936EA"/>
    <w:rsid w:val="00393987"/>
    <w:rsid w:val="00393F57"/>
    <w:rsid w:val="003940F7"/>
    <w:rsid w:val="00394981"/>
    <w:rsid w:val="003953A8"/>
    <w:rsid w:val="00395E7E"/>
    <w:rsid w:val="003965D8"/>
    <w:rsid w:val="00396766"/>
    <w:rsid w:val="003968D5"/>
    <w:rsid w:val="00396D6E"/>
    <w:rsid w:val="00396FF0"/>
    <w:rsid w:val="0039788E"/>
    <w:rsid w:val="00397F3C"/>
    <w:rsid w:val="003A0257"/>
    <w:rsid w:val="003A0529"/>
    <w:rsid w:val="003A0614"/>
    <w:rsid w:val="003A0962"/>
    <w:rsid w:val="003A2385"/>
    <w:rsid w:val="003A3551"/>
    <w:rsid w:val="003A37E9"/>
    <w:rsid w:val="003A38F0"/>
    <w:rsid w:val="003A42F3"/>
    <w:rsid w:val="003A443D"/>
    <w:rsid w:val="003A447D"/>
    <w:rsid w:val="003A486A"/>
    <w:rsid w:val="003A4932"/>
    <w:rsid w:val="003A556D"/>
    <w:rsid w:val="003A5723"/>
    <w:rsid w:val="003A6495"/>
    <w:rsid w:val="003A6627"/>
    <w:rsid w:val="003A6A5A"/>
    <w:rsid w:val="003A7025"/>
    <w:rsid w:val="003A72E9"/>
    <w:rsid w:val="003B0173"/>
    <w:rsid w:val="003B0398"/>
    <w:rsid w:val="003B0DA5"/>
    <w:rsid w:val="003B0E74"/>
    <w:rsid w:val="003B30C6"/>
    <w:rsid w:val="003B4A4A"/>
    <w:rsid w:val="003B53A5"/>
    <w:rsid w:val="003B59EE"/>
    <w:rsid w:val="003B5B72"/>
    <w:rsid w:val="003B5C06"/>
    <w:rsid w:val="003B5E4C"/>
    <w:rsid w:val="003B6D71"/>
    <w:rsid w:val="003B6EF2"/>
    <w:rsid w:val="003B7E7A"/>
    <w:rsid w:val="003C0463"/>
    <w:rsid w:val="003C05F5"/>
    <w:rsid w:val="003C0905"/>
    <w:rsid w:val="003C0F5F"/>
    <w:rsid w:val="003C1CBE"/>
    <w:rsid w:val="003C1EAF"/>
    <w:rsid w:val="003C3460"/>
    <w:rsid w:val="003C346B"/>
    <w:rsid w:val="003C40EE"/>
    <w:rsid w:val="003C4206"/>
    <w:rsid w:val="003C42F7"/>
    <w:rsid w:val="003C479F"/>
    <w:rsid w:val="003C4884"/>
    <w:rsid w:val="003C4F80"/>
    <w:rsid w:val="003C5092"/>
    <w:rsid w:val="003C57B3"/>
    <w:rsid w:val="003C5A73"/>
    <w:rsid w:val="003C5DEF"/>
    <w:rsid w:val="003C641E"/>
    <w:rsid w:val="003C6C81"/>
    <w:rsid w:val="003C6F33"/>
    <w:rsid w:val="003C718E"/>
    <w:rsid w:val="003D047F"/>
    <w:rsid w:val="003D0748"/>
    <w:rsid w:val="003D0FBC"/>
    <w:rsid w:val="003D2333"/>
    <w:rsid w:val="003D2FBA"/>
    <w:rsid w:val="003D3161"/>
    <w:rsid w:val="003D3227"/>
    <w:rsid w:val="003D36B8"/>
    <w:rsid w:val="003D3A55"/>
    <w:rsid w:val="003D408F"/>
    <w:rsid w:val="003D4347"/>
    <w:rsid w:val="003D5393"/>
    <w:rsid w:val="003D5413"/>
    <w:rsid w:val="003D54E0"/>
    <w:rsid w:val="003D5996"/>
    <w:rsid w:val="003D5D5D"/>
    <w:rsid w:val="003D6407"/>
    <w:rsid w:val="003D647A"/>
    <w:rsid w:val="003D6A90"/>
    <w:rsid w:val="003D6B1D"/>
    <w:rsid w:val="003D6E30"/>
    <w:rsid w:val="003D70B5"/>
    <w:rsid w:val="003D753B"/>
    <w:rsid w:val="003D7B41"/>
    <w:rsid w:val="003D7B45"/>
    <w:rsid w:val="003E03E3"/>
    <w:rsid w:val="003E05FE"/>
    <w:rsid w:val="003E0CD7"/>
    <w:rsid w:val="003E14F0"/>
    <w:rsid w:val="003E32D8"/>
    <w:rsid w:val="003E3A04"/>
    <w:rsid w:val="003E3B65"/>
    <w:rsid w:val="003E3C78"/>
    <w:rsid w:val="003E3E19"/>
    <w:rsid w:val="003E427F"/>
    <w:rsid w:val="003E47DE"/>
    <w:rsid w:val="003E4CFE"/>
    <w:rsid w:val="003E4F42"/>
    <w:rsid w:val="003E5075"/>
    <w:rsid w:val="003E5233"/>
    <w:rsid w:val="003E5F95"/>
    <w:rsid w:val="003E61FD"/>
    <w:rsid w:val="003E6F0B"/>
    <w:rsid w:val="003E7790"/>
    <w:rsid w:val="003F0031"/>
    <w:rsid w:val="003F00D4"/>
    <w:rsid w:val="003F00DF"/>
    <w:rsid w:val="003F018C"/>
    <w:rsid w:val="003F058E"/>
    <w:rsid w:val="003F09CB"/>
    <w:rsid w:val="003F10D3"/>
    <w:rsid w:val="003F1150"/>
    <w:rsid w:val="003F140D"/>
    <w:rsid w:val="003F143C"/>
    <w:rsid w:val="003F1548"/>
    <w:rsid w:val="003F176D"/>
    <w:rsid w:val="003F228F"/>
    <w:rsid w:val="003F274F"/>
    <w:rsid w:val="003F2B3D"/>
    <w:rsid w:val="003F3105"/>
    <w:rsid w:val="003F319D"/>
    <w:rsid w:val="003F3303"/>
    <w:rsid w:val="003F3328"/>
    <w:rsid w:val="003F3700"/>
    <w:rsid w:val="003F3C34"/>
    <w:rsid w:val="003F3ED7"/>
    <w:rsid w:val="003F4108"/>
    <w:rsid w:val="003F4172"/>
    <w:rsid w:val="003F4222"/>
    <w:rsid w:val="003F4249"/>
    <w:rsid w:val="003F4251"/>
    <w:rsid w:val="003F461D"/>
    <w:rsid w:val="003F4940"/>
    <w:rsid w:val="003F4C90"/>
    <w:rsid w:val="003F5071"/>
    <w:rsid w:val="003F5086"/>
    <w:rsid w:val="003F550A"/>
    <w:rsid w:val="003F6ECC"/>
    <w:rsid w:val="003F7EFA"/>
    <w:rsid w:val="0040003D"/>
    <w:rsid w:val="00400C90"/>
    <w:rsid w:val="004015EE"/>
    <w:rsid w:val="004019E3"/>
    <w:rsid w:val="00402D65"/>
    <w:rsid w:val="00402E02"/>
    <w:rsid w:val="00403364"/>
    <w:rsid w:val="00403780"/>
    <w:rsid w:val="00403941"/>
    <w:rsid w:val="00403971"/>
    <w:rsid w:val="00403B73"/>
    <w:rsid w:val="0040415C"/>
    <w:rsid w:val="00404D74"/>
    <w:rsid w:val="0040518A"/>
    <w:rsid w:val="004056F3"/>
    <w:rsid w:val="0040616D"/>
    <w:rsid w:val="00406EF0"/>
    <w:rsid w:val="00407760"/>
    <w:rsid w:val="00410A27"/>
    <w:rsid w:val="00410CB2"/>
    <w:rsid w:val="00411285"/>
    <w:rsid w:val="00411BB1"/>
    <w:rsid w:val="004126A1"/>
    <w:rsid w:val="00412FD1"/>
    <w:rsid w:val="00414210"/>
    <w:rsid w:val="0041450E"/>
    <w:rsid w:val="004148E1"/>
    <w:rsid w:val="00414FE4"/>
    <w:rsid w:val="0041506A"/>
    <w:rsid w:val="00415370"/>
    <w:rsid w:val="00415762"/>
    <w:rsid w:val="00415781"/>
    <w:rsid w:val="00415800"/>
    <w:rsid w:val="00415A0B"/>
    <w:rsid w:val="00415C60"/>
    <w:rsid w:val="00415CE0"/>
    <w:rsid w:val="00415F80"/>
    <w:rsid w:val="00416BB6"/>
    <w:rsid w:val="00416F40"/>
    <w:rsid w:val="00417769"/>
    <w:rsid w:val="00417A3D"/>
    <w:rsid w:val="004202A7"/>
    <w:rsid w:val="00420819"/>
    <w:rsid w:val="004214D3"/>
    <w:rsid w:val="004215BB"/>
    <w:rsid w:val="0042173F"/>
    <w:rsid w:val="0042192C"/>
    <w:rsid w:val="00421C37"/>
    <w:rsid w:val="00421EF2"/>
    <w:rsid w:val="0042241E"/>
    <w:rsid w:val="00422668"/>
    <w:rsid w:val="00422A8C"/>
    <w:rsid w:val="00422EC3"/>
    <w:rsid w:val="004230B6"/>
    <w:rsid w:val="004235A9"/>
    <w:rsid w:val="004235EE"/>
    <w:rsid w:val="00423782"/>
    <w:rsid w:val="00423AE9"/>
    <w:rsid w:val="00424972"/>
    <w:rsid w:val="00424B17"/>
    <w:rsid w:val="00424CC9"/>
    <w:rsid w:val="004259E2"/>
    <w:rsid w:val="00426176"/>
    <w:rsid w:val="004266B1"/>
    <w:rsid w:val="00426865"/>
    <w:rsid w:val="00426892"/>
    <w:rsid w:val="00426979"/>
    <w:rsid w:val="00426CA0"/>
    <w:rsid w:val="00426DB8"/>
    <w:rsid w:val="00427460"/>
    <w:rsid w:val="0042747D"/>
    <w:rsid w:val="004277E6"/>
    <w:rsid w:val="00430622"/>
    <w:rsid w:val="004306B1"/>
    <w:rsid w:val="004311CE"/>
    <w:rsid w:val="0043166B"/>
    <w:rsid w:val="00431AC1"/>
    <w:rsid w:val="004322D7"/>
    <w:rsid w:val="00432468"/>
    <w:rsid w:val="00432989"/>
    <w:rsid w:val="004329C9"/>
    <w:rsid w:val="00432C23"/>
    <w:rsid w:val="00432CD5"/>
    <w:rsid w:val="00432D2B"/>
    <w:rsid w:val="004338F0"/>
    <w:rsid w:val="00434450"/>
    <w:rsid w:val="0043499F"/>
    <w:rsid w:val="00434AAB"/>
    <w:rsid w:val="00434F05"/>
    <w:rsid w:val="00435893"/>
    <w:rsid w:val="00435997"/>
    <w:rsid w:val="00435F06"/>
    <w:rsid w:val="004363FA"/>
    <w:rsid w:val="004364CC"/>
    <w:rsid w:val="004367C6"/>
    <w:rsid w:val="00436B89"/>
    <w:rsid w:val="004376C0"/>
    <w:rsid w:val="004405B0"/>
    <w:rsid w:val="00440CCD"/>
    <w:rsid w:val="00440D3E"/>
    <w:rsid w:val="004417BD"/>
    <w:rsid w:val="00441A35"/>
    <w:rsid w:val="00441FF9"/>
    <w:rsid w:val="00442A49"/>
    <w:rsid w:val="00442B54"/>
    <w:rsid w:val="004431D7"/>
    <w:rsid w:val="0044363A"/>
    <w:rsid w:val="004436E9"/>
    <w:rsid w:val="004437B2"/>
    <w:rsid w:val="0044382F"/>
    <w:rsid w:val="00443D71"/>
    <w:rsid w:val="00443DE8"/>
    <w:rsid w:val="0044408A"/>
    <w:rsid w:val="004442EB"/>
    <w:rsid w:val="004443A5"/>
    <w:rsid w:val="004448B1"/>
    <w:rsid w:val="00444C64"/>
    <w:rsid w:val="0044507C"/>
    <w:rsid w:val="00445A50"/>
    <w:rsid w:val="00445DF5"/>
    <w:rsid w:val="004510A4"/>
    <w:rsid w:val="0045135E"/>
    <w:rsid w:val="00451544"/>
    <w:rsid w:val="004515FF"/>
    <w:rsid w:val="004535B0"/>
    <w:rsid w:val="00453A9A"/>
    <w:rsid w:val="00453E31"/>
    <w:rsid w:val="00454597"/>
    <w:rsid w:val="004548E6"/>
    <w:rsid w:val="0045493D"/>
    <w:rsid w:val="004552F4"/>
    <w:rsid w:val="0045541F"/>
    <w:rsid w:val="0045543A"/>
    <w:rsid w:val="004556D9"/>
    <w:rsid w:val="0045606C"/>
    <w:rsid w:val="004561F9"/>
    <w:rsid w:val="0045637C"/>
    <w:rsid w:val="0045695D"/>
    <w:rsid w:val="00456B05"/>
    <w:rsid w:val="004610C6"/>
    <w:rsid w:val="00461BF2"/>
    <w:rsid w:val="004626F8"/>
    <w:rsid w:val="00462D35"/>
    <w:rsid w:val="00463416"/>
    <w:rsid w:val="00463869"/>
    <w:rsid w:val="00463CF9"/>
    <w:rsid w:val="00463EAF"/>
    <w:rsid w:val="00464A9C"/>
    <w:rsid w:val="00464E8F"/>
    <w:rsid w:val="00464F23"/>
    <w:rsid w:val="004657B3"/>
    <w:rsid w:val="00466C93"/>
    <w:rsid w:val="004678C8"/>
    <w:rsid w:val="00467BC2"/>
    <w:rsid w:val="00467C44"/>
    <w:rsid w:val="00467CFB"/>
    <w:rsid w:val="00470418"/>
    <w:rsid w:val="00471E81"/>
    <w:rsid w:val="004724AF"/>
    <w:rsid w:val="004727C4"/>
    <w:rsid w:val="004727E8"/>
    <w:rsid w:val="0047302D"/>
    <w:rsid w:val="0047322A"/>
    <w:rsid w:val="00473379"/>
    <w:rsid w:val="0047352D"/>
    <w:rsid w:val="004743CB"/>
    <w:rsid w:val="00474B50"/>
    <w:rsid w:val="0047652F"/>
    <w:rsid w:val="00476FE9"/>
    <w:rsid w:val="00477194"/>
    <w:rsid w:val="00477FAF"/>
    <w:rsid w:val="0048027B"/>
    <w:rsid w:val="00481213"/>
    <w:rsid w:val="00481272"/>
    <w:rsid w:val="004817B5"/>
    <w:rsid w:val="00481E94"/>
    <w:rsid w:val="00482199"/>
    <w:rsid w:val="0048231B"/>
    <w:rsid w:val="00482478"/>
    <w:rsid w:val="00482CCF"/>
    <w:rsid w:val="00483131"/>
    <w:rsid w:val="00483170"/>
    <w:rsid w:val="0048383D"/>
    <w:rsid w:val="00484315"/>
    <w:rsid w:val="004844AC"/>
    <w:rsid w:val="004851E8"/>
    <w:rsid w:val="00485580"/>
    <w:rsid w:val="00485811"/>
    <w:rsid w:val="00485E3C"/>
    <w:rsid w:val="00486A68"/>
    <w:rsid w:val="00486B09"/>
    <w:rsid w:val="00486EFC"/>
    <w:rsid w:val="00487CFA"/>
    <w:rsid w:val="004901CA"/>
    <w:rsid w:val="00490A10"/>
    <w:rsid w:val="00490A62"/>
    <w:rsid w:val="00490E9E"/>
    <w:rsid w:val="00491F9F"/>
    <w:rsid w:val="004920D9"/>
    <w:rsid w:val="0049242A"/>
    <w:rsid w:val="00492735"/>
    <w:rsid w:val="00492A93"/>
    <w:rsid w:val="00492B25"/>
    <w:rsid w:val="00492EC7"/>
    <w:rsid w:val="00493C96"/>
    <w:rsid w:val="00494932"/>
    <w:rsid w:val="00494FC9"/>
    <w:rsid w:val="00494FF0"/>
    <w:rsid w:val="004950F8"/>
    <w:rsid w:val="00495211"/>
    <w:rsid w:val="004956F2"/>
    <w:rsid w:val="00495B23"/>
    <w:rsid w:val="00495E19"/>
    <w:rsid w:val="00496AD4"/>
    <w:rsid w:val="004A0324"/>
    <w:rsid w:val="004A034D"/>
    <w:rsid w:val="004A0C25"/>
    <w:rsid w:val="004A0E76"/>
    <w:rsid w:val="004A1222"/>
    <w:rsid w:val="004A1EA2"/>
    <w:rsid w:val="004A201B"/>
    <w:rsid w:val="004A2604"/>
    <w:rsid w:val="004A27B0"/>
    <w:rsid w:val="004A2B6F"/>
    <w:rsid w:val="004A3807"/>
    <w:rsid w:val="004A3A38"/>
    <w:rsid w:val="004A3BB0"/>
    <w:rsid w:val="004A3BB4"/>
    <w:rsid w:val="004A4377"/>
    <w:rsid w:val="004A4D2B"/>
    <w:rsid w:val="004A525D"/>
    <w:rsid w:val="004A52C4"/>
    <w:rsid w:val="004A57EB"/>
    <w:rsid w:val="004A5824"/>
    <w:rsid w:val="004A5F11"/>
    <w:rsid w:val="004A6211"/>
    <w:rsid w:val="004A76FC"/>
    <w:rsid w:val="004B0095"/>
    <w:rsid w:val="004B181D"/>
    <w:rsid w:val="004B1CAB"/>
    <w:rsid w:val="004B204F"/>
    <w:rsid w:val="004B36ED"/>
    <w:rsid w:val="004B398F"/>
    <w:rsid w:val="004B3D44"/>
    <w:rsid w:val="004B41B5"/>
    <w:rsid w:val="004B47A1"/>
    <w:rsid w:val="004B5171"/>
    <w:rsid w:val="004B57A6"/>
    <w:rsid w:val="004B5DB7"/>
    <w:rsid w:val="004B612E"/>
    <w:rsid w:val="004B623B"/>
    <w:rsid w:val="004B63F2"/>
    <w:rsid w:val="004C1315"/>
    <w:rsid w:val="004C1931"/>
    <w:rsid w:val="004C1BAB"/>
    <w:rsid w:val="004C1E13"/>
    <w:rsid w:val="004C1EA7"/>
    <w:rsid w:val="004C21B7"/>
    <w:rsid w:val="004C2A81"/>
    <w:rsid w:val="004C3E02"/>
    <w:rsid w:val="004C3EE4"/>
    <w:rsid w:val="004C4010"/>
    <w:rsid w:val="004C422D"/>
    <w:rsid w:val="004C427C"/>
    <w:rsid w:val="004C440F"/>
    <w:rsid w:val="004C4CEB"/>
    <w:rsid w:val="004C5CF1"/>
    <w:rsid w:val="004C667A"/>
    <w:rsid w:val="004C66A9"/>
    <w:rsid w:val="004C6D8E"/>
    <w:rsid w:val="004C76FA"/>
    <w:rsid w:val="004C7A27"/>
    <w:rsid w:val="004C7CAC"/>
    <w:rsid w:val="004C7CE4"/>
    <w:rsid w:val="004D000F"/>
    <w:rsid w:val="004D0538"/>
    <w:rsid w:val="004D0551"/>
    <w:rsid w:val="004D0D3E"/>
    <w:rsid w:val="004D121C"/>
    <w:rsid w:val="004D17CC"/>
    <w:rsid w:val="004D28EF"/>
    <w:rsid w:val="004D2A4E"/>
    <w:rsid w:val="004D3733"/>
    <w:rsid w:val="004D466E"/>
    <w:rsid w:val="004D49C4"/>
    <w:rsid w:val="004D4AE0"/>
    <w:rsid w:val="004D4CF1"/>
    <w:rsid w:val="004D56B6"/>
    <w:rsid w:val="004D5A88"/>
    <w:rsid w:val="004D60A0"/>
    <w:rsid w:val="004D69A2"/>
    <w:rsid w:val="004D7BF4"/>
    <w:rsid w:val="004D7C41"/>
    <w:rsid w:val="004D7C92"/>
    <w:rsid w:val="004E0471"/>
    <w:rsid w:val="004E077B"/>
    <w:rsid w:val="004E0A57"/>
    <w:rsid w:val="004E0E95"/>
    <w:rsid w:val="004E19BA"/>
    <w:rsid w:val="004E1AF8"/>
    <w:rsid w:val="004E216F"/>
    <w:rsid w:val="004E23D0"/>
    <w:rsid w:val="004E24ED"/>
    <w:rsid w:val="004E3061"/>
    <w:rsid w:val="004E35BF"/>
    <w:rsid w:val="004E38B2"/>
    <w:rsid w:val="004E3936"/>
    <w:rsid w:val="004E45B6"/>
    <w:rsid w:val="004E5760"/>
    <w:rsid w:val="004E57F7"/>
    <w:rsid w:val="004E58E4"/>
    <w:rsid w:val="004E5D9C"/>
    <w:rsid w:val="004E6B8E"/>
    <w:rsid w:val="004E6E2E"/>
    <w:rsid w:val="004F0543"/>
    <w:rsid w:val="004F0DDD"/>
    <w:rsid w:val="004F114F"/>
    <w:rsid w:val="004F1E2E"/>
    <w:rsid w:val="004F202F"/>
    <w:rsid w:val="004F25B7"/>
    <w:rsid w:val="004F48D9"/>
    <w:rsid w:val="004F4ACD"/>
    <w:rsid w:val="004F578B"/>
    <w:rsid w:val="004F63F8"/>
    <w:rsid w:val="004F713A"/>
    <w:rsid w:val="004F72AD"/>
    <w:rsid w:val="004F7408"/>
    <w:rsid w:val="004F7BA5"/>
    <w:rsid w:val="00500035"/>
    <w:rsid w:val="005007FD"/>
    <w:rsid w:val="00500BDE"/>
    <w:rsid w:val="00500E97"/>
    <w:rsid w:val="00500F7A"/>
    <w:rsid w:val="005010F3"/>
    <w:rsid w:val="005011A4"/>
    <w:rsid w:val="005012AD"/>
    <w:rsid w:val="00501F97"/>
    <w:rsid w:val="00502122"/>
    <w:rsid w:val="0050241C"/>
    <w:rsid w:val="005027BB"/>
    <w:rsid w:val="0050319C"/>
    <w:rsid w:val="005037E1"/>
    <w:rsid w:val="00503B5C"/>
    <w:rsid w:val="00503B96"/>
    <w:rsid w:val="0050456A"/>
    <w:rsid w:val="00505E1D"/>
    <w:rsid w:val="005068E1"/>
    <w:rsid w:val="00506CE0"/>
    <w:rsid w:val="00506E02"/>
    <w:rsid w:val="005070EA"/>
    <w:rsid w:val="0050760D"/>
    <w:rsid w:val="005077C5"/>
    <w:rsid w:val="00510870"/>
    <w:rsid w:val="005110BA"/>
    <w:rsid w:val="0051168A"/>
    <w:rsid w:val="00512085"/>
    <w:rsid w:val="005122F4"/>
    <w:rsid w:val="005141DA"/>
    <w:rsid w:val="00514E36"/>
    <w:rsid w:val="00515316"/>
    <w:rsid w:val="005156A6"/>
    <w:rsid w:val="0051636C"/>
    <w:rsid w:val="00516393"/>
    <w:rsid w:val="00520B4F"/>
    <w:rsid w:val="00520D42"/>
    <w:rsid w:val="00522423"/>
    <w:rsid w:val="00522DB0"/>
    <w:rsid w:val="00523306"/>
    <w:rsid w:val="00523686"/>
    <w:rsid w:val="00523B66"/>
    <w:rsid w:val="00523EF2"/>
    <w:rsid w:val="00523F51"/>
    <w:rsid w:val="00524016"/>
    <w:rsid w:val="005244A4"/>
    <w:rsid w:val="00524AD7"/>
    <w:rsid w:val="005254E1"/>
    <w:rsid w:val="00525727"/>
    <w:rsid w:val="0052591E"/>
    <w:rsid w:val="00525B43"/>
    <w:rsid w:val="00525F07"/>
    <w:rsid w:val="0052639A"/>
    <w:rsid w:val="00526477"/>
    <w:rsid w:val="00526691"/>
    <w:rsid w:val="00526E3D"/>
    <w:rsid w:val="0053027E"/>
    <w:rsid w:val="005312E8"/>
    <w:rsid w:val="005313F7"/>
    <w:rsid w:val="00531F39"/>
    <w:rsid w:val="00532607"/>
    <w:rsid w:val="00532767"/>
    <w:rsid w:val="005328BA"/>
    <w:rsid w:val="00532B70"/>
    <w:rsid w:val="00533920"/>
    <w:rsid w:val="00533DC4"/>
    <w:rsid w:val="0053480E"/>
    <w:rsid w:val="00534ED5"/>
    <w:rsid w:val="00535324"/>
    <w:rsid w:val="0053540E"/>
    <w:rsid w:val="00535521"/>
    <w:rsid w:val="00535969"/>
    <w:rsid w:val="00535F4E"/>
    <w:rsid w:val="005366F8"/>
    <w:rsid w:val="0053678B"/>
    <w:rsid w:val="00536DEF"/>
    <w:rsid w:val="005371C4"/>
    <w:rsid w:val="0053749F"/>
    <w:rsid w:val="005404B0"/>
    <w:rsid w:val="0054125E"/>
    <w:rsid w:val="00541317"/>
    <w:rsid w:val="005419F2"/>
    <w:rsid w:val="00541C30"/>
    <w:rsid w:val="0054209B"/>
    <w:rsid w:val="0054216F"/>
    <w:rsid w:val="005422EB"/>
    <w:rsid w:val="0054294B"/>
    <w:rsid w:val="00542969"/>
    <w:rsid w:val="00542BB8"/>
    <w:rsid w:val="00542D37"/>
    <w:rsid w:val="00542F18"/>
    <w:rsid w:val="00543397"/>
    <w:rsid w:val="00543879"/>
    <w:rsid w:val="005439A1"/>
    <w:rsid w:val="00543C00"/>
    <w:rsid w:val="00544492"/>
    <w:rsid w:val="005446F0"/>
    <w:rsid w:val="00544824"/>
    <w:rsid w:val="00544853"/>
    <w:rsid w:val="00544984"/>
    <w:rsid w:val="005450E2"/>
    <w:rsid w:val="005452E2"/>
    <w:rsid w:val="005456F8"/>
    <w:rsid w:val="0054576E"/>
    <w:rsid w:val="00545F3B"/>
    <w:rsid w:val="005467C6"/>
    <w:rsid w:val="00546D2D"/>
    <w:rsid w:val="0054750F"/>
    <w:rsid w:val="00547AC8"/>
    <w:rsid w:val="0055001C"/>
    <w:rsid w:val="005500B1"/>
    <w:rsid w:val="0055086B"/>
    <w:rsid w:val="005508E3"/>
    <w:rsid w:val="00550D43"/>
    <w:rsid w:val="00550DD7"/>
    <w:rsid w:val="005512D5"/>
    <w:rsid w:val="0055175A"/>
    <w:rsid w:val="00551DEC"/>
    <w:rsid w:val="00552096"/>
    <w:rsid w:val="0055245B"/>
    <w:rsid w:val="0055255F"/>
    <w:rsid w:val="00552717"/>
    <w:rsid w:val="005529FC"/>
    <w:rsid w:val="00553D54"/>
    <w:rsid w:val="00553F9F"/>
    <w:rsid w:val="005546BF"/>
    <w:rsid w:val="00554CB6"/>
    <w:rsid w:val="00554FC3"/>
    <w:rsid w:val="00555523"/>
    <w:rsid w:val="00555E0D"/>
    <w:rsid w:val="00556E02"/>
    <w:rsid w:val="0055764E"/>
    <w:rsid w:val="0055783F"/>
    <w:rsid w:val="00557CF4"/>
    <w:rsid w:val="00560528"/>
    <w:rsid w:val="00560A5E"/>
    <w:rsid w:val="00560D92"/>
    <w:rsid w:val="00561740"/>
    <w:rsid w:val="00561923"/>
    <w:rsid w:val="00561D24"/>
    <w:rsid w:val="0056295E"/>
    <w:rsid w:val="0056310A"/>
    <w:rsid w:val="005636AB"/>
    <w:rsid w:val="00563C49"/>
    <w:rsid w:val="00564CB0"/>
    <w:rsid w:val="00565452"/>
    <w:rsid w:val="00565888"/>
    <w:rsid w:val="00565AC1"/>
    <w:rsid w:val="00566920"/>
    <w:rsid w:val="00567A04"/>
    <w:rsid w:val="00567F76"/>
    <w:rsid w:val="00570239"/>
    <w:rsid w:val="005704CB"/>
    <w:rsid w:val="0057093C"/>
    <w:rsid w:val="00570D7F"/>
    <w:rsid w:val="005710A9"/>
    <w:rsid w:val="0057178D"/>
    <w:rsid w:val="00571D59"/>
    <w:rsid w:val="00572E3E"/>
    <w:rsid w:val="00573335"/>
    <w:rsid w:val="00573619"/>
    <w:rsid w:val="005737F5"/>
    <w:rsid w:val="005741C2"/>
    <w:rsid w:val="00574209"/>
    <w:rsid w:val="0057420B"/>
    <w:rsid w:val="0057538F"/>
    <w:rsid w:val="0057571E"/>
    <w:rsid w:val="00575951"/>
    <w:rsid w:val="00576330"/>
    <w:rsid w:val="0057657F"/>
    <w:rsid w:val="00577E70"/>
    <w:rsid w:val="00580280"/>
    <w:rsid w:val="0058031C"/>
    <w:rsid w:val="0058135A"/>
    <w:rsid w:val="005813C3"/>
    <w:rsid w:val="005815FE"/>
    <w:rsid w:val="00582C36"/>
    <w:rsid w:val="00582D44"/>
    <w:rsid w:val="00583AB1"/>
    <w:rsid w:val="00583BF0"/>
    <w:rsid w:val="00583FDC"/>
    <w:rsid w:val="00584058"/>
    <w:rsid w:val="005847E2"/>
    <w:rsid w:val="00585571"/>
    <w:rsid w:val="005855F8"/>
    <w:rsid w:val="00585991"/>
    <w:rsid w:val="00585B91"/>
    <w:rsid w:val="005869CA"/>
    <w:rsid w:val="00586BF1"/>
    <w:rsid w:val="005872CC"/>
    <w:rsid w:val="0058745C"/>
    <w:rsid w:val="00587AE1"/>
    <w:rsid w:val="00587C78"/>
    <w:rsid w:val="00590097"/>
    <w:rsid w:val="005903E4"/>
    <w:rsid w:val="00590954"/>
    <w:rsid w:val="00591256"/>
    <w:rsid w:val="005917DF"/>
    <w:rsid w:val="00592899"/>
    <w:rsid w:val="00593386"/>
    <w:rsid w:val="0059424C"/>
    <w:rsid w:val="005943AE"/>
    <w:rsid w:val="0059442B"/>
    <w:rsid w:val="00594826"/>
    <w:rsid w:val="005950D6"/>
    <w:rsid w:val="00595486"/>
    <w:rsid w:val="005958D0"/>
    <w:rsid w:val="0059594B"/>
    <w:rsid w:val="005962B6"/>
    <w:rsid w:val="00596ED3"/>
    <w:rsid w:val="0059751C"/>
    <w:rsid w:val="0059786C"/>
    <w:rsid w:val="00597919"/>
    <w:rsid w:val="00597BF0"/>
    <w:rsid w:val="005A0000"/>
    <w:rsid w:val="005A0506"/>
    <w:rsid w:val="005A08FB"/>
    <w:rsid w:val="005A0B9F"/>
    <w:rsid w:val="005A0C48"/>
    <w:rsid w:val="005A0D08"/>
    <w:rsid w:val="005A0D31"/>
    <w:rsid w:val="005A15F2"/>
    <w:rsid w:val="005A1625"/>
    <w:rsid w:val="005A2C5F"/>
    <w:rsid w:val="005A2FCE"/>
    <w:rsid w:val="005A3ACA"/>
    <w:rsid w:val="005A3B1B"/>
    <w:rsid w:val="005A42FD"/>
    <w:rsid w:val="005A4385"/>
    <w:rsid w:val="005A45E5"/>
    <w:rsid w:val="005A4707"/>
    <w:rsid w:val="005A496B"/>
    <w:rsid w:val="005A5171"/>
    <w:rsid w:val="005A54B5"/>
    <w:rsid w:val="005A5D1A"/>
    <w:rsid w:val="005A6089"/>
    <w:rsid w:val="005A63D8"/>
    <w:rsid w:val="005A73D7"/>
    <w:rsid w:val="005A7DBE"/>
    <w:rsid w:val="005A7E63"/>
    <w:rsid w:val="005B075B"/>
    <w:rsid w:val="005B1082"/>
    <w:rsid w:val="005B1EB5"/>
    <w:rsid w:val="005B2C3A"/>
    <w:rsid w:val="005B32CE"/>
    <w:rsid w:val="005B33DC"/>
    <w:rsid w:val="005B34EE"/>
    <w:rsid w:val="005B3568"/>
    <w:rsid w:val="005B3606"/>
    <w:rsid w:val="005B3ED7"/>
    <w:rsid w:val="005B446E"/>
    <w:rsid w:val="005B49B6"/>
    <w:rsid w:val="005B4A45"/>
    <w:rsid w:val="005B4D55"/>
    <w:rsid w:val="005B54AB"/>
    <w:rsid w:val="005B5D5E"/>
    <w:rsid w:val="005B5FDA"/>
    <w:rsid w:val="005B68A7"/>
    <w:rsid w:val="005B6AD2"/>
    <w:rsid w:val="005B6E36"/>
    <w:rsid w:val="005B74C5"/>
    <w:rsid w:val="005B7733"/>
    <w:rsid w:val="005B7A22"/>
    <w:rsid w:val="005C00C1"/>
    <w:rsid w:val="005C047D"/>
    <w:rsid w:val="005C0602"/>
    <w:rsid w:val="005C0A73"/>
    <w:rsid w:val="005C2114"/>
    <w:rsid w:val="005C2362"/>
    <w:rsid w:val="005C25DD"/>
    <w:rsid w:val="005C2E28"/>
    <w:rsid w:val="005C300C"/>
    <w:rsid w:val="005C3015"/>
    <w:rsid w:val="005C3069"/>
    <w:rsid w:val="005C343C"/>
    <w:rsid w:val="005C37F5"/>
    <w:rsid w:val="005C40C7"/>
    <w:rsid w:val="005C42B0"/>
    <w:rsid w:val="005C438F"/>
    <w:rsid w:val="005C4A96"/>
    <w:rsid w:val="005C4C7F"/>
    <w:rsid w:val="005C5042"/>
    <w:rsid w:val="005C63FA"/>
    <w:rsid w:val="005C75D1"/>
    <w:rsid w:val="005C773A"/>
    <w:rsid w:val="005C7C28"/>
    <w:rsid w:val="005D0512"/>
    <w:rsid w:val="005D058E"/>
    <w:rsid w:val="005D082B"/>
    <w:rsid w:val="005D0976"/>
    <w:rsid w:val="005D097F"/>
    <w:rsid w:val="005D0E7C"/>
    <w:rsid w:val="005D1576"/>
    <w:rsid w:val="005D1762"/>
    <w:rsid w:val="005D1D9F"/>
    <w:rsid w:val="005D2217"/>
    <w:rsid w:val="005D22AE"/>
    <w:rsid w:val="005D2667"/>
    <w:rsid w:val="005D3E22"/>
    <w:rsid w:val="005D3EBB"/>
    <w:rsid w:val="005D42B4"/>
    <w:rsid w:val="005D4CF7"/>
    <w:rsid w:val="005D51D9"/>
    <w:rsid w:val="005D5347"/>
    <w:rsid w:val="005D570F"/>
    <w:rsid w:val="005D5CC5"/>
    <w:rsid w:val="005D5E85"/>
    <w:rsid w:val="005D6732"/>
    <w:rsid w:val="005D787B"/>
    <w:rsid w:val="005D7E93"/>
    <w:rsid w:val="005E0949"/>
    <w:rsid w:val="005E0C83"/>
    <w:rsid w:val="005E12BE"/>
    <w:rsid w:val="005E1467"/>
    <w:rsid w:val="005E319D"/>
    <w:rsid w:val="005E3ACB"/>
    <w:rsid w:val="005E3DF8"/>
    <w:rsid w:val="005E4660"/>
    <w:rsid w:val="005E4B27"/>
    <w:rsid w:val="005E515C"/>
    <w:rsid w:val="005E6499"/>
    <w:rsid w:val="005E6505"/>
    <w:rsid w:val="005E75E3"/>
    <w:rsid w:val="005E7BE6"/>
    <w:rsid w:val="005E7ECD"/>
    <w:rsid w:val="005F0215"/>
    <w:rsid w:val="005F0523"/>
    <w:rsid w:val="005F1267"/>
    <w:rsid w:val="005F1D43"/>
    <w:rsid w:val="005F2EA8"/>
    <w:rsid w:val="005F322F"/>
    <w:rsid w:val="005F3322"/>
    <w:rsid w:val="005F3751"/>
    <w:rsid w:val="005F3EC3"/>
    <w:rsid w:val="005F4136"/>
    <w:rsid w:val="005F446D"/>
    <w:rsid w:val="005F5117"/>
    <w:rsid w:val="005F584B"/>
    <w:rsid w:val="005F5F7B"/>
    <w:rsid w:val="005F61E1"/>
    <w:rsid w:val="005F637A"/>
    <w:rsid w:val="005F64C6"/>
    <w:rsid w:val="005F76FB"/>
    <w:rsid w:val="005F784D"/>
    <w:rsid w:val="005F7A0B"/>
    <w:rsid w:val="0060081A"/>
    <w:rsid w:val="006008F1"/>
    <w:rsid w:val="00600C01"/>
    <w:rsid w:val="006014DB"/>
    <w:rsid w:val="00601735"/>
    <w:rsid w:val="006018B5"/>
    <w:rsid w:val="00601BE4"/>
    <w:rsid w:val="006022E0"/>
    <w:rsid w:val="006025F2"/>
    <w:rsid w:val="00602AC4"/>
    <w:rsid w:val="00602B46"/>
    <w:rsid w:val="00602BD2"/>
    <w:rsid w:val="00603383"/>
    <w:rsid w:val="00603480"/>
    <w:rsid w:val="006039B8"/>
    <w:rsid w:val="00603D7A"/>
    <w:rsid w:val="00604174"/>
    <w:rsid w:val="00604B87"/>
    <w:rsid w:val="00605275"/>
    <w:rsid w:val="00605529"/>
    <w:rsid w:val="00605A3E"/>
    <w:rsid w:val="00605CAB"/>
    <w:rsid w:val="00605DAE"/>
    <w:rsid w:val="00605DB9"/>
    <w:rsid w:val="00605DE2"/>
    <w:rsid w:val="0060650E"/>
    <w:rsid w:val="006065CF"/>
    <w:rsid w:val="00606E5D"/>
    <w:rsid w:val="006076EF"/>
    <w:rsid w:val="006079C8"/>
    <w:rsid w:val="00610F39"/>
    <w:rsid w:val="00612E59"/>
    <w:rsid w:val="0061315B"/>
    <w:rsid w:val="006132CC"/>
    <w:rsid w:val="00613ADC"/>
    <w:rsid w:val="00613C12"/>
    <w:rsid w:val="00613C47"/>
    <w:rsid w:val="00614071"/>
    <w:rsid w:val="00614292"/>
    <w:rsid w:val="006148AC"/>
    <w:rsid w:val="006153E5"/>
    <w:rsid w:val="00615654"/>
    <w:rsid w:val="00615741"/>
    <w:rsid w:val="00616201"/>
    <w:rsid w:val="00616225"/>
    <w:rsid w:val="00616C1C"/>
    <w:rsid w:val="00616D5E"/>
    <w:rsid w:val="00616EEC"/>
    <w:rsid w:val="00617270"/>
    <w:rsid w:val="00617A8B"/>
    <w:rsid w:val="00617C23"/>
    <w:rsid w:val="006200B8"/>
    <w:rsid w:val="0062040C"/>
    <w:rsid w:val="00620422"/>
    <w:rsid w:val="006208F9"/>
    <w:rsid w:val="00620A9B"/>
    <w:rsid w:val="00620CE4"/>
    <w:rsid w:val="00621F46"/>
    <w:rsid w:val="0062224C"/>
    <w:rsid w:val="00622FEA"/>
    <w:rsid w:val="0062349B"/>
    <w:rsid w:val="00623B67"/>
    <w:rsid w:val="00623CDF"/>
    <w:rsid w:val="00623DB1"/>
    <w:rsid w:val="006241D2"/>
    <w:rsid w:val="006245F3"/>
    <w:rsid w:val="00624B63"/>
    <w:rsid w:val="00624E6F"/>
    <w:rsid w:val="006252E6"/>
    <w:rsid w:val="0062552F"/>
    <w:rsid w:val="00625B47"/>
    <w:rsid w:val="00625D54"/>
    <w:rsid w:val="00626A11"/>
    <w:rsid w:val="00626BE7"/>
    <w:rsid w:val="0062726B"/>
    <w:rsid w:val="0062770D"/>
    <w:rsid w:val="00627ED6"/>
    <w:rsid w:val="006304D2"/>
    <w:rsid w:val="00630C76"/>
    <w:rsid w:val="006319CA"/>
    <w:rsid w:val="00633107"/>
    <w:rsid w:val="006338BC"/>
    <w:rsid w:val="00633FDE"/>
    <w:rsid w:val="00634932"/>
    <w:rsid w:val="00634EC0"/>
    <w:rsid w:val="0063627F"/>
    <w:rsid w:val="006362FE"/>
    <w:rsid w:val="006364D6"/>
    <w:rsid w:val="006370A6"/>
    <w:rsid w:val="00637A76"/>
    <w:rsid w:val="00637CE2"/>
    <w:rsid w:val="00637EE5"/>
    <w:rsid w:val="00640F42"/>
    <w:rsid w:val="006411E4"/>
    <w:rsid w:val="0064140B"/>
    <w:rsid w:val="006419A2"/>
    <w:rsid w:val="0064266A"/>
    <w:rsid w:val="00642ADE"/>
    <w:rsid w:val="00642D72"/>
    <w:rsid w:val="006431BC"/>
    <w:rsid w:val="00643671"/>
    <w:rsid w:val="00643819"/>
    <w:rsid w:val="00643B4C"/>
    <w:rsid w:val="00643F85"/>
    <w:rsid w:val="006443CB"/>
    <w:rsid w:val="00644A19"/>
    <w:rsid w:val="00644F80"/>
    <w:rsid w:val="00645874"/>
    <w:rsid w:val="006479E0"/>
    <w:rsid w:val="00647A43"/>
    <w:rsid w:val="00647D78"/>
    <w:rsid w:val="00647F7B"/>
    <w:rsid w:val="0065074A"/>
    <w:rsid w:val="00650DD0"/>
    <w:rsid w:val="00650EE4"/>
    <w:rsid w:val="0065124B"/>
    <w:rsid w:val="00651382"/>
    <w:rsid w:val="00651E96"/>
    <w:rsid w:val="006526AA"/>
    <w:rsid w:val="00652AB2"/>
    <w:rsid w:val="00652E99"/>
    <w:rsid w:val="006533F3"/>
    <w:rsid w:val="00653579"/>
    <w:rsid w:val="00653622"/>
    <w:rsid w:val="00653FE6"/>
    <w:rsid w:val="0065446A"/>
    <w:rsid w:val="00654C11"/>
    <w:rsid w:val="00654EB9"/>
    <w:rsid w:val="006551F6"/>
    <w:rsid w:val="0065552B"/>
    <w:rsid w:val="006558F8"/>
    <w:rsid w:val="006564DF"/>
    <w:rsid w:val="006566ED"/>
    <w:rsid w:val="00656B4B"/>
    <w:rsid w:val="0065746E"/>
    <w:rsid w:val="00660024"/>
    <w:rsid w:val="00660B46"/>
    <w:rsid w:val="00660EF1"/>
    <w:rsid w:val="00660F6F"/>
    <w:rsid w:val="00661918"/>
    <w:rsid w:val="00661F08"/>
    <w:rsid w:val="00662130"/>
    <w:rsid w:val="00662A5A"/>
    <w:rsid w:val="00662B7E"/>
    <w:rsid w:val="00662F7D"/>
    <w:rsid w:val="0066318E"/>
    <w:rsid w:val="00664875"/>
    <w:rsid w:val="006653D7"/>
    <w:rsid w:val="006654F3"/>
    <w:rsid w:val="006657AE"/>
    <w:rsid w:val="00665F5E"/>
    <w:rsid w:val="00666129"/>
    <w:rsid w:val="006665BA"/>
    <w:rsid w:val="006665FE"/>
    <w:rsid w:val="00666A4F"/>
    <w:rsid w:val="00667106"/>
    <w:rsid w:val="00667111"/>
    <w:rsid w:val="0066748F"/>
    <w:rsid w:val="006703AA"/>
    <w:rsid w:val="006703D9"/>
    <w:rsid w:val="006704B8"/>
    <w:rsid w:val="006704F6"/>
    <w:rsid w:val="006708EA"/>
    <w:rsid w:val="00671091"/>
    <w:rsid w:val="00671AC7"/>
    <w:rsid w:val="00671BCF"/>
    <w:rsid w:val="00672154"/>
    <w:rsid w:val="0067426D"/>
    <w:rsid w:val="00674713"/>
    <w:rsid w:val="0067545E"/>
    <w:rsid w:val="006758D1"/>
    <w:rsid w:val="00676E43"/>
    <w:rsid w:val="00677435"/>
    <w:rsid w:val="00677682"/>
    <w:rsid w:val="00677C33"/>
    <w:rsid w:val="00680262"/>
    <w:rsid w:val="006803B4"/>
    <w:rsid w:val="00680936"/>
    <w:rsid w:val="00680D8C"/>
    <w:rsid w:val="0068165C"/>
    <w:rsid w:val="006818B4"/>
    <w:rsid w:val="00681C66"/>
    <w:rsid w:val="006820E0"/>
    <w:rsid w:val="00682221"/>
    <w:rsid w:val="006826B4"/>
    <w:rsid w:val="00682725"/>
    <w:rsid w:val="00682AED"/>
    <w:rsid w:val="00682D87"/>
    <w:rsid w:val="00683502"/>
    <w:rsid w:val="00683A1C"/>
    <w:rsid w:val="00683E86"/>
    <w:rsid w:val="0068413E"/>
    <w:rsid w:val="00684387"/>
    <w:rsid w:val="006845A2"/>
    <w:rsid w:val="006853A4"/>
    <w:rsid w:val="006862B9"/>
    <w:rsid w:val="006864E1"/>
    <w:rsid w:val="00686546"/>
    <w:rsid w:val="006876CE"/>
    <w:rsid w:val="006877FF"/>
    <w:rsid w:val="0068793A"/>
    <w:rsid w:val="00687B34"/>
    <w:rsid w:val="00690781"/>
    <w:rsid w:val="006907A1"/>
    <w:rsid w:val="00690B17"/>
    <w:rsid w:val="00690DDF"/>
    <w:rsid w:val="0069128F"/>
    <w:rsid w:val="00691404"/>
    <w:rsid w:val="00691580"/>
    <w:rsid w:val="006920A6"/>
    <w:rsid w:val="00692582"/>
    <w:rsid w:val="006926E2"/>
    <w:rsid w:val="00692FF6"/>
    <w:rsid w:val="00693652"/>
    <w:rsid w:val="006939E7"/>
    <w:rsid w:val="006939F2"/>
    <w:rsid w:val="00693D3E"/>
    <w:rsid w:val="006942F7"/>
    <w:rsid w:val="0069438B"/>
    <w:rsid w:val="00695396"/>
    <w:rsid w:val="006954A0"/>
    <w:rsid w:val="00695620"/>
    <w:rsid w:val="00695659"/>
    <w:rsid w:val="00695D76"/>
    <w:rsid w:val="00696A0F"/>
    <w:rsid w:val="006971D2"/>
    <w:rsid w:val="00697669"/>
    <w:rsid w:val="00697AE8"/>
    <w:rsid w:val="00697F01"/>
    <w:rsid w:val="006A15BA"/>
    <w:rsid w:val="006A1AAE"/>
    <w:rsid w:val="006A2150"/>
    <w:rsid w:val="006A241D"/>
    <w:rsid w:val="006A24EA"/>
    <w:rsid w:val="006A2B0C"/>
    <w:rsid w:val="006A2C61"/>
    <w:rsid w:val="006A3288"/>
    <w:rsid w:val="006A35A2"/>
    <w:rsid w:val="006A3C54"/>
    <w:rsid w:val="006A43E6"/>
    <w:rsid w:val="006A45B1"/>
    <w:rsid w:val="006A4A1E"/>
    <w:rsid w:val="006A50C7"/>
    <w:rsid w:val="006A5BD3"/>
    <w:rsid w:val="006A5CD5"/>
    <w:rsid w:val="006A5E28"/>
    <w:rsid w:val="006A5E65"/>
    <w:rsid w:val="006A6A3A"/>
    <w:rsid w:val="006A70BE"/>
    <w:rsid w:val="006A7662"/>
    <w:rsid w:val="006A7F39"/>
    <w:rsid w:val="006B0121"/>
    <w:rsid w:val="006B0128"/>
    <w:rsid w:val="006B0334"/>
    <w:rsid w:val="006B059F"/>
    <w:rsid w:val="006B134D"/>
    <w:rsid w:val="006B1A20"/>
    <w:rsid w:val="006B1C7C"/>
    <w:rsid w:val="006B1EC8"/>
    <w:rsid w:val="006B2136"/>
    <w:rsid w:val="006B3063"/>
    <w:rsid w:val="006B3086"/>
    <w:rsid w:val="006B4547"/>
    <w:rsid w:val="006B5752"/>
    <w:rsid w:val="006B63D8"/>
    <w:rsid w:val="006B6CA8"/>
    <w:rsid w:val="006B6F32"/>
    <w:rsid w:val="006B7130"/>
    <w:rsid w:val="006B7D4A"/>
    <w:rsid w:val="006B7EF5"/>
    <w:rsid w:val="006C04F5"/>
    <w:rsid w:val="006C201C"/>
    <w:rsid w:val="006C211C"/>
    <w:rsid w:val="006C397B"/>
    <w:rsid w:val="006C408A"/>
    <w:rsid w:val="006C4150"/>
    <w:rsid w:val="006C4728"/>
    <w:rsid w:val="006C507B"/>
    <w:rsid w:val="006C5186"/>
    <w:rsid w:val="006C51DA"/>
    <w:rsid w:val="006C5214"/>
    <w:rsid w:val="006C5683"/>
    <w:rsid w:val="006C5E33"/>
    <w:rsid w:val="006C5E48"/>
    <w:rsid w:val="006C6434"/>
    <w:rsid w:val="006C6552"/>
    <w:rsid w:val="006C65CC"/>
    <w:rsid w:val="006C6B08"/>
    <w:rsid w:val="006C6CD8"/>
    <w:rsid w:val="006C6CF4"/>
    <w:rsid w:val="006D013F"/>
    <w:rsid w:val="006D017F"/>
    <w:rsid w:val="006D032D"/>
    <w:rsid w:val="006D08DF"/>
    <w:rsid w:val="006D0A14"/>
    <w:rsid w:val="006D0A45"/>
    <w:rsid w:val="006D10BF"/>
    <w:rsid w:val="006D1D3F"/>
    <w:rsid w:val="006D20B4"/>
    <w:rsid w:val="006D211A"/>
    <w:rsid w:val="006D253B"/>
    <w:rsid w:val="006D2CCC"/>
    <w:rsid w:val="006D3C4F"/>
    <w:rsid w:val="006D44D0"/>
    <w:rsid w:val="006D5625"/>
    <w:rsid w:val="006D57CB"/>
    <w:rsid w:val="006D5A82"/>
    <w:rsid w:val="006D5D92"/>
    <w:rsid w:val="006D60EE"/>
    <w:rsid w:val="006D6CDD"/>
    <w:rsid w:val="006D719D"/>
    <w:rsid w:val="006D7444"/>
    <w:rsid w:val="006E044C"/>
    <w:rsid w:val="006E0A61"/>
    <w:rsid w:val="006E2251"/>
    <w:rsid w:val="006E36D4"/>
    <w:rsid w:val="006E3711"/>
    <w:rsid w:val="006E3992"/>
    <w:rsid w:val="006E3AAD"/>
    <w:rsid w:val="006E4118"/>
    <w:rsid w:val="006E4238"/>
    <w:rsid w:val="006E447A"/>
    <w:rsid w:val="006E4560"/>
    <w:rsid w:val="006E481A"/>
    <w:rsid w:val="006E5068"/>
    <w:rsid w:val="006E665F"/>
    <w:rsid w:val="006E6948"/>
    <w:rsid w:val="006E720E"/>
    <w:rsid w:val="006E7B25"/>
    <w:rsid w:val="006E7B97"/>
    <w:rsid w:val="006E7C1C"/>
    <w:rsid w:val="006E7D23"/>
    <w:rsid w:val="006E7EEF"/>
    <w:rsid w:val="006F05FD"/>
    <w:rsid w:val="006F063E"/>
    <w:rsid w:val="006F0B83"/>
    <w:rsid w:val="006F15F3"/>
    <w:rsid w:val="006F1BBB"/>
    <w:rsid w:val="006F2173"/>
    <w:rsid w:val="006F2318"/>
    <w:rsid w:val="006F2550"/>
    <w:rsid w:val="006F2CA3"/>
    <w:rsid w:val="006F3B10"/>
    <w:rsid w:val="006F3EA8"/>
    <w:rsid w:val="006F41E7"/>
    <w:rsid w:val="006F4740"/>
    <w:rsid w:val="006F49A7"/>
    <w:rsid w:val="006F568F"/>
    <w:rsid w:val="006F5862"/>
    <w:rsid w:val="006F58F8"/>
    <w:rsid w:val="006F6798"/>
    <w:rsid w:val="006F6BA3"/>
    <w:rsid w:val="006F6D4C"/>
    <w:rsid w:val="006F6E67"/>
    <w:rsid w:val="006F7157"/>
    <w:rsid w:val="006F78E0"/>
    <w:rsid w:val="006F7FE0"/>
    <w:rsid w:val="0070032D"/>
    <w:rsid w:val="00701590"/>
    <w:rsid w:val="007015A2"/>
    <w:rsid w:val="00701CF4"/>
    <w:rsid w:val="00702150"/>
    <w:rsid w:val="00702B1B"/>
    <w:rsid w:val="00702C43"/>
    <w:rsid w:val="00702CFE"/>
    <w:rsid w:val="0070395E"/>
    <w:rsid w:val="00703C76"/>
    <w:rsid w:val="00704164"/>
    <w:rsid w:val="00704473"/>
    <w:rsid w:val="00704E3D"/>
    <w:rsid w:val="00705031"/>
    <w:rsid w:val="00705134"/>
    <w:rsid w:val="0070537D"/>
    <w:rsid w:val="007053D4"/>
    <w:rsid w:val="00706277"/>
    <w:rsid w:val="00706A58"/>
    <w:rsid w:val="007110E1"/>
    <w:rsid w:val="00711CFE"/>
    <w:rsid w:val="0071262B"/>
    <w:rsid w:val="0071266C"/>
    <w:rsid w:val="007127F4"/>
    <w:rsid w:val="00712AF8"/>
    <w:rsid w:val="00712CB6"/>
    <w:rsid w:val="00713662"/>
    <w:rsid w:val="0071394E"/>
    <w:rsid w:val="007139C3"/>
    <w:rsid w:val="00714394"/>
    <w:rsid w:val="007143BC"/>
    <w:rsid w:val="007150B9"/>
    <w:rsid w:val="00715AAC"/>
    <w:rsid w:val="007163F8"/>
    <w:rsid w:val="00716B9D"/>
    <w:rsid w:val="00716D40"/>
    <w:rsid w:val="0071729C"/>
    <w:rsid w:val="00720A60"/>
    <w:rsid w:val="00720E0B"/>
    <w:rsid w:val="007210F5"/>
    <w:rsid w:val="007211C3"/>
    <w:rsid w:val="00721282"/>
    <w:rsid w:val="007212CD"/>
    <w:rsid w:val="00721946"/>
    <w:rsid w:val="00721F7E"/>
    <w:rsid w:val="0072238C"/>
    <w:rsid w:val="007225B1"/>
    <w:rsid w:val="00722E29"/>
    <w:rsid w:val="007238C5"/>
    <w:rsid w:val="00724606"/>
    <w:rsid w:val="00724E85"/>
    <w:rsid w:val="007252C7"/>
    <w:rsid w:val="007252D3"/>
    <w:rsid w:val="00725318"/>
    <w:rsid w:val="00725860"/>
    <w:rsid w:val="00725FAE"/>
    <w:rsid w:val="007266DD"/>
    <w:rsid w:val="00726815"/>
    <w:rsid w:val="00726B00"/>
    <w:rsid w:val="00726D0F"/>
    <w:rsid w:val="00726DA7"/>
    <w:rsid w:val="00727583"/>
    <w:rsid w:val="00727DDC"/>
    <w:rsid w:val="00730073"/>
    <w:rsid w:val="00730DAF"/>
    <w:rsid w:val="00730F89"/>
    <w:rsid w:val="00731296"/>
    <w:rsid w:val="00731542"/>
    <w:rsid w:val="0073161B"/>
    <w:rsid w:val="00732E20"/>
    <w:rsid w:val="00733025"/>
    <w:rsid w:val="00733094"/>
    <w:rsid w:val="007334DC"/>
    <w:rsid w:val="00733B19"/>
    <w:rsid w:val="00734887"/>
    <w:rsid w:val="00734994"/>
    <w:rsid w:val="0073642E"/>
    <w:rsid w:val="007365B6"/>
    <w:rsid w:val="00736B84"/>
    <w:rsid w:val="00736BBD"/>
    <w:rsid w:val="00737EBD"/>
    <w:rsid w:val="007401E2"/>
    <w:rsid w:val="0074077D"/>
    <w:rsid w:val="0074081A"/>
    <w:rsid w:val="00740B49"/>
    <w:rsid w:val="00740D8C"/>
    <w:rsid w:val="00740E33"/>
    <w:rsid w:val="007411E5"/>
    <w:rsid w:val="00741268"/>
    <w:rsid w:val="00742F8A"/>
    <w:rsid w:val="007431CD"/>
    <w:rsid w:val="007443C2"/>
    <w:rsid w:val="007447A4"/>
    <w:rsid w:val="00744FA3"/>
    <w:rsid w:val="007467B8"/>
    <w:rsid w:val="00746951"/>
    <w:rsid w:val="0074722C"/>
    <w:rsid w:val="0074791E"/>
    <w:rsid w:val="0075001A"/>
    <w:rsid w:val="00750376"/>
    <w:rsid w:val="0075047D"/>
    <w:rsid w:val="00750904"/>
    <w:rsid w:val="00750A08"/>
    <w:rsid w:val="00750A66"/>
    <w:rsid w:val="00750B28"/>
    <w:rsid w:val="00750D30"/>
    <w:rsid w:val="0075115D"/>
    <w:rsid w:val="007524D7"/>
    <w:rsid w:val="007525FF"/>
    <w:rsid w:val="0075283C"/>
    <w:rsid w:val="00752BB7"/>
    <w:rsid w:val="00753069"/>
    <w:rsid w:val="00753890"/>
    <w:rsid w:val="00753B7D"/>
    <w:rsid w:val="00754EEC"/>
    <w:rsid w:val="0075500C"/>
    <w:rsid w:val="0075501A"/>
    <w:rsid w:val="007555DF"/>
    <w:rsid w:val="00755818"/>
    <w:rsid w:val="00755B12"/>
    <w:rsid w:val="00755D21"/>
    <w:rsid w:val="00755E75"/>
    <w:rsid w:val="007565B5"/>
    <w:rsid w:val="00760C40"/>
    <w:rsid w:val="00761434"/>
    <w:rsid w:val="0076150F"/>
    <w:rsid w:val="00761721"/>
    <w:rsid w:val="007618EF"/>
    <w:rsid w:val="00761FD5"/>
    <w:rsid w:val="00762065"/>
    <w:rsid w:val="007624BB"/>
    <w:rsid w:val="00762725"/>
    <w:rsid w:val="00763DB6"/>
    <w:rsid w:val="00764B49"/>
    <w:rsid w:val="00764F70"/>
    <w:rsid w:val="00765CC3"/>
    <w:rsid w:val="00765DD8"/>
    <w:rsid w:val="007666DD"/>
    <w:rsid w:val="007669D3"/>
    <w:rsid w:val="00766D36"/>
    <w:rsid w:val="007673C6"/>
    <w:rsid w:val="007674A1"/>
    <w:rsid w:val="00767607"/>
    <w:rsid w:val="007677D5"/>
    <w:rsid w:val="00767E47"/>
    <w:rsid w:val="007703BF"/>
    <w:rsid w:val="007708E3"/>
    <w:rsid w:val="007709CB"/>
    <w:rsid w:val="00770A23"/>
    <w:rsid w:val="0077103A"/>
    <w:rsid w:val="0077158D"/>
    <w:rsid w:val="0077165F"/>
    <w:rsid w:val="00771972"/>
    <w:rsid w:val="00771B64"/>
    <w:rsid w:val="00772FA4"/>
    <w:rsid w:val="00773503"/>
    <w:rsid w:val="007735C4"/>
    <w:rsid w:val="00773874"/>
    <w:rsid w:val="0077477A"/>
    <w:rsid w:val="00774FDC"/>
    <w:rsid w:val="00775048"/>
    <w:rsid w:val="00775273"/>
    <w:rsid w:val="0077555B"/>
    <w:rsid w:val="00775716"/>
    <w:rsid w:val="00775861"/>
    <w:rsid w:val="00775952"/>
    <w:rsid w:val="00775B52"/>
    <w:rsid w:val="00775EED"/>
    <w:rsid w:val="007765DF"/>
    <w:rsid w:val="00776AD1"/>
    <w:rsid w:val="007770B9"/>
    <w:rsid w:val="00780661"/>
    <w:rsid w:val="00780A4F"/>
    <w:rsid w:val="00780D88"/>
    <w:rsid w:val="00780F42"/>
    <w:rsid w:val="0078126C"/>
    <w:rsid w:val="00781934"/>
    <w:rsid w:val="00781AD1"/>
    <w:rsid w:val="007833C7"/>
    <w:rsid w:val="00783B85"/>
    <w:rsid w:val="007840F3"/>
    <w:rsid w:val="00784121"/>
    <w:rsid w:val="007842A0"/>
    <w:rsid w:val="00784315"/>
    <w:rsid w:val="00784B64"/>
    <w:rsid w:val="00784D55"/>
    <w:rsid w:val="0078518E"/>
    <w:rsid w:val="00785491"/>
    <w:rsid w:val="007858C0"/>
    <w:rsid w:val="007861EB"/>
    <w:rsid w:val="007863BB"/>
    <w:rsid w:val="0078665C"/>
    <w:rsid w:val="0078679A"/>
    <w:rsid w:val="00786E65"/>
    <w:rsid w:val="0078707F"/>
    <w:rsid w:val="0078731C"/>
    <w:rsid w:val="00787678"/>
    <w:rsid w:val="00790739"/>
    <w:rsid w:val="00790DFB"/>
    <w:rsid w:val="00791B10"/>
    <w:rsid w:val="0079218E"/>
    <w:rsid w:val="00792447"/>
    <w:rsid w:val="00792659"/>
    <w:rsid w:val="00792679"/>
    <w:rsid w:val="0079270E"/>
    <w:rsid w:val="00792855"/>
    <w:rsid w:val="007937CB"/>
    <w:rsid w:val="00794A05"/>
    <w:rsid w:val="00794F1A"/>
    <w:rsid w:val="00795B64"/>
    <w:rsid w:val="0079694C"/>
    <w:rsid w:val="00796DBD"/>
    <w:rsid w:val="0079726A"/>
    <w:rsid w:val="00797EA5"/>
    <w:rsid w:val="00797FAD"/>
    <w:rsid w:val="007A04F9"/>
    <w:rsid w:val="007A0AF5"/>
    <w:rsid w:val="007A354D"/>
    <w:rsid w:val="007A38D8"/>
    <w:rsid w:val="007A4C77"/>
    <w:rsid w:val="007A4E17"/>
    <w:rsid w:val="007A520F"/>
    <w:rsid w:val="007A56E3"/>
    <w:rsid w:val="007A5922"/>
    <w:rsid w:val="007A5AF4"/>
    <w:rsid w:val="007A641B"/>
    <w:rsid w:val="007A660D"/>
    <w:rsid w:val="007A68DC"/>
    <w:rsid w:val="007A6D0D"/>
    <w:rsid w:val="007A7F6D"/>
    <w:rsid w:val="007B0FBD"/>
    <w:rsid w:val="007B172E"/>
    <w:rsid w:val="007B1BAF"/>
    <w:rsid w:val="007B1E34"/>
    <w:rsid w:val="007B2245"/>
    <w:rsid w:val="007B27D7"/>
    <w:rsid w:val="007B2896"/>
    <w:rsid w:val="007B2CDD"/>
    <w:rsid w:val="007B3154"/>
    <w:rsid w:val="007B35F7"/>
    <w:rsid w:val="007B3948"/>
    <w:rsid w:val="007B3B4C"/>
    <w:rsid w:val="007B3DE0"/>
    <w:rsid w:val="007B41D6"/>
    <w:rsid w:val="007B4F72"/>
    <w:rsid w:val="007B5445"/>
    <w:rsid w:val="007B5C63"/>
    <w:rsid w:val="007B6896"/>
    <w:rsid w:val="007B6973"/>
    <w:rsid w:val="007B6EF4"/>
    <w:rsid w:val="007B7764"/>
    <w:rsid w:val="007B79F5"/>
    <w:rsid w:val="007B7BE9"/>
    <w:rsid w:val="007C0A01"/>
    <w:rsid w:val="007C0E04"/>
    <w:rsid w:val="007C123B"/>
    <w:rsid w:val="007C13DF"/>
    <w:rsid w:val="007C21F1"/>
    <w:rsid w:val="007C2827"/>
    <w:rsid w:val="007C2B1F"/>
    <w:rsid w:val="007C30E0"/>
    <w:rsid w:val="007C3224"/>
    <w:rsid w:val="007C344C"/>
    <w:rsid w:val="007C3813"/>
    <w:rsid w:val="007C3858"/>
    <w:rsid w:val="007C3A26"/>
    <w:rsid w:val="007C41F0"/>
    <w:rsid w:val="007C4228"/>
    <w:rsid w:val="007C42C0"/>
    <w:rsid w:val="007C5029"/>
    <w:rsid w:val="007C543F"/>
    <w:rsid w:val="007C6DD2"/>
    <w:rsid w:val="007C6E85"/>
    <w:rsid w:val="007C6F36"/>
    <w:rsid w:val="007C70A7"/>
    <w:rsid w:val="007C73B0"/>
    <w:rsid w:val="007C74E5"/>
    <w:rsid w:val="007C76FB"/>
    <w:rsid w:val="007D060B"/>
    <w:rsid w:val="007D0E43"/>
    <w:rsid w:val="007D13E7"/>
    <w:rsid w:val="007D1991"/>
    <w:rsid w:val="007D1E37"/>
    <w:rsid w:val="007D2037"/>
    <w:rsid w:val="007D232F"/>
    <w:rsid w:val="007D2385"/>
    <w:rsid w:val="007D2E2D"/>
    <w:rsid w:val="007D3D9D"/>
    <w:rsid w:val="007D3DC7"/>
    <w:rsid w:val="007D4220"/>
    <w:rsid w:val="007D48B3"/>
    <w:rsid w:val="007D4985"/>
    <w:rsid w:val="007D52CA"/>
    <w:rsid w:val="007D563E"/>
    <w:rsid w:val="007D577F"/>
    <w:rsid w:val="007D5B51"/>
    <w:rsid w:val="007D5F71"/>
    <w:rsid w:val="007D5FC1"/>
    <w:rsid w:val="007D715A"/>
    <w:rsid w:val="007D740C"/>
    <w:rsid w:val="007E0153"/>
    <w:rsid w:val="007E0E9E"/>
    <w:rsid w:val="007E10A9"/>
    <w:rsid w:val="007E17B3"/>
    <w:rsid w:val="007E19DC"/>
    <w:rsid w:val="007E21FB"/>
    <w:rsid w:val="007E2347"/>
    <w:rsid w:val="007E26A8"/>
    <w:rsid w:val="007E26BB"/>
    <w:rsid w:val="007E2E3F"/>
    <w:rsid w:val="007E329D"/>
    <w:rsid w:val="007E32F4"/>
    <w:rsid w:val="007E39E7"/>
    <w:rsid w:val="007E420B"/>
    <w:rsid w:val="007E47D2"/>
    <w:rsid w:val="007E4927"/>
    <w:rsid w:val="007E4932"/>
    <w:rsid w:val="007E49D4"/>
    <w:rsid w:val="007E502C"/>
    <w:rsid w:val="007E598A"/>
    <w:rsid w:val="007E5A74"/>
    <w:rsid w:val="007E5BD7"/>
    <w:rsid w:val="007E6023"/>
    <w:rsid w:val="007E75F0"/>
    <w:rsid w:val="007E7968"/>
    <w:rsid w:val="007F013A"/>
    <w:rsid w:val="007F067A"/>
    <w:rsid w:val="007F0691"/>
    <w:rsid w:val="007F088F"/>
    <w:rsid w:val="007F0F3D"/>
    <w:rsid w:val="007F1FB0"/>
    <w:rsid w:val="007F2D90"/>
    <w:rsid w:val="007F4211"/>
    <w:rsid w:val="007F4F82"/>
    <w:rsid w:val="007F53A5"/>
    <w:rsid w:val="007F54DB"/>
    <w:rsid w:val="007F6A9A"/>
    <w:rsid w:val="007F6B93"/>
    <w:rsid w:val="007F6B9F"/>
    <w:rsid w:val="007F6E39"/>
    <w:rsid w:val="007F709F"/>
    <w:rsid w:val="007F73DA"/>
    <w:rsid w:val="007F77D5"/>
    <w:rsid w:val="007F78FA"/>
    <w:rsid w:val="0080042A"/>
    <w:rsid w:val="008008F3"/>
    <w:rsid w:val="008009C8"/>
    <w:rsid w:val="008013D6"/>
    <w:rsid w:val="008014FC"/>
    <w:rsid w:val="00801CA0"/>
    <w:rsid w:val="00801EEA"/>
    <w:rsid w:val="00802493"/>
    <w:rsid w:val="00802785"/>
    <w:rsid w:val="00802D6D"/>
    <w:rsid w:val="008039FE"/>
    <w:rsid w:val="00804653"/>
    <w:rsid w:val="00804A2E"/>
    <w:rsid w:val="00805337"/>
    <w:rsid w:val="00805D36"/>
    <w:rsid w:val="00806336"/>
    <w:rsid w:val="008066F8"/>
    <w:rsid w:val="00806A84"/>
    <w:rsid w:val="00806F66"/>
    <w:rsid w:val="008073D2"/>
    <w:rsid w:val="0080750E"/>
    <w:rsid w:val="00807C6C"/>
    <w:rsid w:val="0081034B"/>
    <w:rsid w:val="00811F8C"/>
    <w:rsid w:val="0081243E"/>
    <w:rsid w:val="00812B10"/>
    <w:rsid w:val="00812BC0"/>
    <w:rsid w:val="00812F11"/>
    <w:rsid w:val="00813278"/>
    <w:rsid w:val="00813385"/>
    <w:rsid w:val="0081340B"/>
    <w:rsid w:val="00813869"/>
    <w:rsid w:val="00813D52"/>
    <w:rsid w:val="00813DA5"/>
    <w:rsid w:val="00813E59"/>
    <w:rsid w:val="00814626"/>
    <w:rsid w:val="0081628A"/>
    <w:rsid w:val="00816304"/>
    <w:rsid w:val="00816703"/>
    <w:rsid w:val="00816BD8"/>
    <w:rsid w:val="00816C39"/>
    <w:rsid w:val="00816E37"/>
    <w:rsid w:val="00817BB4"/>
    <w:rsid w:val="00817E89"/>
    <w:rsid w:val="00817E9F"/>
    <w:rsid w:val="00821021"/>
    <w:rsid w:val="008214BB"/>
    <w:rsid w:val="00821609"/>
    <w:rsid w:val="00821B58"/>
    <w:rsid w:val="0082202C"/>
    <w:rsid w:val="0082210E"/>
    <w:rsid w:val="00822117"/>
    <w:rsid w:val="008225E3"/>
    <w:rsid w:val="00822922"/>
    <w:rsid w:val="00822D06"/>
    <w:rsid w:val="00822D4E"/>
    <w:rsid w:val="00823329"/>
    <w:rsid w:val="00823A49"/>
    <w:rsid w:val="00823B4E"/>
    <w:rsid w:val="00823CEC"/>
    <w:rsid w:val="00824594"/>
    <w:rsid w:val="0082460C"/>
    <w:rsid w:val="008249B0"/>
    <w:rsid w:val="00824A07"/>
    <w:rsid w:val="0082529F"/>
    <w:rsid w:val="00825BF1"/>
    <w:rsid w:val="0082606C"/>
    <w:rsid w:val="008268A1"/>
    <w:rsid w:val="00826AC0"/>
    <w:rsid w:val="00826CD4"/>
    <w:rsid w:val="00826D8D"/>
    <w:rsid w:val="00826F17"/>
    <w:rsid w:val="00826F4C"/>
    <w:rsid w:val="00827183"/>
    <w:rsid w:val="0082722A"/>
    <w:rsid w:val="00827797"/>
    <w:rsid w:val="00827B01"/>
    <w:rsid w:val="0083135D"/>
    <w:rsid w:val="0083226E"/>
    <w:rsid w:val="00833014"/>
    <w:rsid w:val="00833970"/>
    <w:rsid w:val="00833FBB"/>
    <w:rsid w:val="00834846"/>
    <w:rsid w:val="00834A99"/>
    <w:rsid w:val="00834BCA"/>
    <w:rsid w:val="00834F10"/>
    <w:rsid w:val="008350BD"/>
    <w:rsid w:val="00835237"/>
    <w:rsid w:val="0083544C"/>
    <w:rsid w:val="008356E1"/>
    <w:rsid w:val="00836A4D"/>
    <w:rsid w:val="00836F94"/>
    <w:rsid w:val="0083737F"/>
    <w:rsid w:val="00837699"/>
    <w:rsid w:val="008377DA"/>
    <w:rsid w:val="00837FEE"/>
    <w:rsid w:val="008409B9"/>
    <w:rsid w:val="00840AFF"/>
    <w:rsid w:val="00842A25"/>
    <w:rsid w:val="00843122"/>
    <w:rsid w:val="00843427"/>
    <w:rsid w:val="00843842"/>
    <w:rsid w:val="0084459B"/>
    <w:rsid w:val="008448DD"/>
    <w:rsid w:val="00844D06"/>
    <w:rsid w:val="00844EC9"/>
    <w:rsid w:val="00845811"/>
    <w:rsid w:val="00845A15"/>
    <w:rsid w:val="0084632F"/>
    <w:rsid w:val="0084708B"/>
    <w:rsid w:val="00847121"/>
    <w:rsid w:val="00847309"/>
    <w:rsid w:val="0084765F"/>
    <w:rsid w:val="00847C0D"/>
    <w:rsid w:val="00847C2B"/>
    <w:rsid w:val="00847DA7"/>
    <w:rsid w:val="00850C0F"/>
    <w:rsid w:val="00850EF7"/>
    <w:rsid w:val="0085106A"/>
    <w:rsid w:val="008523F6"/>
    <w:rsid w:val="00852A1F"/>
    <w:rsid w:val="00853C37"/>
    <w:rsid w:val="00853F10"/>
    <w:rsid w:val="00853F6C"/>
    <w:rsid w:val="008541E3"/>
    <w:rsid w:val="0085468B"/>
    <w:rsid w:val="00854EA0"/>
    <w:rsid w:val="008552FC"/>
    <w:rsid w:val="00855423"/>
    <w:rsid w:val="008556B3"/>
    <w:rsid w:val="00855B06"/>
    <w:rsid w:val="0085619A"/>
    <w:rsid w:val="008561BB"/>
    <w:rsid w:val="008565AA"/>
    <w:rsid w:val="008575F9"/>
    <w:rsid w:val="00857D29"/>
    <w:rsid w:val="00857E25"/>
    <w:rsid w:val="00860071"/>
    <w:rsid w:val="00860A30"/>
    <w:rsid w:val="00861747"/>
    <w:rsid w:val="00862095"/>
    <w:rsid w:val="0086214C"/>
    <w:rsid w:val="008623D5"/>
    <w:rsid w:val="008629A8"/>
    <w:rsid w:val="00862ACF"/>
    <w:rsid w:val="00863089"/>
    <w:rsid w:val="00863198"/>
    <w:rsid w:val="00863544"/>
    <w:rsid w:val="00863B3D"/>
    <w:rsid w:val="008640B5"/>
    <w:rsid w:val="00864C32"/>
    <w:rsid w:val="00864C9F"/>
    <w:rsid w:val="00864D55"/>
    <w:rsid w:val="00865199"/>
    <w:rsid w:val="00865426"/>
    <w:rsid w:val="008655BA"/>
    <w:rsid w:val="00865F44"/>
    <w:rsid w:val="0086605D"/>
    <w:rsid w:val="00866572"/>
    <w:rsid w:val="008679DC"/>
    <w:rsid w:val="00870272"/>
    <w:rsid w:val="008706AE"/>
    <w:rsid w:val="00870CB6"/>
    <w:rsid w:val="00870D76"/>
    <w:rsid w:val="00871421"/>
    <w:rsid w:val="00871499"/>
    <w:rsid w:val="008719AC"/>
    <w:rsid w:val="00871DC7"/>
    <w:rsid w:val="0087270F"/>
    <w:rsid w:val="00872882"/>
    <w:rsid w:val="008734F5"/>
    <w:rsid w:val="00873CED"/>
    <w:rsid w:val="00873D3D"/>
    <w:rsid w:val="00873FEA"/>
    <w:rsid w:val="0087419B"/>
    <w:rsid w:val="00874232"/>
    <w:rsid w:val="008743DF"/>
    <w:rsid w:val="00874592"/>
    <w:rsid w:val="0087475F"/>
    <w:rsid w:val="00874E59"/>
    <w:rsid w:val="0087516A"/>
    <w:rsid w:val="00875679"/>
    <w:rsid w:val="00875ADE"/>
    <w:rsid w:val="00875E1F"/>
    <w:rsid w:val="00875E91"/>
    <w:rsid w:val="008777A6"/>
    <w:rsid w:val="008778FD"/>
    <w:rsid w:val="00877C0D"/>
    <w:rsid w:val="0088028E"/>
    <w:rsid w:val="008807EE"/>
    <w:rsid w:val="00880A96"/>
    <w:rsid w:val="008816F0"/>
    <w:rsid w:val="008818F6"/>
    <w:rsid w:val="00881D88"/>
    <w:rsid w:val="00881FFE"/>
    <w:rsid w:val="00882EC4"/>
    <w:rsid w:val="00882F6D"/>
    <w:rsid w:val="00883059"/>
    <w:rsid w:val="0088398E"/>
    <w:rsid w:val="008844D7"/>
    <w:rsid w:val="00884B9F"/>
    <w:rsid w:val="00885BEA"/>
    <w:rsid w:val="00885C12"/>
    <w:rsid w:val="00885C52"/>
    <w:rsid w:val="008864AD"/>
    <w:rsid w:val="00886AC5"/>
    <w:rsid w:val="00887705"/>
    <w:rsid w:val="00887887"/>
    <w:rsid w:val="00887AA0"/>
    <w:rsid w:val="00887E02"/>
    <w:rsid w:val="00890237"/>
    <w:rsid w:val="00890535"/>
    <w:rsid w:val="008909F3"/>
    <w:rsid w:val="00891E92"/>
    <w:rsid w:val="00892580"/>
    <w:rsid w:val="00892ADF"/>
    <w:rsid w:val="0089305C"/>
    <w:rsid w:val="008933A7"/>
    <w:rsid w:val="00893479"/>
    <w:rsid w:val="008936E7"/>
    <w:rsid w:val="00893F73"/>
    <w:rsid w:val="0089429A"/>
    <w:rsid w:val="00894A90"/>
    <w:rsid w:val="00894EAA"/>
    <w:rsid w:val="00894FC1"/>
    <w:rsid w:val="00895FCB"/>
    <w:rsid w:val="008977CD"/>
    <w:rsid w:val="00897E03"/>
    <w:rsid w:val="00897E9E"/>
    <w:rsid w:val="00897F77"/>
    <w:rsid w:val="008A05E0"/>
    <w:rsid w:val="008A1186"/>
    <w:rsid w:val="008A1517"/>
    <w:rsid w:val="008A198D"/>
    <w:rsid w:val="008A1C47"/>
    <w:rsid w:val="008A34BF"/>
    <w:rsid w:val="008A35E7"/>
    <w:rsid w:val="008A37DD"/>
    <w:rsid w:val="008A4CBF"/>
    <w:rsid w:val="008A5290"/>
    <w:rsid w:val="008A5549"/>
    <w:rsid w:val="008A593A"/>
    <w:rsid w:val="008A5A27"/>
    <w:rsid w:val="008A6C5A"/>
    <w:rsid w:val="008B0061"/>
    <w:rsid w:val="008B0EAD"/>
    <w:rsid w:val="008B1718"/>
    <w:rsid w:val="008B190C"/>
    <w:rsid w:val="008B1E83"/>
    <w:rsid w:val="008B1EF5"/>
    <w:rsid w:val="008B219A"/>
    <w:rsid w:val="008B2483"/>
    <w:rsid w:val="008B2537"/>
    <w:rsid w:val="008B27A3"/>
    <w:rsid w:val="008B2C9C"/>
    <w:rsid w:val="008B2DF3"/>
    <w:rsid w:val="008B2E4C"/>
    <w:rsid w:val="008B349C"/>
    <w:rsid w:val="008B376A"/>
    <w:rsid w:val="008B3F57"/>
    <w:rsid w:val="008B4969"/>
    <w:rsid w:val="008B4F9D"/>
    <w:rsid w:val="008B5660"/>
    <w:rsid w:val="008B6576"/>
    <w:rsid w:val="008B6CDC"/>
    <w:rsid w:val="008B7220"/>
    <w:rsid w:val="008B75D5"/>
    <w:rsid w:val="008B78BE"/>
    <w:rsid w:val="008B78D8"/>
    <w:rsid w:val="008B7BAA"/>
    <w:rsid w:val="008C00CA"/>
    <w:rsid w:val="008C0246"/>
    <w:rsid w:val="008C031A"/>
    <w:rsid w:val="008C08A5"/>
    <w:rsid w:val="008C1349"/>
    <w:rsid w:val="008C31A3"/>
    <w:rsid w:val="008C347E"/>
    <w:rsid w:val="008C384A"/>
    <w:rsid w:val="008C44D9"/>
    <w:rsid w:val="008C4510"/>
    <w:rsid w:val="008C479C"/>
    <w:rsid w:val="008C47B4"/>
    <w:rsid w:val="008C4D4B"/>
    <w:rsid w:val="008C4E14"/>
    <w:rsid w:val="008C4EDA"/>
    <w:rsid w:val="008C4F75"/>
    <w:rsid w:val="008C543B"/>
    <w:rsid w:val="008C55A4"/>
    <w:rsid w:val="008C5BFF"/>
    <w:rsid w:val="008C5C97"/>
    <w:rsid w:val="008C64E3"/>
    <w:rsid w:val="008C725D"/>
    <w:rsid w:val="008C7337"/>
    <w:rsid w:val="008C7741"/>
    <w:rsid w:val="008C7883"/>
    <w:rsid w:val="008C78F9"/>
    <w:rsid w:val="008C7B5C"/>
    <w:rsid w:val="008C7F11"/>
    <w:rsid w:val="008D044B"/>
    <w:rsid w:val="008D0D1E"/>
    <w:rsid w:val="008D10E6"/>
    <w:rsid w:val="008D110C"/>
    <w:rsid w:val="008D1E79"/>
    <w:rsid w:val="008D29A6"/>
    <w:rsid w:val="008D32AF"/>
    <w:rsid w:val="008D345F"/>
    <w:rsid w:val="008D35E0"/>
    <w:rsid w:val="008D3735"/>
    <w:rsid w:val="008D49A4"/>
    <w:rsid w:val="008D5693"/>
    <w:rsid w:val="008D592A"/>
    <w:rsid w:val="008D5BAA"/>
    <w:rsid w:val="008D776F"/>
    <w:rsid w:val="008D7A19"/>
    <w:rsid w:val="008D7E13"/>
    <w:rsid w:val="008E08F0"/>
    <w:rsid w:val="008E1068"/>
    <w:rsid w:val="008E18A0"/>
    <w:rsid w:val="008E1AB4"/>
    <w:rsid w:val="008E1CC0"/>
    <w:rsid w:val="008E1E54"/>
    <w:rsid w:val="008E2AA2"/>
    <w:rsid w:val="008E3732"/>
    <w:rsid w:val="008E3921"/>
    <w:rsid w:val="008E3B7C"/>
    <w:rsid w:val="008E3C88"/>
    <w:rsid w:val="008E47E0"/>
    <w:rsid w:val="008E4880"/>
    <w:rsid w:val="008E5643"/>
    <w:rsid w:val="008E5DA4"/>
    <w:rsid w:val="008E7211"/>
    <w:rsid w:val="008E78F2"/>
    <w:rsid w:val="008E792D"/>
    <w:rsid w:val="008F0055"/>
    <w:rsid w:val="008F022C"/>
    <w:rsid w:val="008F089A"/>
    <w:rsid w:val="008F0AB5"/>
    <w:rsid w:val="008F0E05"/>
    <w:rsid w:val="008F0E9C"/>
    <w:rsid w:val="008F12B1"/>
    <w:rsid w:val="008F141E"/>
    <w:rsid w:val="008F1521"/>
    <w:rsid w:val="008F1F09"/>
    <w:rsid w:val="008F2838"/>
    <w:rsid w:val="008F4588"/>
    <w:rsid w:val="008F55DF"/>
    <w:rsid w:val="008F5988"/>
    <w:rsid w:val="008F6667"/>
    <w:rsid w:val="008F6794"/>
    <w:rsid w:val="008F7474"/>
    <w:rsid w:val="008F783D"/>
    <w:rsid w:val="008F7853"/>
    <w:rsid w:val="008F7AA3"/>
    <w:rsid w:val="009003DE"/>
    <w:rsid w:val="009003EA"/>
    <w:rsid w:val="009005B7"/>
    <w:rsid w:val="00900C7B"/>
    <w:rsid w:val="00901569"/>
    <w:rsid w:val="00902929"/>
    <w:rsid w:val="00902EC7"/>
    <w:rsid w:val="0090318C"/>
    <w:rsid w:val="00903488"/>
    <w:rsid w:val="00903FE5"/>
    <w:rsid w:val="00904084"/>
    <w:rsid w:val="00904795"/>
    <w:rsid w:val="009049FD"/>
    <w:rsid w:val="00904AA8"/>
    <w:rsid w:val="00904FB5"/>
    <w:rsid w:val="00905021"/>
    <w:rsid w:val="0090587F"/>
    <w:rsid w:val="00905D12"/>
    <w:rsid w:val="00906619"/>
    <w:rsid w:val="00906A71"/>
    <w:rsid w:val="00906F35"/>
    <w:rsid w:val="0090727F"/>
    <w:rsid w:val="009075A0"/>
    <w:rsid w:val="00907955"/>
    <w:rsid w:val="0090799A"/>
    <w:rsid w:val="00907B8B"/>
    <w:rsid w:val="00907F11"/>
    <w:rsid w:val="0091270C"/>
    <w:rsid w:val="00912DE0"/>
    <w:rsid w:val="00913421"/>
    <w:rsid w:val="0091481B"/>
    <w:rsid w:val="00914825"/>
    <w:rsid w:val="009158A4"/>
    <w:rsid w:val="00916A15"/>
    <w:rsid w:val="00916E58"/>
    <w:rsid w:val="00916EB9"/>
    <w:rsid w:val="00916FE3"/>
    <w:rsid w:val="00917380"/>
    <w:rsid w:val="00917433"/>
    <w:rsid w:val="00917887"/>
    <w:rsid w:val="00917E45"/>
    <w:rsid w:val="009207DB"/>
    <w:rsid w:val="00922024"/>
    <w:rsid w:val="00922AF6"/>
    <w:rsid w:val="00922FE4"/>
    <w:rsid w:val="0092353A"/>
    <w:rsid w:val="009244A4"/>
    <w:rsid w:val="009246F6"/>
    <w:rsid w:val="00924B93"/>
    <w:rsid w:val="00924BF3"/>
    <w:rsid w:val="00924E99"/>
    <w:rsid w:val="009254AC"/>
    <w:rsid w:val="00925501"/>
    <w:rsid w:val="00925C4F"/>
    <w:rsid w:val="00925E32"/>
    <w:rsid w:val="00926301"/>
    <w:rsid w:val="00926982"/>
    <w:rsid w:val="00926BC8"/>
    <w:rsid w:val="00926BF2"/>
    <w:rsid w:val="009270C4"/>
    <w:rsid w:val="00930F71"/>
    <w:rsid w:val="00931B25"/>
    <w:rsid w:val="00931C34"/>
    <w:rsid w:val="0093200A"/>
    <w:rsid w:val="00932196"/>
    <w:rsid w:val="0093226D"/>
    <w:rsid w:val="00932459"/>
    <w:rsid w:val="00932B16"/>
    <w:rsid w:val="00932FE6"/>
    <w:rsid w:val="00933AD8"/>
    <w:rsid w:val="0093412A"/>
    <w:rsid w:val="00934FA8"/>
    <w:rsid w:val="00936535"/>
    <w:rsid w:val="0093740F"/>
    <w:rsid w:val="00937B4A"/>
    <w:rsid w:val="00937C1D"/>
    <w:rsid w:val="009405AC"/>
    <w:rsid w:val="009405DB"/>
    <w:rsid w:val="00940CD3"/>
    <w:rsid w:val="00940F58"/>
    <w:rsid w:val="00940FC3"/>
    <w:rsid w:val="00941140"/>
    <w:rsid w:val="0094131D"/>
    <w:rsid w:val="0094185C"/>
    <w:rsid w:val="00941C49"/>
    <w:rsid w:val="00942120"/>
    <w:rsid w:val="00942316"/>
    <w:rsid w:val="009425F7"/>
    <w:rsid w:val="00942A91"/>
    <w:rsid w:val="00942F09"/>
    <w:rsid w:val="00942FE3"/>
    <w:rsid w:val="009437F6"/>
    <w:rsid w:val="00943DD5"/>
    <w:rsid w:val="00944637"/>
    <w:rsid w:val="00944BC7"/>
    <w:rsid w:val="00944BF0"/>
    <w:rsid w:val="00945072"/>
    <w:rsid w:val="009450E6"/>
    <w:rsid w:val="00946136"/>
    <w:rsid w:val="00946208"/>
    <w:rsid w:val="00947B25"/>
    <w:rsid w:val="00950B62"/>
    <w:rsid w:val="009512B1"/>
    <w:rsid w:val="009512F4"/>
    <w:rsid w:val="00951A3E"/>
    <w:rsid w:val="00951FA8"/>
    <w:rsid w:val="0095348B"/>
    <w:rsid w:val="00953BA0"/>
    <w:rsid w:val="00953BB4"/>
    <w:rsid w:val="00954282"/>
    <w:rsid w:val="00954427"/>
    <w:rsid w:val="0095467D"/>
    <w:rsid w:val="00954E74"/>
    <w:rsid w:val="00955150"/>
    <w:rsid w:val="009555AB"/>
    <w:rsid w:val="009562BF"/>
    <w:rsid w:val="00956BBB"/>
    <w:rsid w:val="00957A1B"/>
    <w:rsid w:val="0096064F"/>
    <w:rsid w:val="009607DA"/>
    <w:rsid w:val="00961505"/>
    <w:rsid w:val="009618F2"/>
    <w:rsid w:val="00961B3E"/>
    <w:rsid w:val="0096205F"/>
    <w:rsid w:val="0096323E"/>
    <w:rsid w:val="00963285"/>
    <w:rsid w:val="0096475C"/>
    <w:rsid w:val="00964924"/>
    <w:rsid w:val="00964C19"/>
    <w:rsid w:val="00965161"/>
    <w:rsid w:val="00965401"/>
    <w:rsid w:val="00965D84"/>
    <w:rsid w:val="00965E37"/>
    <w:rsid w:val="00965F51"/>
    <w:rsid w:val="0096646C"/>
    <w:rsid w:val="009666AA"/>
    <w:rsid w:val="009666FE"/>
    <w:rsid w:val="00966E16"/>
    <w:rsid w:val="0096797D"/>
    <w:rsid w:val="00967C2F"/>
    <w:rsid w:val="009710C3"/>
    <w:rsid w:val="009713DD"/>
    <w:rsid w:val="00971C53"/>
    <w:rsid w:val="009725F2"/>
    <w:rsid w:val="00972DC6"/>
    <w:rsid w:val="00972F2E"/>
    <w:rsid w:val="0097311D"/>
    <w:rsid w:val="00973179"/>
    <w:rsid w:val="00973F4F"/>
    <w:rsid w:val="00974105"/>
    <w:rsid w:val="00974795"/>
    <w:rsid w:val="00975C75"/>
    <w:rsid w:val="009761BB"/>
    <w:rsid w:val="00976390"/>
    <w:rsid w:val="00976582"/>
    <w:rsid w:val="0097766C"/>
    <w:rsid w:val="00977BCA"/>
    <w:rsid w:val="00977F9B"/>
    <w:rsid w:val="0098177A"/>
    <w:rsid w:val="009833A5"/>
    <w:rsid w:val="00983A3C"/>
    <w:rsid w:val="00983CE9"/>
    <w:rsid w:val="00983EFD"/>
    <w:rsid w:val="00984A8A"/>
    <w:rsid w:val="00985855"/>
    <w:rsid w:val="00985D58"/>
    <w:rsid w:val="00985DFA"/>
    <w:rsid w:val="00986257"/>
    <w:rsid w:val="0098643B"/>
    <w:rsid w:val="00986861"/>
    <w:rsid w:val="009868C9"/>
    <w:rsid w:val="009868E0"/>
    <w:rsid w:val="00987BF5"/>
    <w:rsid w:val="00987CBC"/>
    <w:rsid w:val="00987FE7"/>
    <w:rsid w:val="00990519"/>
    <w:rsid w:val="00990609"/>
    <w:rsid w:val="00990904"/>
    <w:rsid w:val="00990AAE"/>
    <w:rsid w:val="00990DB9"/>
    <w:rsid w:val="00991487"/>
    <w:rsid w:val="00991706"/>
    <w:rsid w:val="009917E6"/>
    <w:rsid w:val="00992022"/>
    <w:rsid w:val="009924B9"/>
    <w:rsid w:val="009925AC"/>
    <w:rsid w:val="00992815"/>
    <w:rsid w:val="00992935"/>
    <w:rsid w:val="00992E3D"/>
    <w:rsid w:val="0099301E"/>
    <w:rsid w:val="00993070"/>
    <w:rsid w:val="009936DB"/>
    <w:rsid w:val="00993FFC"/>
    <w:rsid w:val="009943CA"/>
    <w:rsid w:val="00994EA1"/>
    <w:rsid w:val="00995141"/>
    <w:rsid w:val="0099589D"/>
    <w:rsid w:val="00995E04"/>
    <w:rsid w:val="009961D6"/>
    <w:rsid w:val="00996326"/>
    <w:rsid w:val="00996349"/>
    <w:rsid w:val="00996415"/>
    <w:rsid w:val="00996546"/>
    <w:rsid w:val="009966A8"/>
    <w:rsid w:val="00996C6A"/>
    <w:rsid w:val="0099723F"/>
    <w:rsid w:val="00997798"/>
    <w:rsid w:val="009978A9"/>
    <w:rsid w:val="00997F98"/>
    <w:rsid w:val="009A09B4"/>
    <w:rsid w:val="009A1CD8"/>
    <w:rsid w:val="009A1CF6"/>
    <w:rsid w:val="009A2838"/>
    <w:rsid w:val="009A2EFF"/>
    <w:rsid w:val="009A2FDF"/>
    <w:rsid w:val="009A327E"/>
    <w:rsid w:val="009A3567"/>
    <w:rsid w:val="009A38E3"/>
    <w:rsid w:val="009A44E8"/>
    <w:rsid w:val="009A4654"/>
    <w:rsid w:val="009A4A0D"/>
    <w:rsid w:val="009A4F69"/>
    <w:rsid w:val="009A5703"/>
    <w:rsid w:val="009A5B4A"/>
    <w:rsid w:val="009A5F6E"/>
    <w:rsid w:val="009A602D"/>
    <w:rsid w:val="009A61FF"/>
    <w:rsid w:val="009A74CB"/>
    <w:rsid w:val="009A775A"/>
    <w:rsid w:val="009A7A01"/>
    <w:rsid w:val="009A7C99"/>
    <w:rsid w:val="009B1570"/>
    <w:rsid w:val="009B1D07"/>
    <w:rsid w:val="009B1DA5"/>
    <w:rsid w:val="009B2453"/>
    <w:rsid w:val="009B28FD"/>
    <w:rsid w:val="009B2AD6"/>
    <w:rsid w:val="009B2B64"/>
    <w:rsid w:val="009B34B9"/>
    <w:rsid w:val="009B35D6"/>
    <w:rsid w:val="009B4BDC"/>
    <w:rsid w:val="009B5594"/>
    <w:rsid w:val="009B57DF"/>
    <w:rsid w:val="009B5879"/>
    <w:rsid w:val="009B5A37"/>
    <w:rsid w:val="009B6792"/>
    <w:rsid w:val="009B7144"/>
    <w:rsid w:val="009B729E"/>
    <w:rsid w:val="009B7498"/>
    <w:rsid w:val="009B74A2"/>
    <w:rsid w:val="009B74BB"/>
    <w:rsid w:val="009B7ED4"/>
    <w:rsid w:val="009C067A"/>
    <w:rsid w:val="009C0741"/>
    <w:rsid w:val="009C0CB4"/>
    <w:rsid w:val="009C0EF9"/>
    <w:rsid w:val="009C104A"/>
    <w:rsid w:val="009C178B"/>
    <w:rsid w:val="009C17E8"/>
    <w:rsid w:val="009C1CED"/>
    <w:rsid w:val="009C221F"/>
    <w:rsid w:val="009C27F8"/>
    <w:rsid w:val="009C34CB"/>
    <w:rsid w:val="009C3BFC"/>
    <w:rsid w:val="009C3D84"/>
    <w:rsid w:val="009C411A"/>
    <w:rsid w:val="009C4228"/>
    <w:rsid w:val="009C42B4"/>
    <w:rsid w:val="009C443A"/>
    <w:rsid w:val="009C469D"/>
    <w:rsid w:val="009C50B7"/>
    <w:rsid w:val="009C51B3"/>
    <w:rsid w:val="009C5923"/>
    <w:rsid w:val="009C6283"/>
    <w:rsid w:val="009C6981"/>
    <w:rsid w:val="009C7773"/>
    <w:rsid w:val="009C79FD"/>
    <w:rsid w:val="009C7A50"/>
    <w:rsid w:val="009C7B1D"/>
    <w:rsid w:val="009D03F1"/>
    <w:rsid w:val="009D1CF4"/>
    <w:rsid w:val="009D2E19"/>
    <w:rsid w:val="009D2E2B"/>
    <w:rsid w:val="009D3305"/>
    <w:rsid w:val="009D3528"/>
    <w:rsid w:val="009D380F"/>
    <w:rsid w:val="009D402B"/>
    <w:rsid w:val="009D49AF"/>
    <w:rsid w:val="009D5001"/>
    <w:rsid w:val="009D57A7"/>
    <w:rsid w:val="009D5A1E"/>
    <w:rsid w:val="009D77C9"/>
    <w:rsid w:val="009D79E5"/>
    <w:rsid w:val="009D7D14"/>
    <w:rsid w:val="009D7D70"/>
    <w:rsid w:val="009E0410"/>
    <w:rsid w:val="009E0B59"/>
    <w:rsid w:val="009E0BFF"/>
    <w:rsid w:val="009E1607"/>
    <w:rsid w:val="009E2E06"/>
    <w:rsid w:val="009E2E5A"/>
    <w:rsid w:val="009E33D1"/>
    <w:rsid w:val="009E4459"/>
    <w:rsid w:val="009E52D3"/>
    <w:rsid w:val="009E6A55"/>
    <w:rsid w:val="009E6DD0"/>
    <w:rsid w:val="009E6F5C"/>
    <w:rsid w:val="009E7562"/>
    <w:rsid w:val="009E7ADC"/>
    <w:rsid w:val="009F0861"/>
    <w:rsid w:val="009F0BD9"/>
    <w:rsid w:val="009F1A0A"/>
    <w:rsid w:val="009F21DC"/>
    <w:rsid w:val="009F2803"/>
    <w:rsid w:val="009F293D"/>
    <w:rsid w:val="009F2BA2"/>
    <w:rsid w:val="009F31A9"/>
    <w:rsid w:val="009F3332"/>
    <w:rsid w:val="009F33FA"/>
    <w:rsid w:val="009F344F"/>
    <w:rsid w:val="009F3645"/>
    <w:rsid w:val="009F3AC7"/>
    <w:rsid w:val="009F4283"/>
    <w:rsid w:val="009F42F3"/>
    <w:rsid w:val="009F4C2B"/>
    <w:rsid w:val="009F4E26"/>
    <w:rsid w:val="009F5105"/>
    <w:rsid w:val="009F5259"/>
    <w:rsid w:val="009F5DC4"/>
    <w:rsid w:val="009F6769"/>
    <w:rsid w:val="009F6903"/>
    <w:rsid w:val="009F7107"/>
    <w:rsid w:val="009F7CA8"/>
    <w:rsid w:val="00A002F3"/>
    <w:rsid w:val="00A006BD"/>
    <w:rsid w:val="00A006E1"/>
    <w:rsid w:val="00A00824"/>
    <w:rsid w:val="00A009AC"/>
    <w:rsid w:val="00A00D50"/>
    <w:rsid w:val="00A00DAC"/>
    <w:rsid w:val="00A00DC0"/>
    <w:rsid w:val="00A01149"/>
    <w:rsid w:val="00A01C1F"/>
    <w:rsid w:val="00A01C86"/>
    <w:rsid w:val="00A01C98"/>
    <w:rsid w:val="00A02A9F"/>
    <w:rsid w:val="00A02CE8"/>
    <w:rsid w:val="00A02EE0"/>
    <w:rsid w:val="00A035F2"/>
    <w:rsid w:val="00A03C90"/>
    <w:rsid w:val="00A04C41"/>
    <w:rsid w:val="00A051FC"/>
    <w:rsid w:val="00A05A92"/>
    <w:rsid w:val="00A05ACF"/>
    <w:rsid w:val="00A05D66"/>
    <w:rsid w:val="00A06A54"/>
    <w:rsid w:val="00A06E22"/>
    <w:rsid w:val="00A06EFA"/>
    <w:rsid w:val="00A10207"/>
    <w:rsid w:val="00A10423"/>
    <w:rsid w:val="00A10D02"/>
    <w:rsid w:val="00A11911"/>
    <w:rsid w:val="00A122D2"/>
    <w:rsid w:val="00A1238B"/>
    <w:rsid w:val="00A1260D"/>
    <w:rsid w:val="00A137EE"/>
    <w:rsid w:val="00A14AA2"/>
    <w:rsid w:val="00A1548E"/>
    <w:rsid w:val="00A15A52"/>
    <w:rsid w:val="00A1614F"/>
    <w:rsid w:val="00A162F2"/>
    <w:rsid w:val="00A171E1"/>
    <w:rsid w:val="00A1727C"/>
    <w:rsid w:val="00A172FD"/>
    <w:rsid w:val="00A179AD"/>
    <w:rsid w:val="00A17AEF"/>
    <w:rsid w:val="00A17CFF"/>
    <w:rsid w:val="00A17D5B"/>
    <w:rsid w:val="00A20A26"/>
    <w:rsid w:val="00A215B0"/>
    <w:rsid w:val="00A218FE"/>
    <w:rsid w:val="00A21F85"/>
    <w:rsid w:val="00A22536"/>
    <w:rsid w:val="00A227AB"/>
    <w:rsid w:val="00A2283C"/>
    <w:rsid w:val="00A230B1"/>
    <w:rsid w:val="00A2323D"/>
    <w:rsid w:val="00A240AC"/>
    <w:rsid w:val="00A240FF"/>
    <w:rsid w:val="00A24B17"/>
    <w:rsid w:val="00A25A12"/>
    <w:rsid w:val="00A266C7"/>
    <w:rsid w:val="00A26C96"/>
    <w:rsid w:val="00A2732C"/>
    <w:rsid w:val="00A277C7"/>
    <w:rsid w:val="00A27A71"/>
    <w:rsid w:val="00A27F02"/>
    <w:rsid w:val="00A311A8"/>
    <w:rsid w:val="00A31CC5"/>
    <w:rsid w:val="00A31DF9"/>
    <w:rsid w:val="00A32078"/>
    <w:rsid w:val="00A32211"/>
    <w:rsid w:val="00A32462"/>
    <w:rsid w:val="00A32D14"/>
    <w:rsid w:val="00A33876"/>
    <w:rsid w:val="00A33D3A"/>
    <w:rsid w:val="00A34114"/>
    <w:rsid w:val="00A34B29"/>
    <w:rsid w:val="00A34BEA"/>
    <w:rsid w:val="00A34C81"/>
    <w:rsid w:val="00A34E19"/>
    <w:rsid w:val="00A34FB9"/>
    <w:rsid w:val="00A352AF"/>
    <w:rsid w:val="00A353D8"/>
    <w:rsid w:val="00A35B31"/>
    <w:rsid w:val="00A3664B"/>
    <w:rsid w:val="00A36B46"/>
    <w:rsid w:val="00A36BD5"/>
    <w:rsid w:val="00A374B1"/>
    <w:rsid w:val="00A401BF"/>
    <w:rsid w:val="00A40906"/>
    <w:rsid w:val="00A40C3D"/>
    <w:rsid w:val="00A40D0C"/>
    <w:rsid w:val="00A41302"/>
    <w:rsid w:val="00A415E2"/>
    <w:rsid w:val="00A41C59"/>
    <w:rsid w:val="00A41C63"/>
    <w:rsid w:val="00A420F4"/>
    <w:rsid w:val="00A42130"/>
    <w:rsid w:val="00A421C0"/>
    <w:rsid w:val="00A4271D"/>
    <w:rsid w:val="00A42AD9"/>
    <w:rsid w:val="00A42CF9"/>
    <w:rsid w:val="00A43021"/>
    <w:rsid w:val="00A43278"/>
    <w:rsid w:val="00A434EC"/>
    <w:rsid w:val="00A44BAB"/>
    <w:rsid w:val="00A459D9"/>
    <w:rsid w:val="00A463EB"/>
    <w:rsid w:val="00A466BC"/>
    <w:rsid w:val="00A469C6"/>
    <w:rsid w:val="00A47029"/>
    <w:rsid w:val="00A47341"/>
    <w:rsid w:val="00A50299"/>
    <w:rsid w:val="00A503CF"/>
    <w:rsid w:val="00A50F4B"/>
    <w:rsid w:val="00A510C2"/>
    <w:rsid w:val="00A51D1A"/>
    <w:rsid w:val="00A51D94"/>
    <w:rsid w:val="00A52100"/>
    <w:rsid w:val="00A52885"/>
    <w:rsid w:val="00A53048"/>
    <w:rsid w:val="00A536D5"/>
    <w:rsid w:val="00A53FCE"/>
    <w:rsid w:val="00A5425D"/>
    <w:rsid w:val="00A54DAA"/>
    <w:rsid w:val="00A5510E"/>
    <w:rsid w:val="00A559F4"/>
    <w:rsid w:val="00A56547"/>
    <w:rsid w:val="00A56BBE"/>
    <w:rsid w:val="00A56D12"/>
    <w:rsid w:val="00A570E0"/>
    <w:rsid w:val="00A57343"/>
    <w:rsid w:val="00A57566"/>
    <w:rsid w:val="00A57889"/>
    <w:rsid w:val="00A606A0"/>
    <w:rsid w:val="00A60AEA"/>
    <w:rsid w:val="00A60E0C"/>
    <w:rsid w:val="00A61263"/>
    <w:rsid w:val="00A614AD"/>
    <w:rsid w:val="00A61886"/>
    <w:rsid w:val="00A61C42"/>
    <w:rsid w:val="00A626C0"/>
    <w:rsid w:val="00A63706"/>
    <w:rsid w:val="00A63991"/>
    <w:rsid w:val="00A63A0E"/>
    <w:rsid w:val="00A63D89"/>
    <w:rsid w:val="00A64DAD"/>
    <w:rsid w:val="00A650DB"/>
    <w:rsid w:val="00A65406"/>
    <w:rsid w:val="00A65E52"/>
    <w:rsid w:val="00A6616B"/>
    <w:rsid w:val="00A66B3D"/>
    <w:rsid w:val="00A66E04"/>
    <w:rsid w:val="00A671B3"/>
    <w:rsid w:val="00A6775B"/>
    <w:rsid w:val="00A67E84"/>
    <w:rsid w:val="00A67F13"/>
    <w:rsid w:val="00A71084"/>
    <w:rsid w:val="00A71181"/>
    <w:rsid w:val="00A71996"/>
    <w:rsid w:val="00A71E69"/>
    <w:rsid w:val="00A7290C"/>
    <w:rsid w:val="00A72ADA"/>
    <w:rsid w:val="00A733CD"/>
    <w:rsid w:val="00A73642"/>
    <w:rsid w:val="00A73647"/>
    <w:rsid w:val="00A73915"/>
    <w:rsid w:val="00A740A9"/>
    <w:rsid w:val="00A740DC"/>
    <w:rsid w:val="00A74C0B"/>
    <w:rsid w:val="00A74CED"/>
    <w:rsid w:val="00A75085"/>
    <w:rsid w:val="00A753C1"/>
    <w:rsid w:val="00A7588B"/>
    <w:rsid w:val="00A76063"/>
    <w:rsid w:val="00A7661A"/>
    <w:rsid w:val="00A767A1"/>
    <w:rsid w:val="00A767FD"/>
    <w:rsid w:val="00A771BF"/>
    <w:rsid w:val="00A77A3F"/>
    <w:rsid w:val="00A801BC"/>
    <w:rsid w:val="00A80822"/>
    <w:rsid w:val="00A80B84"/>
    <w:rsid w:val="00A80D67"/>
    <w:rsid w:val="00A815D0"/>
    <w:rsid w:val="00A81953"/>
    <w:rsid w:val="00A823AB"/>
    <w:rsid w:val="00A82C6D"/>
    <w:rsid w:val="00A84155"/>
    <w:rsid w:val="00A84AE2"/>
    <w:rsid w:val="00A84AEB"/>
    <w:rsid w:val="00A861F3"/>
    <w:rsid w:val="00A86F1A"/>
    <w:rsid w:val="00A87A3E"/>
    <w:rsid w:val="00A87B18"/>
    <w:rsid w:val="00A90283"/>
    <w:rsid w:val="00A90686"/>
    <w:rsid w:val="00A9074A"/>
    <w:rsid w:val="00A90888"/>
    <w:rsid w:val="00A90B1F"/>
    <w:rsid w:val="00A90DB1"/>
    <w:rsid w:val="00A90DCE"/>
    <w:rsid w:val="00A910CC"/>
    <w:rsid w:val="00A9147B"/>
    <w:rsid w:val="00A9162D"/>
    <w:rsid w:val="00A917A8"/>
    <w:rsid w:val="00A91BA8"/>
    <w:rsid w:val="00A91DB9"/>
    <w:rsid w:val="00A91EF1"/>
    <w:rsid w:val="00A91EF2"/>
    <w:rsid w:val="00A91EF4"/>
    <w:rsid w:val="00A92331"/>
    <w:rsid w:val="00A92E10"/>
    <w:rsid w:val="00A9325C"/>
    <w:rsid w:val="00A9390E"/>
    <w:rsid w:val="00A93B3D"/>
    <w:rsid w:val="00A94129"/>
    <w:rsid w:val="00A94171"/>
    <w:rsid w:val="00A947DA"/>
    <w:rsid w:val="00A94FD5"/>
    <w:rsid w:val="00A95559"/>
    <w:rsid w:val="00A95F9F"/>
    <w:rsid w:val="00A95FC9"/>
    <w:rsid w:val="00A96CAB"/>
    <w:rsid w:val="00A96E85"/>
    <w:rsid w:val="00A96FC6"/>
    <w:rsid w:val="00A97B61"/>
    <w:rsid w:val="00AA01DA"/>
    <w:rsid w:val="00AA046E"/>
    <w:rsid w:val="00AA04E0"/>
    <w:rsid w:val="00AA0766"/>
    <w:rsid w:val="00AA0F42"/>
    <w:rsid w:val="00AA115C"/>
    <w:rsid w:val="00AA1211"/>
    <w:rsid w:val="00AA1579"/>
    <w:rsid w:val="00AA2101"/>
    <w:rsid w:val="00AA2E76"/>
    <w:rsid w:val="00AA35E5"/>
    <w:rsid w:val="00AA37D3"/>
    <w:rsid w:val="00AA41E9"/>
    <w:rsid w:val="00AA4482"/>
    <w:rsid w:val="00AA450C"/>
    <w:rsid w:val="00AA4AE0"/>
    <w:rsid w:val="00AA5139"/>
    <w:rsid w:val="00AA5265"/>
    <w:rsid w:val="00AA5AEF"/>
    <w:rsid w:val="00AA5E31"/>
    <w:rsid w:val="00AA6884"/>
    <w:rsid w:val="00AA6E71"/>
    <w:rsid w:val="00AA70F2"/>
    <w:rsid w:val="00AA7247"/>
    <w:rsid w:val="00AA7437"/>
    <w:rsid w:val="00AA750C"/>
    <w:rsid w:val="00AA7A5E"/>
    <w:rsid w:val="00AB0229"/>
    <w:rsid w:val="00AB07D1"/>
    <w:rsid w:val="00AB0879"/>
    <w:rsid w:val="00AB0966"/>
    <w:rsid w:val="00AB0AA6"/>
    <w:rsid w:val="00AB0E99"/>
    <w:rsid w:val="00AB0F03"/>
    <w:rsid w:val="00AB1287"/>
    <w:rsid w:val="00AB1CE8"/>
    <w:rsid w:val="00AB1FC9"/>
    <w:rsid w:val="00AB2F20"/>
    <w:rsid w:val="00AB3F7B"/>
    <w:rsid w:val="00AB4419"/>
    <w:rsid w:val="00AB4AD8"/>
    <w:rsid w:val="00AB5597"/>
    <w:rsid w:val="00AB6DFC"/>
    <w:rsid w:val="00AB7786"/>
    <w:rsid w:val="00AB7A79"/>
    <w:rsid w:val="00AB7DD2"/>
    <w:rsid w:val="00AC0189"/>
    <w:rsid w:val="00AC09CD"/>
    <w:rsid w:val="00AC1004"/>
    <w:rsid w:val="00AC165A"/>
    <w:rsid w:val="00AC2832"/>
    <w:rsid w:val="00AC2885"/>
    <w:rsid w:val="00AC37AF"/>
    <w:rsid w:val="00AC3DB7"/>
    <w:rsid w:val="00AC400E"/>
    <w:rsid w:val="00AC4293"/>
    <w:rsid w:val="00AC4E38"/>
    <w:rsid w:val="00AC561A"/>
    <w:rsid w:val="00AC570E"/>
    <w:rsid w:val="00AC57D2"/>
    <w:rsid w:val="00AC658F"/>
    <w:rsid w:val="00AC7899"/>
    <w:rsid w:val="00AC7F42"/>
    <w:rsid w:val="00AD0392"/>
    <w:rsid w:val="00AD0B96"/>
    <w:rsid w:val="00AD1A5F"/>
    <w:rsid w:val="00AD1A60"/>
    <w:rsid w:val="00AD1C44"/>
    <w:rsid w:val="00AD1C70"/>
    <w:rsid w:val="00AD2762"/>
    <w:rsid w:val="00AD27FC"/>
    <w:rsid w:val="00AD2ACE"/>
    <w:rsid w:val="00AD2B92"/>
    <w:rsid w:val="00AD3A38"/>
    <w:rsid w:val="00AD3FA7"/>
    <w:rsid w:val="00AD4029"/>
    <w:rsid w:val="00AD4B09"/>
    <w:rsid w:val="00AD4EF7"/>
    <w:rsid w:val="00AD4FA3"/>
    <w:rsid w:val="00AD50AD"/>
    <w:rsid w:val="00AD514D"/>
    <w:rsid w:val="00AD516C"/>
    <w:rsid w:val="00AD5DEF"/>
    <w:rsid w:val="00AD5FD1"/>
    <w:rsid w:val="00AD6407"/>
    <w:rsid w:val="00AD6E95"/>
    <w:rsid w:val="00AD752F"/>
    <w:rsid w:val="00AD79BB"/>
    <w:rsid w:val="00AE00CA"/>
    <w:rsid w:val="00AE10C4"/>
    <w:rsid w:val="00AE1197"/>
    <w:rsid w:val="00AE1524"/>
    <w:rsid w:val="00AE1AE1"/>
    <w:rsid w:val="00AE254F"/>
    <w:rsid w:val="00AE25B1"/>
    <w:rsid w:val="00AE260E"/>
    <w:rsid w:val="00AE2C77"/>
    <w:rsid w:val="00AE2D01"/>
    <w:rsid w:val="00AE415F"/>
    <w:rsid w:val="00AE4E21"/>
    <w:rsid w:val="00AE4F15"/>
    <w:rsid w:val="00AE55BC"/>
    <w:rsid w:val="00AE57D2"/>
    <w:rsid w:val="00AE638D"/>
    <w:rsid w:val="00AE686D"/>
    <w:rsid w:val="00AE6B27"/>
    <w:rsid w:val="00AE6D6A"/>
    <w:rsid w:val="00AE6F0F"/>
    <w:rsid w:val="00AF00D2"/>
    <w:rsid w:val="00AF0B16"/>
    <w:rsid w:val="00AF0F96"/>
    <w:rsid w:val="00AF21D7"/>
    <w:rsid w:val="00AF222F"/>
    <w:rsid w:val="00AF2893"/>
    <w:rsid w:val="00AF28EB"/>
    <w:rsid w:val="00AF2ED6"/>
    <w:rsid w:val="00AF3178"/>
    <w:rsid w:val="00AF36B6"/>
    <w:rsid w:val="00AF3A61"/>
    <w:rsid w:val="00AF3C6C"/>
    <w:rsid w:val="00AF49AE"/>
    <w:rsid w:val="00AF4AB5"/>
    <w:rsid w:val="00AF4E1B"/>
    <w:rsid w:val="00AF527E"/>
    <w:rsid w:val="00AF5407"/>
    <w:rsid w:val="00AF5AC5"/>
    <w:rsid w:val="00AF5D56"/>
    <w:rsid w:val="00AF6595"/>
    <w:rsid w:val="00AF7444"/>
    <w:rsid w:val="00AF782D"/>
    <w:rsid w:val="00B00D08"/>
    <w:rsid w:val="00B00ED5"/>
    <w:rsid w:val="00B017EA"/>
    <w:rsid w:val="00B01B8C"/>
    <w:rsid w:val="00B022CF"/>
    <w:rsid w:val="00B02808"/>
    <w:rsid w:val="00B0284A"/>
    <w:rsid w:val="00B028BC"/>
    <w:rsid w:val="00B02BF0"/>
    <w:rsid w:val="00B02EEE"/>
    <w:rsid w:val="00B037DC"/>
    <w:rsid w:val="00B038A2"/>
    <w:rsid w:val="00B03AB4"/>
    <w:rsid w:val="00B04580"/>
    <w:rsid w:val="00B0459A"/>
    <w:rsid w:val="00B04830"/>
    <w:rsid w:val="00B04972"/>
    <w:rsid w:val="00B04BED"/>
    <w:rsid w:val="00B05B34"/>
    <w:rsid w:val="00B05B91"/>
    <w:rsid w:val="00B05FE5"/>
    <w:rsid w:val="00B0613A"/>
    <w:rsid w:val="00B062A6"/>
    <w:rsid w:val="00B0689A"/>
    <w:rsid w:val="00B069BA"/>
    <w:rsid w:val="00B06DD5"/>
    <w:rsid w:val="00B0711E"/>
    <w:rsid w:val="00B07297"/>
    <w:rsid w:val="00B077CC"/>
    <w:rsid w:val="00B07CD8"/>
    <w:rsid w:val="00B10346"/>
    <w:rsid w:val="00B10762"/>
    <w:rsid w:val="00B10B90"/>
    <w:rsid w:val="00B11197"/>
    <w:rsid w:val="00B119A6"/>
    <w:rsid w:val="00B11D78"/>
    <w:rsid w:val="00B11F38"/>
    <w:rsid w:val="00B123E2"/>
    <w:rsid w:val="00B12FD0"/>
    <w:rsid w:val="00B13F7C"/>
    <w:rsid w:val="00B1482F"/>
    <w:rsid w:val="00B148D0"/>
    <w:rsid w:val="00B14E03"/>
    <w:rsid w:val="00B1524E"/>
    <w:rsid w:val="00B152C6"/>
    <w:rsid w:val="00B1597B"/>
    <w:rsid w:val="00B15BB2"/>
    <w:rsid w:val="00B16611"/>
    <w:rsid w:val="00B17016"/>
    <w:rsid w:val="00B20AF2"/>
    <w:rsid w:val="00B214DD"/>
    <w:rsid w:val="00B216F9"/>
    <w:rsid w:val="00B21ED5"/>
    <w:rsid w:val="00B229BE"/>
    <w:rsid w:val="00B22AE1"/>
    <w:rsid w:val="00B22D02"/>
    <w:rsid w:val="00B23157"/>
    <w:rsid w:val="00B23C29"/>
    <w:rsid w:val="00B241E3"/>
    <w:rsid w:val="00B25C72"/>
    <w:rsid w:val="00B25E6F"/>
    <w:rsid w:val="00B27220"/>
    <w:rsid w:val="00B27A6D"/>
    <w:rsid w:val="00B27CC0"/>
    <w:rsid w:val="00B3098F"/>
    <w:rsid w:val="00B30A2A"/>
    <w:rsid w:val="00B30B07"/>
    <w:rsid w:val="00B30BCF"/>
    <w:rsid w:val="00B314D0"/>
    <w:rsid w:val="00B31F6E"/>
    <w:rsid w:val="00B324B7"/>
    <w:rsid w:val="00B32F2D"/>
    <w:rsid w:val="00B33321"/>
    <w:rsid w:val="00B3341E"/>
    <w:rsid w:val="00B3370B"/>
    <w:rsid w:val="00B34296"/>
    <w:rsid w:val="00B344C2"/>
    <w:rsid w:val="00B34C4E"/>
    <w:rsid w:val="00B3517D"/>
    <w:rsid w:val="00B35221"/>
    <w:rsid w:val="00B35520"/>
    <w:rsid w:val="00B3690C"/>
    <w:rsid w:val="00B370C8"/>
    <w:rsid w:val="00B37B57"/>
    <w:rsid w:val="00B40330"/>
    <w:rsid w:val="00B406E5"/>
    <w:rsid w:val="00B4180D"/>
    <w:rsid w:val="00B41B90"/>
    <w:rsid w:val="00B4299A"/>
    <w:rsid w:val="00B42A94"/>
    <w:rsid w:val="00B42C20"/>
    <w:rsid w:val="00B42D9A"/>
    <w:rsid w:val="00B42EFB"/>
    <w:rsid w:val="00B42F20"/>
    <w:rsid w:val="00B4329A"/>
    <w:rsid w:val="00B434EA"/>
    <w:rsid w:val="00B43CED"/>
    <w:rsid w:val="00B4485C"/>
    <w:rsid w:val="00B44D47"/>
    <w:rsid w:val="00B44D96"/>
    <w:rsid w:val="00B4521F"/>
    <w:rsid w:val="00B45928"/>
    <w:rsid w:val="00B45E16"/>
    <w:rsid w:val="00B45E8C"/>
    <w:rsid w:val="00B46B3C"/>
    <w:rsid w:val="00B470FE"/>
    <w:rsid w:val="00B47148"/>
    <w:rsid w:val="00B47B29"/>
    <w:rsid w:val="00B47FE8"/>
    <w:rsid w:val="00B50036"/>
    <w:rsid w:val="00B50B5A"/>
    <w:rsid w:val="00B50F51"/>
    <w:rsid w:val="00B51403"/>
    <w:rsid w:val="00B51A2F"/>
    <w:rsid w:val="00B51B5B"/>
    <w:rsid w:val="00B52111"/>
    <w:rsid w:val="00B528D0"/>
    <w:rsid w:val="00B52FAF"/>
    <w:rsid w:val="00B5323F"/>
    <w:rsid w:val="00B536E0"/>
    <w:rsid w:val="00B539EB"/>
    <w:rsid w:val="00B54550"/>
    <w:rsid w:val="00B5495B"/>
    <w:rsid w:val="00B54A5A"/>
    <w:rsid w:val="00B54FEB"/>
    <w:rsid w:val="00B55695"/>
    <w:rsid w:val="00B562E6"/>
    <w:rsid w:val="00B5639B"/>
    <w:rsid w:val="00B5660B"/>
    <w:rsid w:val="00B57643"/>
    <w:rsid w:val="00B576E1"/>
    <w:rsid w:val="00B6004E"/>
    <w:rsid w:val="00B60477"/>
    <w:rsid w:val="00B6072A"/>
    <w:rsid w:val="00B608F1"/>
    <w:rsid w:val="00B60F79"/>
    <w:rsid w:val="00B611B5"/>
    <w:rsid w:val="00B61337"/>
    <w:rsid w:val="00B61B49"/>
    <w:rsid w:val="00B62538"/>
    <w:rsid w:val="00B6254F"/>
    <w:rsid w:val="00B6317C"/>
    <w:rsid w:val="00B633B9"/>
    <w:rsid w:val="00B63545"/>
    <w:rsid w:val="00B63591"/>
    <w:rsid w:val="00B635C6"/>
    <w:rsid w:val="00B63704"/>
    <w:rsid w:val="00B63742"/>
    <w:rsid w:val="00B637D9"/>
    <w:rsid w:val="00B63B4A"/>
    <w:rsid w:val="00B64447"/>
    <w:rsid w:val="00B64496"/>
    <w:rsid w:val="00B64498"/>
    <w:rsid w:val="00B6604C"/>
    <w:rsid w:val="00B664B0"/>
    <w:rsid w:val="00B66853"/>
    <w:rsid w:val="00B66F08"/>
    <w:rsid w:val="00B67120"/>
    <w:rsid w:val="00B673CA"/>
    <w:rsid w:val="00B6753E"/>
    <w:rsid w:val="00B67550"/>
    <w:rsid w:val="00B679F5"/>
    <w:rsid w:val="00B67B36"/>
    <w:rsid w:val="00B7117A"/>
    <w:rsid w:val="00B71203"/>
    <w:rsid w:val="00B72053"/>
    <w:rsid w:val="00B7234F"/>
    <w:rsid w:val="00B72537"/>
    <w:rsid w:val="00B73B57"/>
    <w:rsid w:val="00B746D5"/>
    <w:rsid w:val="00B74753"/>
    <w:rsid w:val="00B74BDA"/>
    <w:rsid w:val="00B75037"/>
    <w:rsid w:val="00B75159"/>
    <w:rsid w:val="00B759D6"/>
    <w:rsid w:val="00B75AAD"/>
    <w:rsid w:val="00B75D3F"/>
    <w:rsid w:val="00B7745A"/>
    <w:rsid w:val="00B77723"/>
    <w:rsid w:val="00B77ABB"/>
    <w:rsid w:val="00B77E12"/>
    <w:rsid w:val="00B77E50"/>
    <w:rsid w:val="00B802CA"/>
    <w:rsid w:val="00B80B08"/>
    <w:rsid w:val="00B815D3"/>
    <w:rsid w:val="00B818D4"/>
    <w:rsid w:val="00B82DE1"/>
    <w:rsid w:val="00B83476"/>
    <w:rsid w:val="00B835D2"/>
    <w:rsid w:val="00B842EE"/>
    <w:rsid w:val="00B84396"/>
    <w:rsid w:val="00B843A1"/>
    <w:rsid w:val="00B848BE"/>
    <w:rsid w:val="00B84978"/>
    <w:rsid w:val="00B84FF8"/>
    <w:rsid w:val="00B8573A"/>
    <w:rsid w:val="00B85861"/>
    <w:rsid w:val="00B85AE3"/>
    <w:rsid w:val="00B861A7"/>
    <w:rsid w:val="00B86DA8"/>
    <w:rsid w:val="00B8748B"/>
    <w:rsid w:val="00B87BC1"/>
    <w:rsid w:val="00B87F56"/>
    <w:rsid w:val="00B911CB"/>
    <w:rsid w:val="00B91818"/>
    <w:rsid w:val="00B919AB"/>
    <w:rsid w:val="00B927B0"/>
    <w:rsid w:val="00B92F7A"/>
    <w:rsid w:val="00B93597"/>
    <w:rsid w:val="00B94798"/>
    <w:rsid w:val="00B947FD"/>
    <w:rsid w:val="00B94BE5"/>
    <w:rsid w:val="00B96011"/>
    <w:rsid w:val="00B965AF"/>
    <w:rsid w:val="00B96964"/>
    <w:rsid w:val="00B97182"/>
    <w:rsid w:val="00B977A2"/>
    <w:rsid w:val="00B97DBD"/>
    <w:rsid w:val="00BA0255"/>
    <w:rsid w:val="00BA064A"/>
    <w:rsid w:val="00BA06D4"/>
    <w:rsid w:val="00BA075F"/>
    <w:rsid w:val="00BA0A76"/>
    <w:rsid w:val="00BA0D2A"/>
    <w:rsid w:val="00BA0FA7"/>
    <w:rsid w:val="00BA1218"/>
    <w:rsid w:val="00BA1B48"/>
    <w:rsid w:val="00BA1BDC"/>
    <w:rsid w:val="00BA1D32"/>
    <w:rsid w:val="00BA256B"/>
    <w:rsid w:val="00BA3DFA"/>
    <w:rsid w:val="00BA52C1"/>
    <w:rsid w:val="00BA58C0"/>
    <w:rsid w:val="00BA6166"/>
    <w:rsid w:val="00BA683A"/>
    <w:rsid w:val="00BA739B"/>
    <w:rsid w:val="00BA76B1"/>
    <w:rsid w:val="00BA7CCB"/>
    <w:rsid w:val="00BB0423"/>
    <w:rsid w:val="00BB1CBD"/>
    <w:rsid w:val="00BB1EA8"/>
    <w:rsid w:val="00BB1FFA"/>
    <w:rsid w:val="00BB2B1F"/>
    <w:rsid w:val="00BB2F0B"/>
    <w:rsid w:val="00BB3326"/>
    <w:rsid w:val="00BB36C5"/>
    <w:rsid w:val="00BB4C56"/>
    <w:rsid w:val="00BB5F6C"/>
    <w:rsid w:val="00BB60C3"/>
    <w:rsid w:val="00BB61B4"/>
    <w:rsid w:val="00BB6796"/>
    <w:rsid w:val="00BB690D"/>
    <w:rsid w:val="00BB69B6"/>
    <w:rsid w:val="00BB6C88"/>
    <w:rsid w:val="00BB6ECF"/>
    <w:rsid w:val="00BB74B3"/>
    <w:rsid w:val="00BB76A1"/>
    <w:rsid w:val="00BB777A"/>
    <w:rsid w:val="00BB7C25"/>
    <w:rsid w:val="00BC0B9D"/>
    <w:rsid w:val="00BC11CE"/>
    <w:rsid w:val="00BC1286"/>
    <w:rsid w:val="00BC1424"/>
    <w:rsid w:val="00BC1765"/>
    <w:rsid w:val="00BC1CC3"/>
    <w:rsid w:val="00BC1DFC"/>
    <w:rsid w:val="00BC2243"/>
    <w:rsid w:val="00BC28A7"/>
    <w:rsid w:val="00BC2CA6"/>
    <w:rsid w:val="00BC44A4"/>
    <w:rsid w:val="00BC475C"/>
    <w:rsid w:val="00BC47D8"/>
    <w:rsid w:val="00BC5454"/>
    <w:rsid w:val="00BC58FB"/>
    <w:rsid w:val="00BC5961"/>
    <w:rsid w:val="00BC6437"/>
    <w:rsid w:val="00BC693E"/>
    <w:rsid w:val="00BD0152"/>
    <w:rsid w:val="00BD028F"/>
    <w:rsid w:val="00BD03C9"/>
    <w:rsid w:val="00BD07F4"/>
    <w:rsid w:val="00BD137C"/>
    <w:rsid w:val="00BD1693"/>
    <w:rsid w:val="00BD16D1"/>
    <w:rsid w:val="00BD219A"/>
    <w:rsid w:val="00BD2539"/>
    <w:rsid w:val="00BD26D8"/>
    <w:rsid w:val="00BD2C2C"/>
    <w:rsid w:val="00BD2C42"/>
    <w:rsid w:val="00BD307A"/>
    <w:rsid w:val="00BD3698"/>
    <w:rsid w:val="00BD4119"/>
    <w:rsid w:val="00BD44A4"/>
    <w:rsid w:val="00BD4655"/>
    <w:rsid w:val="00BD4D35"/>
    <w:rsid w:val="00BD542B"/>
    <w:rsid w:val="00BD55C0"/>
    <w:rsid w:val="00BD58F5"/>
    <w:rsid w:val="00BD5A88"/>
    <w:rsid w:val="00BD65E1"/>
    <w:rsid w:val="00BD6A70"/>
    <w:rsid w:val="00BD6BF2"/>
    <w:rsid w:val="00BD6EF9"/>
    <w:rsid w:val="00BD754C"/>
    <w:rsid w:val="00BD772A"/>
    <w:rsid w:val="00BD7970"/>
    <w:rsid w:val="00BD7E1A"/>
    <w:rsid w:val="00BE02E5"/>
    <w:rsid w:val="00BE194D"/>
    <w:rsid w:val="00BE1EB6"/>
    <w:rsid w:val="00BE235C"/>
    <w:rsid w:val="00BE29DD"/>
    <w:rsid w:val="00BE2AB1"/>
    <w:rsid w:val="00BE35C9"/>
    <w:rsid w:val="00BE3A79"/>
    <w:rsid w:val="00BE3B56"/>
    <w:rsid w:val="00BE418C"/>
    <w:rsid w:val="00BE4C3A"/>
    <w:rsid w:val="00BE576A"/>
    <w:rsid w:val="00BE5B3E"/>
    <w:rsid w:val="00BE72FD"/>
    <w:rsid w:val="00BE74D1"/>
    <w:rsid w:val="00BE7863"/>
    <w:rsid w:val="00BE786F"/>
    <w:rsid w:val="00BF07C0"/>
    <w:rsid w:val="00BF0C38"/>
    <w:rsid w:val="00BF139F"/>
    <w:rsid w:val="00BF1728"/>
    <w:rsid w:val="00BF1EF8"/>
    <w:rsid w:val="00BF2674"/>
    <w:rsid w:val="00BF2CE4"/>
    <w:rsid w:val="00BF2DE5"/>
    <w:rsid w:val="00BF3C29"/>
    <w:rsid w:val="00BF4339"/>
    <w:rsid w:val="00BF461B"/>
    <w:rsid w:val="00BF4AD7"/>
    <w:rsid w:val="00BF4C49"/>
    <w:rsid w:val="00BF5DA2"/>
    <w:rsid w:val="00BF5E36"/>
    <w:rsid w:val="00BF61B0"/>
    <w:rsid w:val="00BF6338"/>
    <w:rsid w:val="00BF6536"/>
    <w:rsid w:val="00BF6655"/>
    <w:rsid w:val="00BF6679"/>
    <w:rsid w:val="00BF6D56"/>
    <w:rsid w:val="00BF7DFA"/>
    <w:rsid w:val="00C003F5"/>
    <w:rsid w:val="00C0079D"/>
    <w:rsid w:val="00C00D03"/>
    <w:rsid w:val="00C01151"/>
    <w:rsid w:val="00C017B2"/>
    <w:rsid w:val="00C01DD3"/>
    <w:rsid w:val="00C01DFC"/>
    <w:rsid w:val="00C02205"/>
    <w:rsid w:val="00C0282B"/>
    <w:rsid w:val="00C02CA7"/>
    <w:rsid w:val="00C02E62"/>
    <w:rsid w:val="00C03D01"/>
    <w:rsid w:val="00C04382"/>
    <w:rsid w:val="00C05343"/>
    <w:rsid w:val="00C05381"/>
    <w:rsid w:val="00C067E0"/>
    <w:rsid w:val="00C06EF0"/>
    <w:rsid w:val="00C074B8"/>
    <w:rsid w:val="00C075D0"/>
    <w:rsid w:val="00C07CD6"/>
    <w:rsid w:val="00C1025D"/>
    <w:rsid w:val="00C103AB"/>
    <w:rsid w:val="00C103C8"/>
    <w:rsid w:val="00C11131"/>
    <w:rsid w:val="00C11821"/>
    <w:rsid w:val="00C11EDA"/>
    <w:rsid w:val="00C12686"/>
    <w:rsid w:val="00C12D93"/>
    <w:rsid w:val="00C12EE2"/>
    <w:rsid w:val="00C13419"/>
    <w:rsid w:val="00C139DE"/>
    <w:rsid w:val="00C13B55"/>
    <w:rsid w:val="00C13C3F"/>
    <w:rsid w:val="00C13CBD"/>
    <w:rsid w:val="00C13DB6"/>
    <w:rsid w:val="00C142BD"/>
    <w:rsid w:val="00C148E5"/>
    <w:rsid w:val="00C14B57"/>
    <w:rsid w:val="00C14CDE"/>
    <w:rsid w:val="00C15473"/>
    <w:rsid w:val="00C159C1"/>
    <w:rsid w:val="00C15D34"/>
    <w:rsid w:val="00C1609D"/>
    <w:rsid w:val="00C16489"/>
    <w:rsid w:val="00C16848"/>
    <w:rsid w:val="00C168C0"/>
    <w:rsid w:val="00C16BF9"/>
    <w:rsid w:val="00C1711E"/>
    <w:rsid w:val="00C1746D"/>
    <w:rsid w:val="00C174C6"/>
    <w:rsid w:val="00C17E6E"/>
    <w:rsid w:val="00C2001A"/>
    <w:rsid w:val="00C20915"/>
    <w:rsid w:val="00C21A06"/>
    <w:rsid w:val="00C221D0"/>
    <w:rsid w:val="00C22309"/>
    <w:rsid w:val="00C23520"/>
    <w:rsid w:val="00C2366E"/>
    <w:rsid w:val="00C23E35"/>
    <w:rsid w:val="00C24097"/>
    <w:rsid w:val="00C24568"/>
    <w:rsid w:val="00C246D7"/>
    <w:rsid w:val="00C24DA9"/>
    <w:rsid w:val="00C24F12"/>
    <w:rsid w:val="00C24F98"/>
    <w:rsid w:val="00C25082"/>
    <w:rsid w:val="00C25277"/>
    <w:rsid w:val="00C25E6A"/>
    <w:rsid w:val="00C25E7D"/>
    <w:rsid w:val="00C25F06"/>
    <w:rsid w:val="00C265D4"/>
    <w:rsid w:val="00C273AE"/>
    <w:rsid w:val="00C275FC"/>
    <w:rsid w:val="00C2789E"/>
    <w:rsid w:val="00C27D57"/>
    <w:rsid w:val="00C27E01"/>
    <w:rsid w:val="00C27E29"/>
    <w:rsid w:val="00C30D84"/>
    <w:rsid w:val="00C3106E"/>
    <w:rsid w:val="00C3145E"/>
    <w:rsid w:val="00C315AE"/>
    <w:rsid w:val="00C3160C"/>
    <w:rsid w:val="00C317A7"/>
    <w:rsid w:val="00C31EE1"/>
    <w:rsid w:val="00C32310"/>
    <w:rsid w:val="00C33431"/>
    <w:rsid w:val="00C337A9"/>
    <w:rsid w:val="00C33AEC"/>
    <w:rsid w:val="00C341FB"/>
    <w:rsid w:val="00C34536"/>
    <w:rsid w:val="00C34CDD"/>
    <w:rsid w:val="00C3608B"/>
    <w:rsid w:val="00C36203"/>
    <w:rsid w:val="00C36B2D"/>
    <w:rsid w:val="00C36E09"/>
    <w:rsid w:val="00C36EAF"/>
    <w:rsid w:val="00C37CDE"/>
    <w:rsid w:val="00C40C58"/>
    <w:rsid w:val="00C410D2"/>
    <w:rsid w:val="00C4116F"/>
    <w:rsid w:val="00C417CD"/>
    <w:rsid w:val="00C41AFB"/>
    <w:rsid w:val="00C41C08"/>
    <w:rsid w:val="00C42A78"/>
    <w:rsid w:val="00C42FB2"/>
    <w:rsid w:val="00C433BA"/>
    <w:rsid w:val="00C435C8"/>
    <w:rsid w:val="00C437D6"/>
    <w:rsid w:val="00C43C0C"/>
    <w:rsid w:val="00C4426C"/>
    <w:rsid w:val="00C4471A"/>
    <w:rsid w:val="00C44CC9"/>
    <w:rsid w:val="00C44FD9"/>
    <w:rsid w:val="00C45350"/>
    <w:rsid w:val="00C45DD1"/>
    <w:rsid w:val="00C45FDE"/>
    <w:rsid w:val="00C4601D"/>
    <w:rsid w:val="00C4698B"/>
    <w:rsid w:val="00C46FE3"/>
    <w:rsid w:val="00C473E7"/>
    <w:rsid w:val="00C47478"/>
    <w:rsid w:val="00C47BD2"/>
    <w:rsid w:val="00C507C3"/>
    <w:rsid w:val="00C50DFC"/>
    <w:rsid w:val="00C51880"/>
    <w:rsid w:val="00C51FA8"/>
    <w:rsid w:val="00C51FF0"/>
    <w:rsid w:val="00C52782"/>
    <w:rsid w:val="00C52D4E"/>
    <w:rsid w:val="00C5300F"/>
    <w:rsid w:val="00C53027"/>
    <w:rsid w:val="00C53EE2"/>
    <w:rsid w:val="00C54473"/>
    <w:rsid w:val="00C54549"/>
    <w:rsid w:val="00C55D94"/>
    <w:rsid w:val="00C57567"/>
    <w:rsid w:val="00C57582"/>
    <w:rsid w:val="00C6017A"/>
    <w:rsid w:val="00C6087E"/>
    <w:rsid w:val="00C608EF"/>
    <w:rsid w:val="00C60FC1"/>
    <w:rsid w:val="00C60FF0"/>
    <w:rsid w:val="00C612BB"/>
    <w:rsid w:val="00C612BF"/>
    <w:rsid w:val="00C619EE"/>
    <w:rsid w:val="00C6207E"/>
    <w:rsid w:val="00C625C7"/>
    <w:rsid w:val="00C6339B"/>
    <w:rsid w:val="00C63770"/>
    <w:rsid w:val="00C644D9"/>
    <w:rsid w:val="00C64784"/>
    <w:rsid w:val="00C64AD8"/>
    <w:rsid w:val="00C64FAE"/>
    <w:rsid w:val="00C65320"/>
    <w:rsid w:val="00C65CEF"/>
    <w:rsid w:val="00C66344"/>
    <w:rsid w:val="00C66679"/>
    <w:rsid w:val="00C66D4A"/>
    <w:rsid w:val="00C66E0E"/>
    <w:rsid w:val="00C674F7"/>
    <w:rsid w:val="00C67955"/>
    <w:rsid w:val="00C70074"/>
    <w:rsid w:val="00C70244"/>
    <w:rsid w:val="00C70341"/>
    <w:rsid w:val="00C70438"/>
    <w:rsid w:val="00C7089C"/>
    <w:rsid w:val="00C70918"/>
    <w:rsid w:val="00C70EE7"/>
    <w:rsid w:val="00C716CF"/>
    <w:rsid w:val="00C717CD"/>
    <w:rsid w:val="00C719A4"/>
    <w:rsid w:val="00C71AC2"/>
    <w:rsid w:val="00C725B9"/>
    <w:rsid w:val="00C72AE3"/>
    <w:rsid w:val="00C73402"/>
    <w:rsid w:val="00C745D7"/>
    <w:rsid w:val="00C74865"/>
    <w:rsid w:val="00C75391"/>
    <w:rsid w:val="00C755C8"/>
    <w:rsid w:val="00C7584E"/>
    <w:rsid w:val="00C758E0"/>
    <w:rsid w:val="00C75A25"/>
    <w:rsid w:val="00C76C64"/>
    <w:rsid w:val="00C76DBB"/>
    <w:rsid w:val="00C7702A"/>
    <w:rsid w:val="00C773C8"/>
    <w:rsid w:val="00C77404"/>
    <w:rsid w:val="00C77707"/>
    <w:rsid w:val="00C807B9"/>
    <w:rsid w:val="00C80A25"/>
    <w:rsid w:val="00C817D1"/>
    <w:rsid w:val="00C81DB4"/>
    <w:rsid w:val="00C81DF7"/>
    <w:rsid w:val="00C8240C"/>
    <w:rsid w:val="00C8242E"/>
    <w:rsid w:val="00C82930"/>
    <w:rsid w:val="00C82A83"/>
    <w:rsid w:val="00C82D33"/>
    <w:rsid w:val="00C8301A"/>
    <w:rsid w:val="00C83E34"/>
    <w:rsid w:val="00C84687"/>
    <w:rsid w:val="00C85046"/>
    <w:rsid w:val="00C8531E"/>
    <w:rsid w:val="00C853A9"/>
    <w:rsid w:val="00C855FB"/>
    <w:rsid w:val="00C8572E"/>
    <w:rsid w:val="00C85B6C"/>
    <w:rsid w:val="00C85E1F"/>
    <w:rsid w:val="00C86BFE"/>
    <w:rsid w:val="00C86D8A"/>
    <w:rsid w:val="00C873ED"/>
    <w:rsid w:val="00C87F73"/>
    <w:rsid w:val="00C87F8D"/>
    <w:rsid w:val="00C900B0"/>
    <w:rsid w:val="00C90164"/>
    <w:rsid w:val="00C90231"/>
    <w:rsid w:val="00C9080B"/>
    <w:rsid w:val="00C90D8A"/>
    <w:rsid w:val="00C90EF9"/>
    <w:rsid w:val="00C9108F"/>
    <w:rsid w:val="00C92714"/>
    <w:rsid w:val="00C9286B"/>
    <w:rsid w:val="00C92949"/>
    <w:rsid w:val="00C92B1A"/>
    <w:rsid w:val="00C9312F"/>
    <w:rsid w:val="00C933D8"/>
    <w:rsid w:val="00C93DE5"/>
    <w:rsid w:val="00C94AD2"/>
    <w:rsid w:val="00C950CA"/>
    <w:rsid w:val="00C958E9"/>
    <w:rsid w:val="00C95ED6"/>
    <w:rsid w:val="00C95FCC"/>
    <w:rsid w:val="00CA1379"/>
    <w:rsid w:val="00CA1B03"/>
    <w:rsid w:val="00CA1DCF"/>
    <w:rsid w:val="00CA1FB0"/>
    <w:rsid w:val="00CA24D1"/>
    <w:rsid w:val="00CA27A0"/>
    <w:rsid w:val="00CA2E1D"/>
    <w:rsid w:val="00CA324D"/>
    <w:rsid w:val="00CA39CC"/>
    <w:rsid w:val="00CA4743"/>
    <w:rsid w:val="00CA48B2"/>
    <w:rsid w:val="00CA5A8C"/>
    <w:rsid w:val="00CA6014"/>
    <w:rsid w:val="00CA6568"/>
    <w:rsid w:val="00CA65FC"/>
    <w:rsid w:val="00CA6B6A"/>
    <w:rsid w:val="00CA735E"/>
    <w:rsid w:val="00CA73DD"/>
    <w:rsid w:val="00CA7931"/>
    <w:rsid w:val="00CA7D8A"/>
    <w:rsid w:val="00CB10A6"/>
    <w:rsid w:val="00CB1162"/>
    <w:rsid w:val="00CB138F"/>
    <w:rsid w:val="00CB13E0"/>
    <w:rsid w:val="00CB1B42"/>
    <w:rsid w:val="00CB2197"/>
    <w:rsid w:val="00CB248C"/>
    <w:rsid w:val="00CB254E"/>
    <w:rsid w:val="00CB25B9"/>
    <w:rsid w:val="00CB3934"/>
    <w:rsid w:val="00CB4046"/>
    <w:rsid w:val="00CB43FA"/>
    <w:rsid w:val="00CB4EF9"/>
    <w:rsid w:val="00CB5A89"/>
    <w:rsid w:val="00CB5B31"/>
    <w:rsid w:val="00CB5BE7"/>
    <w:rsid w:val="00CB64D1"/>
    <w:rsid w:val="00CB712E"/>
    <w:rsid w:val="00CB7234"/>
    <w:rsid w:val="00CB76B8"/>
    <w:rsid w:val="00CB7703"/>
    <w:rsid w:val="00CB783B"/>
    <w:rsid w:val="00CB7FBA"/>
    <w:rsid w:val="00CC1189"/>
    <w:rsid w:val="00CC1247"/>
    <w:rsid w:val="00CC1F79"/>
    <w:rsid w:val="00CC23C6"/>
    <w:rsid w:val="00CC2803"/>
    <w:rsid w:val="00CC3489"/>
    <w:rsid w:val="00CC3A68"/>
    <w:rsid w:val="00CC3E3F"/>
    <w:rsid w:val="00CC468B"/>
    <w:rsid w:val="00CC4B5B"/>
    <w:rsid w:val="00CC56AF"/>
    <w:rsid w:val="00CC6423"/>
    <w:rsid w:val="00CC657C"/>
    <w:rsid w:val="00CC68D6"/>
    <w:rsid w:val="00CC6A98"/>
    <w:rsid w:val="00CC707F"/>
    <w:rsid w:val="00CC79CD"/>
    <w:rsid w:val="00CC7CC8"/>
    <w:rsid w:val="00CD0761"/>
    <w:rsid w:val="00CD0CEE"/>
    <w:rsid w:val="00CD1841"/>
    <w:rsid w:val="00CD1BF1"/>
    <w:rsid w:val="00CD1E42"/>
    <w:rsid w:val="00CD2A3E"/>
    <w:rsid w:val="00CD31C1"/>
    <w:rsid w:val="00CD35F1"/>
    <w:rsid w:val="00CD4704"/>
    <w:rsid w:val="00CD4AE1"/>
    <w:rsid w:val="00CD4B3B"/>
    <w:rsid w:val="00CD4C9C"/>
    <w:rsid w:val="00CD5401"/>
    <w:rsid w:val="00CD5716"/>
    <w:rsid w:val="00CD5927"/>
    <w:rsid w:val="00CD6524"/>
    <w:rsid w:val="00CD68DD"/>
    <w:rsid w:val="00CD6C24"/>
    <w:rsid w:val="00CD6C94"/>
    <w:rsid w:val="00CD7649"/>
    <w:rsid w:val="00CD7760"/>
    <w:rsid w:val="00CD794A"/>
    <w:rsid w:val="00CD7B8B"/>
    <w:rsid w:val="00CD7D8E"/>
    <w:rsid w:val="00CE04AB"/>
    <w:rsid w:val="00CE0513"/>
    <w:rsid w:val="00CE073C"/>
    <w:rsid w:val="00CE0AAE"/>
    <w:rsid w:val="00CE1374"/>
    <w:rsid w:val="00CE16A7"/>
    <w:rsid w:val="00CE2B04"/>
    <w:rsid w:val="00CE3F20"/>
    <w:rsid w:val="00CE4396"/>
    <w:rsid w:val="00CE49FD"/>
    <w:rsid w:val="00CE4E5D"/>
    <w:rsid w:val="00CE4F18"/>
    <w:rsid w:val="00CE5298"/>
    <w:rsid w:val="00CE5803"/>
    <w:rsid w:val="00CE58EB"/>
    <w:rsid w:val="00CE596B"/>
    <w:rsid w:val="00CE5F0A"/>
    <w:rsid w:val="00CE643F"/>
    <w:rsid w:val="00CE681D"/>
    <w:rsid w:val="00CE6A32"/>
    <w:rsid w:val="00CE78C9"/>
    <w:rsid w:val="00CE7968"/>
    <w:rsid w:val="00CF091E"/>
    <w:rsid w:val="00CF0A69"/>
    <w:rsid w:val="00CF10F6"/>
    <w:rsid w:val="00CF1331"/>
    <w:rsid w:val="00CF15E2"/>
    <w:rsid w:val="00CF1E7E"/>
    <w:rsid w:val="00CF26A8"/>
    <w:rsid w:val="00CF35B2"/>
    <w:rsid w:val="00CF38D4"/>
    <w:rsid w:val="00CF3AB9"/>
    <w:rsid w:val="00CF472E"/>
    <w:rsid w:val="00CF4D48"/>
    <w:rsid w:val="00CF50F7"/>
    <w:rsid w:val="00CF5593"/>
    <w:rsid w:val="00CF5672"/>
    <w:rsid w:val="00CF5C9C"/>
    <w:rsid w:val="00CF5DEA"/>
    <w:rsid w:val="00CF60B2"/>
    <w:rsid w:val="00CF6BB9"/>
    <w:rsid w:val="00CF6DD6"/>
    <w:rsid w:val="00D00FDE"/>
    <w:rsid w:val="00D022D6"/>
    <w:rsid w:val="00D026EE"/>
    <w:rsid w:val="00D02876"/>
    <w:rsid w:val="00D029E9"/>
    <w:rsid w:val="00D0316E"/>
    <w:rsid w:val="00D03342"/>
    <w:rsid w:val="00D03563"/>
    <w:rsid w:val="00D038CF"/>
    <w:rsid w:val="00D03F31"/>
    <w:rsid w:val="00D045FD"/>
    <w:rsid w:val="00D06446"/>
    <w:rsid w:val="00D0774F"/>
    <w:rsid w:val="00D10303"/>
    <w:rsid w:val="00D103E0"/>
    <w:rsid w:val="00D1060F"/>
    <w:rsid w:val="00D1140B"/>
    <w:rsid w:val="00D11823"/>
    <w:rsid w:val="00D118F2"/>
    <w:rsid w:val="00D12D32"/>
    <w:rsid w:val="00D12E0E"/>
    <w:rsid w:val="00D12F07"/>
    <w:rsid w:val="00D132C3"/>
    <w:rsid w:val="00D13444"/>
    <w:rsid w:val="00D13887"/>
    <w:rsid w:val="00D1452D"/>
    <w:rsid w:val="00D148D1"/>
    <w:rsid w:val="00D149AD"/>
    <w:rsid w:val="00D14CD4"/>
    <w:rsid w:val="00D15416"/>
    <w:rsid w:val="00D159F8"/>
    <w:rsid w:val="00D1637D"/>
    <w:rsid w:val="00D16592"/>
    <w:rsid w:val="00D16CC4"/>
    <w:rsid w:val="00D1713A"/>
    <w:rsid w:val="00D171C8"/>
    <w:rsid w:val="00D17AFC"/>
    <w:rsid w:val="00D17CFB"/>
    <w:rsid w:val="00D17D1E"/>
    <w:rsid w:val="00D2009D"/>
    <w:rsid w:val="00D2051D"/>
    <w:rsid w:val="00D20822"/>
    <w:rsid w:val="00D2110E"/>
    <w:rsid w:val="00D22287"/>
    <w:rsid w:val="00D22567"/>
    <w:rsid w:val="00D226B9"/>
    <w:rsid w:val="00D23437"/>
    <w:rsid w:val="00D2381C"/>
    <w:rsid w:val="00D23842"/>
    <w:rsid w:val="00D23A94"/>
    <w:rsid w:val="00D23F38"/>
    <w:rsid w:val="00D24346"/>
    <w:rsid w:val="00D244E1"/>
    <w:rsid w:val="00D2459A"/>
    <w:rsid w:val="00D24774"/>
    <w:rsid w:val="00D248D9"/>
    <w:rsid w:val="00D24B50"/>
    <w:rsid w:val="00D24CD7"/>
    <w:rsid w:val="00D24D7B"/>
    <w:rsid w:val="00D2502F"/>
    <w:rsid w:val="00D25100"/>
    <w:rsid w:val="00D25450"/>
    <w:rsid w:val="00D25F3E"/>
    <w:rsid w:val="00D26C87"/>
    <w:rsid w:val="00D26D53"/>
    <w:rsid w:val="00D27131"/>
    <w:rsid w:val="00D300F7"/>
    <w:rsid w:val="00D30336"/>
    <w:rsid w:val="00D31BBD"/>
    <w:rsid w:val="00D32104"/>
    <w:rsid w:val="00D329A0"/>
    <w:rsid w:val="00D32CE1"/>
    <w:rsid w:val="00D32E58"/>
    <w:rsid w:val="00D33010"/>
    <w:rsid w:val="00D33362"/>
    <w:rsid w:val="00D334CD"/>
    <w:rsid w:val="00D3395C"/>
    <w:rsid w:val="00D34412"/>
    <w:rsid w:val="00D34D6B"/>
    <w:rsid w:val="00D35628"/>
    <w:rsid w:val="00D35BAA"/>
    <w:rsid w:val="00D36072"/>
    <w:rsid w:val="00D36122"/>
    <w:rsid w:val="00D36DCC"/>
    <w:rsid w:val="00D37397"/>
    <w:rsid w:val="00D3756A"/>
    <w:rsid w:val="00D375DA"/>
    <w:rsid w:val="00D377AE"/>
    <w:rsid w:val="00D400D8"/>
    <w:rsid w:val="00D404B1"/>
    <w:rsid w:val="00D4113F"/>
    <w:rsid w:val="00D4119C"/>
    <w:rsid w:val="00D412B3"/>
    <w:rsid w:val="00D41378"/>
    <w:rsid w:val="00D41616"/>
    <w:rsid w:val="00D41FE1"/>
    <w:rsid w:val="00D42B1F"/>
    <w:rsid w:val="00D42CD9"/>
    <w:rsid w:val="00D42DD3"/>
    <w:rsid w:val="00D43988"/>
    <w:rsid w:val="00D43AC4"/>
    <w:rsid w:val="00D44448"/>
    <w:rsid w:val="00D44869"/>
    <w:rsid w:val="00D44B46"/>
    <w:rsid w:val="00D44BDE"/>
    <w:rsid w:val="00D44E88"/>
    <w:rsid w:val="00D45B50"/>
    <w:rsid w:val="00D45CA8"/>
    <w:rsid w:val="00D46109"/>
    <w:rsid w:val="00D4692A"/>
    <w:rsid w:val="00D46C3C"/>
    <w:rsid w:val="00D46D0E"/>
    <w:rsid w:val="00D46E71"/>
    <w:rsid w:val="00D4707E"/>
    <w:rsid w:val="00D4721D"/>
    <w:rsid w:val="00D47867"/>
    <w:rsid w:val="00D47D6E"/>
    <w:rsid w:val="00D47E2C"/>
    <w:rsid w:val="00D47EAF"/>
    <w:rsid w:val="00D504F6"/>
    <w:rsid w:val="00D50C02"/>
    <w:rsid w:val="00D50E7A"/>
    <w:rsid w:val="00D512EA"/>
    <w:rsid w:val="00D51552"/>
    <w:rsid w:val="00D51801"/>
    <w:rsid w:val="00D51B27"/>
    <w:rsid w:val="00D5227E"/>
    <w:rsid w:val="00D52583"/>
    <w:rsid w:val="00D52D7F"/>
    <w:rsid w:val="00D52F8D"/>
    <w:rsid w:val="00D53034"/>
    <w:rsid w:val="00D532F5"/>
    <w:rsid w:val="00D5331B"/>
    <w:rsid w:val="00D54373"/>
    <w:rsid w:val="00D545E9"/>
    <w:rsid w:val="00D547BC"/>
    <w:rsid w:val="00D54E43"/>
    <w:rsid w:val="00D54F28"/>
    <w:rsid w:val="00D5522A"/>
    <w:rsid w:val="00D559DA"/>
    <w:rsid w:val="00D55A05"/>
    <w:rsid w:val="00D564EF"/>
    <w:rsid w:val="00D5676E"/>
    <w:rsid w:val="00D56DB7"/>
    <w:rsid w:val="00D570FB"/>
    <w:rsid w:val="00D57447"/>
    <w:rsid w:val="00D60E3C"/>
    <w:rsid w:val="00D613B2"/>
    <w:rsid w:val="00D61A9F"/>
    <w:rsid w:val="00D61EDD"/>
    <w:rsid w:val="00D628AF"/>
    <w:rsid w:val="00D6294B"/>
    <w:rsid w:val="00D62AF3"/>
    <w:rsid w:val="00D630BA"/>
    <w:rsid w:val="00D6353D"/>
    <w:rsid w:val="00D6429C"/>
    <w:rsid w:val="00D642D7"/>
    <w:rsid w:val="00D64490"/>
    <w:rsid w:val="00D64A3D"/>
    <w:rsid w:val="00D65D91"/>
    <w:rsid w:val="00D662EE"/>
    <w:rsid w:val="00D66331"/>
    <w:rsid w:val="00D66697"/>
    <w:rsid w:val="00D66EDC"/>
    <w:rsid w:val="00D67684"/>
    <w:rsid w:val="00D67ACA"/>
    <w:rsid w:val="00D67EA8"/>
    <w:rsid w:val="00D67F69"/>
    <w:rsid w:val="00D70737"/>
    <w:rsid w:val="00D70E58"/>
    <w:rsid w:val="00D71103"/>
    <w:rsid w:val="00D72420"/>
    <w:rsid w:val="00D72551"/>
    <w:rsid w:val="00D725C6"/>
    <w:rsid w:val="00D72DF4"/>
    <w:rsid w:val="00D73302"/>
    <w:rsid w:val="00D7362F"/>
    <w:rsid w:val="00D73ADE"/>
    <w:rsid w:val="00D73AF1"/>
    <w:rsid w:val="00D73B4A"/>
    <w:rsid w:val="00D74504"/>
    <w:rsid w:val="00D74639"/>
    <w:rsid w:val="00D74DAF"/>
    <w:rsid w:val="00D74F04"/>
    <w:rsid w:val="00D75ECA"/>
    <w:rsid w:val="00D762C4"/>
    <w:rsid w:val="00D77EF0"/>
    <w:rsid w:val="00D77F35"/>
    <w:rsid w:val="00D8093F"/>
    <w:rsid w:val="00D809B7"/>
    <w:rsid w:val="00D8101C"/>
    <w:rsid w:val="00D810C4"/>
    <w:rsid w:val="00D813B0"/>
    <w:rsid w:val="00D81A07"/>
    <w:rsid w:val="00D81A57"/>
    <w:rsid w:val="00D81D6E"/>
    <w:rsid w:val="00D81FFC"/>
    <w:rsid w:val="00D82A4C"/>
    <w:rsid w:val="00D82E01"/>
    <w:rsid w:val="00D8371D"/>
    <w:rsid w:val="00D83A8B"/>
    <w:rsid w:val="00D84061"/>
    <w:rsid w:val="00D844E7"/>
    <w:rsid w:val="00D8483A"/>
    <w:rsid w:val="00D851A0"/>
    <w:rsid w:val="00D85683"/>
    <w:rsid w:val="00D8682D"/>
    <w:rsid w:val="00D86B88"/>
    <w:rsid w:val="00D87125"/>
    <w:rsid w:val="00D87145"/>
    <w:rsid w:val="00D874FB"/>
    <w:rsid w:val="00D87776"/>
    <w:rsid w:val="00D908D7"/>
    <w:rsid w:val="00D90EC1"/>
    <w:rsid w:val="00D90F8A"/>
    <w:rsid w:val="00D91621"/>
    <w:rsid w:val="00D918C7"/>
    <w:rsid w:val="00D91B8F"/>
    <w:rsid w:val="00D92CF0"/>
    <w:rsid w:val="00D930F2"/>
    <w:rsid w:val="00D93342"/>
    <w:rsid w:val="00D93415"/>
    <w:rsid w:val="00D94D4B"/>
    <w:rsid w:val="00D94E0E"/>
    <w:rsid w:val="00D94F54"/>
    <w:rsid w:val="00D950AF"/>
    <w:rsid w:val="00D9545B"/>
    <w:rsid w:val="00D9553A"/>
    <w:rsid w:val="00D957EB"/>
    <w:rsid w:val="00D95BCF"/>
    <w:rsid w:val="00D95FC2"/>
    <w:rsid w:val="00D961EE"/>
    <w:rsid w:val="00D97077"/>
    <w:rsid w:val="00D971AA"/>
    <w:rsid w:val="00D97308"/>
    <w:rsid w:val="00D9740F"/>
    <w:rsid w:val="00D97A89"/>
    <w:rsid w:val="00D97BA1"/>
    <w:rsid w:val="00D97D8B"/>
    <w:rsid w:val="00DA09FC"/>
    <w:rsid w:val="00DA1779"/>
    <w:rsid w:val="00DA1EE5"/>
    <w:rsid w:val="00DA263F"/>
    <w:rsid w:val="00DA2A54"/>
    <w:rsid w:val="00DA3D60"/>
    <w:rsid w:val="00DA44CF"/>
    <w:rsid w:val="00DA47B9"/>
    <w:rsid w:val="00DA51F4"/>
    <w:rsid w:val="00DA59D2"/>
    <w:rsid w:val="00DA60CB"/>
    <w:rsid w:val="00DA669D"/>
    <w:rsid w:val="00DA776F"/>
    <w:rsid w:val="00DA7B84"/>
    <w:rsid w:val="00DB1749"/>
    <w:rsid w:val="00DB1FEA"/>
    <w:rsid w:val="00DB2B7E"/>
    <w:rsid w:val="00DB328A"/>
    <w:rsid w:val="00DB33D2"/>
    <w:rsid w:val="00DB36D2"/>
    <w:rsid w:val="00DB4099"/>
    <w:rsid w:val="00DB42F9"/>
    <w:rsid w:val="00DB452C"/>
    <w:rsid w:val="00DB476D"/>
    <w:rsid w:val="00DB47C5"/>
    <w:rsid w:val="00DB5719"/>
    <w:rsid w:val="00DB5D19"/>
    <w:rsid w:val="00DB5E4A"/>
    <w:rsid w:val="00DB6042"/>
    <w:rsid w:val="00DB624E"/>
    <w:rsid w:val="00DB6888"/>
    <w:rsid w:val="00DB7A4B"/>
    <w:rsid w:val="00DC02EA"/>
    <w:rsid w:val="00DC0A52"/>
    <w:rsid w:val="00DC0BDC"/>
    <w:rsid w:val="00DC0E65"/>
    <w:rsid w:val="00DC0F49"/>
    <w:rsid w:val="00DC1103"/>
    <w:rsid w:val="00DC1117"/>
    <w:rsid w:val="00DC13E6"/>
    <w:rsid w:val="00DC1CA6"/>
    <w:rsid w:val="00DC20CF"/>
    <w:rsid w:val="00DC224D"/>
    <w:rsid w:val="00DC2259"/>
    <w:rsid w:val="00DC2623"/>
    <w:rsid w:val="00DC2FC1"/>
    <w:rsid w:val="00DC30AE"/>
    <w:rsid w:val="00DC31CC"/>
    <w:rsid w:val="00DC37FD"/>
    <w:rsid w:val="00DC3A8D"/>
    <w:rsid w:val="00DC4BFD"/>
    <w:rsid w:val="00DC59AE"/>
    <w:rsid w:val="00DC6E61"/>
    <w:rsid w:val="00DC76C3"/>
    <w:rsid w:val="00DC77BF"/>
    <w:rsid w:val="00DC7A5D"/>
    <w:rsid w:val="00DC7BDA"/>
    <w:rsid w:val="00DC7E69"/>
    <w:rsid w:val="00DD02C0"/>
    <w:rsid w:val="00DD0DCC"/>
    <w:rsid w:val="00DD1B83"/>
    <w:rsid w:val="00DD1EC6"/>
    <w:rsid w:val="00DD2821"/>
    <w:rsid w:val="00DD2BAF"/>
    <w:rsid w:val="00DD2E32"/>
    <w:rsid w:val="00DD3308"/>
    <w:rsid w:val="00DD3316"/>
    <w:rsid w:val="00DD38FE"/>
    <w:rsid w:val="00DD40D7"/>
    <w:rsid w:val="00DD42D8"/>
    <w:rsid w:val="00DD460E"/>
    <w:rsid w:val="00DD4F5E"/>
    <w:rsid w:val="00DD5ADD"/>
    <w:rsid w:val="00DD5E57"/>
    <w:rsid w:val="00DD6DFD"/>
    <w:rsid w:val="00DD6E32"/>
    <w:rsid w:val="00DD70A2"/>
    <w:rsid w:val="00DD7695"/>
    <w:rsid w:val="00DE02B8"/>
    <w:rsid w:val="00DE02BE"/>
    <w:rsid w:val="00DE146E"/>
    <w:rsid w:val="00DE1B0C"/>
    <w:rsid w:val="00DE2B78"/>
    <w:rsid w:val="00DE3385"/>
    <w:rsid w:val="00DE3554"/>
    <w:rsid w:val="00DE38A1"/>
    <w:rsid w:val="00DE4502"/>
    <w:rsid w:val="00DE4638"/>
    <w:rsid w:val="00DE4651"/>
    <w:rsid w:val="00DE4983"/>
    <w:rsid w:val="00DE6149"/>
    <w:rsid w:val="00DE6569"/>
    <w:rsid w:val="00DE66D7"/>
    <w:rsid w:val="00DE6A04"/>
    <w:rsid w:val="00DE6AAE"/>
    <w:rsid w:val="00DE7265"/>
    <w:rsid w:val="00DE7525"/>
    <w:rsid w:val="00DE7BDC"/>
    <w:rsid w:val="00DF048D"/>
    <w:rsid w:val="00DF1251"/>
    <w:rsid w:val="00DF1298"/>
    <w:rsid w:val="00DF16EB"/>
    <w:rsid w:val="00DF1791"/>
    <w:rsid w:val="00DF1AD3"/>
    <w:rsid w:val="00DF2353"/>
    <w:rsid w:val="00DF2C54"/>
    <w:rsid w:val="00DF3837"/>
    <w:rsid w:val="00DF3AB2"/>
    <w:rsid w:val="00DF49D8"/>
    <w:rsid w:val="00DF6677"/>
    <w:rsid w:val="00DF6FBC"/>
    <w:rsid w:val="00DF78B2"/>
    <w:rsid w:val="00DF7DD5"/>
    <w:rsid w:val="00DF7ED4"/>
    <w:rsid w:val="00E0054D"/>
    <w:rsid w:val="00E00868"/>
    <w:rsid w:val="00E00898"/>
    <w:rsid w:val="00E01CB2"/>
    <w:rsid w:val="00E01D44"/>
    <w:rsid w:val="00E01DD2"/>
    <w:rsid w:val="00E020A9"/>
    <w:rsid w:val="00E02546"/>
    <w:rsid w:val="00E0272B"/>
    <w:rsid w:val="00E02CFF"/>
    <w:rsid w:val="00E02E2F"/>
    <w:rsid w:val="00E03343"/>
    <w:rsid w:val="00E03938"/>
    <w:rsid w:val="00E03CBD"/>
    <w:rsid w:val="00E04877"/>
    <w:rsid w:val="00E04C45"/>
    <w:rsid w:val="00E04D1C"/>
    <w:rsid w:val="00E05681"/>
    <w:rsid w:val="00E0576B"/>
    <w:rsid w:val="00E058EB"/>
    <w:rsid w:val="00E05A89"/>
    <w:rsid w:val="00E05FA9"/>
    <w:rsid w:val="00E0628E"/>
    <w:rsid w:val="00E06460"/>
    <w:rsid w:val="00E06826"/>
    <w:rsid w:val="00E0689E"/>
    <w:rsid w:val="00E073CF"/>
    <w:rsid w:val="00E07BA5"/>
    <w:rsid w:val="00E07F31"/>
    <w:rsid w:val="00E103E5"/>
    <w:rsid w:val="00E10C42"/>
    <w:rsid w:val="00E11C13"/>
    <w:rsid w:val="00E11F04"/>
    <w:rsid w:val="00E12535"/>
    <w:rsid w:val="00E12D4A"/>
    <w:rsid w:val="00E12D89"/>
    <w:rsid w:val="00E13167"/>
    <w:rsid w:val="00E132D0"/>
    <w:rsid w:val="00E1340B"/>
    <w:rsid w:val="00E13999"/>
    <w:rsid w:val="00E13EF3"/>
    <w:rsid w:val="00E14108"/>
    <w:rsid w:val="00E1493B"/>
    <w:rsid w:val="00E149D3"/>
    <w:rsid w:val="00E14EE9"/>
    <w:rsid w:val="00E15082"/>
    <w:rsid w:val="00E15217"/>
    <w:rsid w:val="00E15282"/>
    <w:rsid w:val="00E1557E"/>
    <w:rsid w:val="00E15F3D"/>
    <w:rsid w:val="00E161AD"/>
    <w:rsid w:val="00E16D18"/>
    <w:rsid w:val="00E16E3C"/>
    <w:rsid w:val="00E17050"/>
    <w:rsid w:val="00E17DB2"/>
    <w:rsid w:val="00E17F53"/>
    <w:rsid w:val="00E211FF"/>
    <w:rsid w:val="00E21463"/>
    <w:rsid w:val="00E21479"/>
    <w:rsid w:val="00E21BA1"/>
    <w:rsid w:val="00E21DB7"/>
    <w:rsid w:val="00E2256E"/>
    <w:rsid w:val="00E24195"/>
    <w:rsid w:val="00E24567"/>
    <w:rsid w:val="00E25124"/>
    <w:rsid w:val="00E25239"/>
    <w:rsid w:val="00E25A4F"/>
    <w:rsid w:val="00E2603B"/>
    <w:rsid w:val="00E261F8"/>
    <w:rsid w:val="00E2664B"/>
    <w:rsid w:val="00E268EB"/>
    <w:rsid w:val="00E26973"/>
    <w:rsid w:val="00E26E57"/>
    <w:rsid w:val="00E27467"/>
    <w:rsid w:val="00E302E2"/>
    <w:rsid w:val="00E303A9"/>
    <w:rsid w:val="00E3043D"/>
    <w:rsid w:val="00E30628"/>
    <w:rsid w:val="00E30883"/>
    <w:rsid w:val="00E31251"/>
    <w:rsid w:val="00E31476"/>
    <w:rsid w:val="00E32231"/>
    <w:rsid w:val="00E324AD"/>
    <w:rsid w:val="00E32F9A"/>
    <w:rsid w:val="00E333FB"/>
    <w:rsid w:val="00E3342D"/>
    <w:rsid w:val="00E33683"/>
    <w:rsid w:val="00E33734"/>
    <w:rsid w:val="00E33C47"/>
    <w:rsid w:val="00E33C7F"/>
    <w:rsid w:val="00E33EE3"/>
    <w:rsid w:val="00E3440F"/>
    <w:rsid w:val="00E347F0"/>
    <w:rsid w:val="00E35085"/>
    <w:rsid w:val="00E35094"/>
    <w:rsid w:val="00E35693"/>
    <w:rsid w:val="00E356FF"/>
    <w:rsid w:val="00E3584D"/>
    <w:rsid w:val="00E36CFA"/>
    <w:rsid w:val="00E36EB2"/>
    <w:rsid w:val="00E36F56"/>
    <w:rsid w:val="00E377A0"/>
    <w:rsid w:val="00E4060A"/>
    <w:rsid w:val="00E4083B"/>
    <w:rsid w:val="00E40AEB"/>
    <w:rsid w:val="00E40F9D"/>
    <w:rsid w:val="00E4122C"/>
    <w:rsid w:val="00E417D0"/>
    <w:rsid w:val="00E422C4"/>
    <w:rsid w:val="00E429EC"/>
    <w:rsid w:val="00E42BA3"/>
    <w:rsid w:val="00E43330"/>
    <w:rsid w:val="00E4341C"/>
    <w:rsid w:val="00E439F8"/>
    <w:rsid w:val="00E43AD8"/>
    <w:rsid w:val="00E43DC4"/>
    <w:rsid w:val="00E43DF0"/>
    <w:rsid w:val="00E4431C"/>
    <w:rsid w:val="00E449F6"/>
    <w:rsid w:val="00E44CD4"/>
    <w:rsid w:val="00E450A6"/>
    <w:rsid w:val="00E455AB"/>
    <w:rsid w:val="00E45B91"/>
    <w:rsid w:val="00E46B50"/>
    <w:rsid w:val="00E46B92"/>
    <w:rsid w:val="00E46C57"/>
    <w:rsid w:val="00E46D9B"/>
    <w:rsid w:val="00E47385"/>
    <w:rsid w:val="00E50342"/>
    <w:rsid w:val="00E50533"/>
    <w:rsid w:val="00E508F6"/>
    <w:rsid w:val="00E50D34"/>
    <w:rsid w:val="00E50F7B"/>
    <w:rsid w:val="00E51467"/>
    <w:rsid w:val="00E5176B"/>
    <w:rsid w:val="00E51B5D"/>
    <w:rsid w:val="00E51CB9"/>
    <w:rsid w:val="00E528BA"/>
    <w:rsid w:val="00E53671"/>
    <w:rsid w:val="00E539CD"/>
    <w:rsid w:val="00E53CAB"/>
    <w:rsid w:val="00E53D6A"/>
    <w:rsid w:val="00E540EA"/>
    <w:rsid w:val="00E5446B"/>
    <w:rsid w:val="00E55339"/>
    <w:rsid w:val="00E55538"/>
    <w:rsid w:val="00E55ADF"/>
    <w:rsid w:val="00E565C2"/>
    <w:rsid w:val="00E56E95"/>
    <w:rsid w:val="00E56ECC"/>
    <w:rsid w:val="00E5731F"/>
    <w:rsid w:val="00E57F05"/>
    <w:rsid w:val="00E57F9B"/>
    <w:rsid w:val="00E60269"/>
    <w:rsid w:val="00E60586"/>
    <w:rsid w:val="00E60679"/>
    <w:rsid w:val="00E6073C"/>
    <w:rsid w:val="00E60C32"/>
    <w:rsid w:val="00E616A2"/>
    <w:rsid w:val="00E627F6"/>
    <w:rsid w:val="00E62907"/>
    <w:rsid w:val="00E632C3"/>
    <w:rsid w:val="00E63398"/>
    <w:rsid w:val="00E63E8A"/>
    <w:rsid w:val="00E63F1D"/>
    <w:rsid w:val="00E646D5"/>
    <w:rsid w:val="00E64A75"/>
    <w:rsid w:val="00E64B1B"/>
    <w:rsid w:val="00E65779"/>
    <w:rsid w:val="00E6602D"/>
    <w:rsid w:val="00E6603D"/>
    <w:rsid w:val="00E67336"/>
    <w:rsid w:val="00E67343"/>
    <w:rsid w:val="00E67E86"/>
    <w:rsid w:val="00E7009F"/>
    <w:rsid w:val="00E70752"/>
    <w:rsid w:val="00E7153E"/>
    <w:rsid w:val="00E71650"/>
    <w:rsid w:val="00E72A7F"/>
    <w:rsid w:val="00E72EC2"/>
    <w:rsid w:val="00E73243"/>
    <w:rsid w:val="00E7372A"/>
    <w:rsid w:val="00E74926"/>
    <w:rsid w:val="00E752A1"/>
    <w:rsid w:val="00E753AA"/>
    <w:rsid w:val="00E75A9D"/>
    <w:rsid w:val="00E75E7C"/>
    <w:rsid w:val="00E76513"/>
    <w:rsid w:val="00E76A32"/>
    <w:rsid w:val="00E76C5E"/>
    <w:rsid w:val="00E803C3"/>
    <w:rsid w:val="00E80872"/>
    <w:rsid w:val="00E80E74"/>
    <w:rsid w:val="00E80EFB"/>
    <w:rsid w:val="00E81274"/>
    <w:rsid w:val="00E81B34"/>
    <w:rsid w:val="00E81B8E"/>
    <w:rsid w:val="00E81EBF"/>
    <w:rsid w:val="00E81ED7"/>
    <w:rsid w:val="00E8219D"/>
    <w:rsid w:val="00E825C6"/>
    <w:rsid w:val="00E82941"/>
    <w:rsid w:val="00E83371"/>
    <w:rsid w:val="00E8377F"/>
    <w:rsid w:val="00E84955"/>
    <w:rsid w:val="00E8543E"/>
    <w:rsid w:val="00E855CE"/>
    <w:rsid w:val="00E8607A"/>
    <w:rsid w:val="00E8623F"/>
    <w:rsid w:val="00E8704B"/>
    <w:rsid w:val="00E87631"/>
    <w:rsid w:val="00E878BE"/>
    <w:rsid w:val="00E87B3E"/>
    <w:rsid w:val="00E87B69"/>
    <w:rsid w:val="00E87D52"/>
    <w:rsid w:val="00E87F00"/>
    <w:rsid w:val="00E87F4D"/>
    <w:rsid w:val="00E90555"/>
    <w:rsid w:val="00E907BE"/>
    <w:rsid w:val="00E9176F"/>
    <w:rsid w:val="00E91942"/>
    <w:rsid w:val="00E91FBA"/>
    <w:rsid w:val="00E9222C"/>
    <w:rsid w:val="00E92248"/>
    <w:rsid w:val="00E9229E"/>
    <w:rsid w:val="00E925E4"/>
    <w:rsid w:val="00E92F79"/>
    <w:rsid w:val="00E933EB"/>
    <w:rsid w:val="00E937CF"/>
    <w:rsid w:val="00E9427A"/>
    <w:rsid w:val="00E9439E"/>
    <w:rsid w:val="00E9522B"/>
    <w:rsid w:val="00E9558B"/>
    <w:rsid w:val="00E95D1B"/>
    <w:rsid w:val="00E9623E"/>
    <w:rsid w:val="00E9649D"/>
    <w:rsid w:val="00E969F0"/>
    <w:rsid w:val="00EA06D7"/>
    <w:rsid w:val="00EA09FE"/>
    <w:rsid w:val="00EA0A9B"/>
    <w:rsid w:val="00EA0D79"/>
    <w:rsid w:val="00EA175D"/>
    <w:rsid w:val="00EA2523"/>
    <w:rsid w:val="00EA2EFA"/>
    <w:rsid w:val="00EA32BF"/>
    <w:rsid w:val="00EA3852"/>
    <w:rsid w:val="00EA50D6"/>
    <w:rsid w:val="00EA5714"/>
    <w:rsid w:val="00EA7070"/>
    <w:rsid w:val="00EA7662"/>
    <w:rsid w:val="00EB016F"/>
    <w:rsid w:val="00EB0635"/>
    <w:rsid w:val="00EB06EB"/>
    <w:rsid w:val="00EB0798"/>
    <w:rsid w:val="00EB0B50"/>
    <w:rsid w:val="00EB0C4A"/>
    <w:rsid w:val="00EB13E0"/>
    <w:rsid w:val="00EB222C"/>
    <w:rsid w:val="00EB33F4"/>
    <w:rsid w:val="00EB3B9C"/>
    <w:rsid w:val="00EB3C8F"/>
    <w:rsid w:val="00EB4242"/>
    <w:rsid w:val="00EB4C04"/>
    <w:rsid w:val="00EB4CA7"/>
    <w:rsid w:val="00EB4D10"/>
    <w:rsid w:val="00EB5E24"/>
    <w:rsid w:val="00EB5E87"/>
    <w:rsid w:val="00EB649D"/>
    <w:rsid w:val="00EB6C6B"/>
    <w:rsid w:val="00EB6E0D"/>
    <w:rsid w:val="00EB7363"/>
    <w:rsid w:val="00EB7714"/>
    <w:rsid w:val="00EB7A49"/>
    <w:rsid w:val="00EB7B5B"/>
    <w:rsid w:val="00EB7C4B"/>
    <w:rsid w:val="00EC0BAD"/>
    <w:rsid w:val="00EC1320"/>
    <w:rsid w:val="00EC1406"/>
    <w:rsid w:val="00EC225B"/>
    <w:rsid w:val="00EC2677"/>
    <w:rsid w:val="00EC2DAB"/>
    <w:rsid w:val="00EC36F2"/>
    <w:rsid w:val="00EC40B3"/>
    <w:rsid w:val="00EC476F"/>
    <w:rsid w:val="00EC486B"/>
    <w:rsid w:val="00EC48D7"/>
    <w:rsid w:val="00EC4B7C"/>
    <w:rsid w:val="00EC4BB6"/>
    <w:rsid w:val="00EC4F33"/>
    <w:rsid w:val="00EC5634"/>
    <w:rsid w:val="00EC68DA"/>
    <w:rsid w:val="00EC7129"/>
    <w:rsid w:val="00EC76CF"/>
    <w:rsid w:val="00ED0270"/>
    <w:rsid w:val="00ED0721"/>
    <w:rsid w:val="00ED07A3"/>
    <w:rsid w:val="00ED11C5"/>
    <w:rsid w:val="00ED1924"/>
    <w:rsid w:val="00ED1DED"/>
    <w:rsid w:val="00ED1E35"/>
    <w:rsid w:val="00ED1EEE"/>
    <w:rsid w:val="00ED2C8F"/>
    <w:rsid w:val="00ED2D4A"/>
    <w:rsid w:val="00ED2DB6"/>
    <w:rsid w:val="00ED304F"/>
    <w:rsid w:val="00ED47C8"/>
    <w:rsid w:val="00ED4A56"/>
    <w:rsid w:val="00ED4BF7"/>
    <w:rsid w:val="00ED4FB2"/>
    <w:rsid w:val="00ED507D"/>
    <w:rsid w:val="00ED6F17"/>
    <w:rsid w:val="00ED76F1"/>
    <w:rsid w:val="00ED7BC1"/>
    <w:rsid w:val="00EE148A"/>
    <w:rsid w:val="00EE1C1C"/>
    <w:rsid w:val="00EE1C6D"/>
    <w:rsid w:val="00EE2406"/>
    <w:rsid w:val="00EE2431"/>
    <w:rsid w:val="00EE24DB"/>
    <w:rsid w:val="00EE24FB"/>
    <w:rsid w:val="00EE2D3F"/>
    <w:rsid w:val="00EE2FC2"/>
    <w:rsid w:val="00EE3270"/>
    <w:rsid w:val="00EE3367"/>
    <w:rsid w:val="00EE3730"/>
    <w:rsid w:val="00EE3DA2"/>
    <w:rsid w:val="00EE43C0"/>
    <w:rsid w:val="00EE4452"/>
    <w:rsid w:val="00EE4C7E"/>
    <w:rsid w:val="00EE4FEB"/>
    <w:rsid w:val="00EE51DB"/>
    <w:rsid w:val="00EE556D"/>
    <w:rsid w:val="00EE5713"/>
    <w:rsid w:val="00EE592A"/>
    <w:rsid w:val="00EE5DBE"/>
    <w:rsid w:val="00EE6128"/>
    <w:rsid w:val="00EE6184"/>
    <w:rsid w:val="00EE7607"/>
    <w:rsid w:val="00EE7A2C"/>
    <w:rsid w:val="00EE7BEB"/>
    <w:rsid w:val="00EF0209"/>
    <w:rsid w:val="00EF0E5D"/>
    <w:rsid w:val="00EF0F3B"/>
    <w:rsid w:val="00EF20F2"/>
    <w:rsid w:val="00EF2141"/>
    <w:rsid w:val="00EF2240"/>
    <w:rsid w:val="00EF2F99"/>
    <w:rsid w:val="00EF3069"/>
    <w:rsid w:val="00EF3482"/>
    <w:rsid w:val="00EF352E"/>
    <w:rsid w:val="00EF3A6B"/>
    <w:rsid w:val="00EF3DE5"/>
    <w:rsid w:val="00EF4C4E"/>
    <w:rsid w:val="00EF51B0"/>
    <w:rsid w:val="00EF57A5"/>
    <w:rsid w:val="00EF5811"/>
    <w:rsid w:val="00EF5987"/>
    <w:rsid w:val="00EF6556"/>
    <w:rsid w:val="00EF6F14"/>
    <w:rsid w:val="00F002EF"/>
    <w:rsid w:val="00F012A8"/>
    <w:rsid w:val="00F01565"/>
    <w:rsid w:val="00F01733"/>
    <w:rsid w:val="00F020BB"/>
    <w:rsid w:val="00F0319D"/>
    <w:rsid w:val="00F03323"/>
    <w:rsid w:val="00F0385E"/>
    <w:rsid w:val="00F04D91"/>
    <w:rsid w:val="00F04E2E"/>
    <w:rsid w:val="00F05C43"/>
    <w:rsid w:val="00F066C8"/>
    <w:rsid w:val="00F06C0B"/>
    <w:rsid w:val="00F07089"/>
    <w:rsid w:val="00F07A0C"/>
    <w:rsid w:val="00F07BE2"/>
    <w:rsid w:val="00F07E6E"/>
    <w:rsid w:val="00F07F28"/>
    <w:rsid w:val="00F102EC"/>
    <w:rsid w:val="00F10548"/>
    <w:rsid w:val="00F105A7"/>
    <w:rsid w:val="00F106F3"/>
    <w:rsid w:val="00F108D6"/>
    <w:rsid w:val="00F11001"/>
    <w:rsid w:val="00F117A0"/>
    <w:rsid w:val="00F1232F"/>
    <w:rsid w:val="00F12994"/>
    <w:rsid w:val="00F12D86"/>
    <w:rsid w:val="00F12DF2"/>
    <w:rsid w:val="00F13058"/>
    <w:rsid w:val="00F13B05"/>
    <w:rsid w:val="00F13F47"/>
    <w:rsid w:val="00F142D6"/>
    <w:rsid w:val="00F147B0"/>
    <w:rsid w:val="00F14A46"/>
    <w:rsid w:val="00F14BCA"/>
    <w:rsid w:val="00F154D4"/>
    <w:rsid w:val="00F15AF2"/>
    <w:rsid w:val="00F15F1E"/>
    <w:rsid w:val="00F1643F"/>
    <w:rsid w:val="00F16B06"/>
    <w:rsid w:val="00F16E49"/>
    <w:rsid w:val="00F177C6"/>
    <w:rsid w:val="00F178AB"/>
    <w:rsid w:val="00F17B16"/>
    <w:rsid w:val="00F17F5B"/>
    <w:rsid w:val="00F2034E"/>
    <w:rsid w:val="00F20EA1"/>
    <w:rsid w:val="00F20F16"/>
    <w:rsid w:val="00F21290"/>
    <w:rsid w:val="00F219DB"/>
    <w:rsid w:val="00F21B53"/>
    <w:rsid w:val="00F2214E"/>
    <w:rsid w:val="00F231A1"/>
    <w:rsid w:val="00F23230"/>
    <w:rsid w:val="00F235C1"/>
    <w:rsid w:val="00F23DBA"/>
    <w:rsid w:val="00F23E5B"/>
    <w:rsid w:val="00F23F33"/>
    <w:rsid w:val="00F24A7D"/>
    <w:rsid w:val="00F25334"/>
    <w:rsid w:val="00F25416"/>
    <w:rsid w:val="00F25EC4"/>
    <w:rsid w:val="00F2606A"/>
    <w:rsid w:val="00F26092"/>
    <w:rsid w:val="00F26538"/>
    <w:rsid w:val="00F26808"/>
    <w:rsid w:val="00F268A4"/>
    <w:rsid w:val="00F26EE2"/>
    <w:rsid w:val="00F270D4"/>
    <w:rsid w:val="00F27C4F"/>
    <w:rsid w:val="00F307CC"/>
    <w:rsid w:val="00F30BBA"/>
    <w:rsid w:val="00F31259"/>
    <w:rsid w:val="00F31584"/>
    <w:rsid w:val="00F31630"/>
    <w:rsid w:val="00F3322B"/>
    <w:rsid w:val="00F34A95"/>
    <w:rsid w:val="00F34C99"/>
    <w:rsid w:val="00F34F03"/>
    <w:rsid w:val="00F353F7"/>
    <w:rsid w:val="00F35CF9"/>
    <w:rsid w:val="00F36007"/>
    <w:rsid w:val="00F3623B"/>
    <w:rsid w:val="00F367AD"/>
    <w:rsid w:val="00F36816"/>
    <w:rsid w:val="00F36FED"/>
    <w:rsid w:val="00F37072"/>
    <w:rsid w:val="00F40CF9"/>
    <w:rsid w:val="00F40F5F"/>
    <w:rsid w:val="00F4221B"/>
    <w:rsid w:val="00F4233C"/>
    <w:rsid w:val="00F427D5"/>
    <w:rsid w:val="00F439BB"/>
    <w:rsid w:val="00F43FCA"/>
    <w:rsid w:val="00F44640"/>
    <w:rsid w:val="00F449D7"/>
    <w:rsid w:val="00F455B8"/>
    <w:rsid w:val="00F4573E"/>
    <w:rsid w:val="00F45F5E"/>
    <w:rsid w:val="00F461AE"/>
    <w:rsid w:val="00F46B1C"/>
    <w:rsid w:val="00F46CA0"/>
    <w:rsid w:val="00F46D8C"/>
    <w:rsid w:val="00F47D6C"/>
    <w:rsid w:val="00F51106"/>
    <w:rsid w:val="00F51A00"/>
    <w:rsid w:val="00F51B88"/>
    <w:rsid w:val="00F52A4C"/>
    <w:rsid w:val="00F534D3"/>
    <w:rsid w:val="00F534ED"/>
    <w:rsid w:val="00F53968"/>
    <w:rsid w:val="00F53BAF"/>
    <w:rsid w:val="00F5421D"/>
    <w:rsid w:val="00F5470A"/>
    <w:rsid w:val="00F55A8B"/>
    <w:rsid w:val="00F562BE"/>
    <w:rsid w:val="00F567A9"/>
    <w:rsid w:val="00F56A51"/>
    <w:rsid w:val="00F56D0D"/>
    <w:rsid w:val="00F570FA"/>
    <w:rsid w:val="00F60458"/>
    <w:rsid w:val="00F60DF3"/>
    <w:rsid w:val="00F61026"/>
    <w:rsid w:val="00F613D5"/>
    <w:rsid w:val="00F61567"/>
    <w:rsid w:val="00F61AC8"/>
    <w:rsid w:val="00F61C20"/>
    <w:rsid w:val="00F62057"/>
    <w:rsid w:val="00F62582"/>
    <w:rsid w:val="00F64DC6"/>
    <w:rsid w:val="00F64F14"/>
    <w:rsid w:val="00F658CB"/>
    <w:rsid w:val="00F65BCB"/>
    <w:rsid w:val="00F66D31"/>
    <w:rsid w:val="00F67567"/>
    <w:rsid w:val="00F67C01"/>
    <w:rsid w:val="00F67C2B"/>
    <w:rsid w:val="00F709F5"/>
    <w:rsid w:val="00F7114B"/>
    <w:rsid w:val="00F71E7A"/>
    <w:rsid w:val="00F721EF"/>
    <w:rsid w:val="00F72203"/>
    <w:rsid w:val="00F72301"/>
    <w:rsid w:val="00F72599"/>
    <w:rsid w:val="00F72AC2"/>
    <w:rsid w:val="00F72BF8"/>
    <w:rsid w:val="00F74168"/>
    <w:rsid w:val="00F742F1"/>
    <w:rsid w:val="00F74339"/>
    <w:rsid w:val="00F747FA"/>
    <w:rsid w:val="00F74871"/>
    <w:rsid w:val="00F7566E"/>
    <w:rsid w:val="00F76037"/>
    <w:rsid w:val="00F773B7"/>
    <w:rsid w:val="00F77724"/>
    <w:rsid w:val="00F7772A"/>
    <w:rsid w:val="00F777F7"/>
    <w:rsid w:val="00F77839"/>
    <w:rsid w:val="00F77995"/>
    <w:rsid w:val="00F77AB9"/>
    <w:rsid w:val="00F8097D"/>
    <w:rsid w:val="00F811B9"/>
    <w:rsid w:val="00F814F1"/>
    <w:rsid w:val="00F815CC"/>
    <w:rsid w:val="00F817E9"/>
    <w:rsid w:val="00F818AC"/>
    <w:rsid w:val="00F81A57"/>
    <w:rsid w:val="00F8246A"/>
    <w:rsid w:val="00F8285E"/>
    <w:rsid w:val="00F82F00"/>
    <w:rsid w:val="00F82FA7"/>
    <w:rsid w:val="00F8336F"/>
    <w:rsid w:val="00F83ED9"/>
    <w:rsid w:val="00F84796"/>
    <w:rsid w:val="00F85096"/>
    <w:rsid w:val="00F856ED"/>
    <w:rsid w:val="00F8574D"/>
    <w:rsid w:val="00F85B2B"/>
    <w:rsid w:val="00F85DEC"/>
    <w:rsid w:val="00F8615F"/>
    <w:rsid w:val="00F86637"/>
    <w:rsid w:val="00F86D4E"/>
    <w:rsid w:val="00F86E6F"/>
    <w:rsid w:val="00F87BEF"/>
    <w:rsid w:val="00F902F3"/>
    <w:rsid w:val="00F90C13"/>
    <w:rsid w:val="00F90DD7"/>
    <w:rsid w:val="00F91164"/>
    <w:rsid w:val="00F91524"/>
    <w:rsid w:val="00F92138"/>
    <w:rsid w:val="00F9270B"/>
    <w:rsid w:val="00F9275A"/>
    <w:rsid w:val="00F92AB1"/>
    <w:rsid w:val="00F92B0F"/>
    <w:rsid w:val="00F92C57"/>
    <w:rsid w:val="00F92D2C"/>
    <w:rsid w:val="00F92F53"/>
    <w:rsid w:val="00F93043"/>
    <w:rsid w:val="00F9310D"/>
    <w:rsid w:val="00F93D6C"/>
    <w:rsid w:val="00F93FCF"/>
    <w:rsid w:val="00F94068"/>
    <w:rsid w:val="00F9489A"/>
    <w:rsid w:val="00F9536B"/>
    <w:rsid w:val="00F95E59"/>
    <w:rsid w:val="00F963DB"/>
    <w:rsid w:val="00F96A71"/>
    <w:rsid w:val="00F96ACA"/>
    <w:rsid w:val="00F96D24"/>
    <w:rsid w:val="00F97491"/>
    <w:rsid w:val="00F97BFD"/>
    <w:rsid w:val="00F97E96"/>
    <w:rsid w:val="00FA02C5"/>
    <w:rsid w:val="00FA1AEC"/>
    <w:rsid w:val="00FA26E3"/>
    <w:rsid w:val="00FA26ED"/>
    <w:rsid w:val="00FA44FB"/>
    <w:rsid w:val="00FA5580"/>
    <w:rsid w:val="00FA5BFC"/>
    <w:rsid w:val="00FA5F42"/>
    <w:rsid w:val="00FA620B"/>
    <w:rsid w:val="00FA6361"/>
    <w:rsid w:val="00FA69C3"/>
    <w:rsid w:val="00FA69E4"/>
    <w:rsid w:val="00FA6AAC"/>
    <w:rsid w:val="00FA6CBC"/>
    <w:rsid w:val="00FA6D48"/>
    <w:rsid w:val="00FA7398"/>
    <w:rsid w:val="00FA7EC0"/>
    <w:rsid w:val="00FB0BB2"/>
    <w:rsid w:val="00FB0CE0"/>
    <w:rsid w:val="00FB1582"/>
    <w:rsid w:val="00FB1938"/>
    <w:rsid w:val="00FB1AD3"/>
    <w:rsid w:val="00FB1C3A"/>
    <w:rsid w:val="00FB349A"/>
    <w:rsid w:val="00FB38BE"/>
    <w:rsid w:val="00FB3E1A"/>
    <w:rsid w:val="00FB448D"/>
    <w:rsid w:val="00FB4E5B"/>
    <w:rsid w:val="00FB5808"/>
    <w:rsid w:val="00FB6C88"/>
    <w:rsid w:val="00FB6DFE"/>
    <w:rsid w:val="00FB7CC7"/>
    <w:rsid w:val="00FC072E"/>
    <w:rsid w:val="00FC0921"/>
    <w:rsid w:val="00FC11A9"/>
    <w:rsid w:val="00FC1C6F"/>
    <w:rsid w:val="00FC25F7"/>
    <w:rsid w:val="00FC266E"/>
    <w:rsid w:val="00FC2921"/>
    <w:rsid w:val="00FC2A88"/>
    <w:rsid w:val="00FC2E53"/>
    <w:rsid w:val="00FC30E2"/>
    <w:rsid w:val="00FC3A30"/>
    <w:rsid w:val="00FC3B2B"/>
    <w:rsid w:val="00FC3CC4"/>
    <w:rsid w:val="00FC3E24"/>
    <w:rsid w:val="00FC5249"/>
    <w:rsid w:val="00FC551E"/>
    <w:rsid w:val="00FC5613"/>
    <w:rsid w:val="00FC5790"/>
    <w:rsid w:val="00FC5D6A"/>
    <w:rsid w:val="00FC6969"/>
    <w:rsid w:val="00FC6A12"/>
    <w:rsid w:val="00FC6D98"/>
    <w:rsid w:val="00FC6DD7"/>
    <w:rsid w:val="00FC759D"/>
    <w:rsid w:val="00FD039F"/>
    <w:rsid w:val="00FD0721"/>
    <w:rsid w:val="00FD1153"/>
    <w:rsid w:val="00FD13D5"/>
    <w:rsid w:val="00FD1995"/>
    <w:rsid w:val="00FD1D02"/>
    <w:rsid w:val="00FD1FF6"/>
    <w:rsid w:val="00FD25E1"/>
    <w:rsid w:val="00FD2B06"/>
    <w:rsid w:val="00FD2D75"/>
    <w:rsid w:val="00FD32CB"/>
    <w:rsid w:val="00FD37BD"/>
    <w:rsid w:val="00FD3C86"/>
    <w:rsid w:val="00FD3CAB"/>
    <w:rsid w:val="00FD40FF"/>
    <w:rsid w:val="00FD538C"/>
    <w:rsid w:val="00FD56F2"/>
    <w:rsid w:val="00FD5E1C"/>
    <w:rsid w:val="00FD62EB"/>
    <w:rsid w:val="00FD6327"/>
    <w:rsid w:val="00FD63DF"/>
    <w:rsid w:val="00FD6AB4"/>
    <w:rsid w:val="00FD7339"/>
    <w:rsid w:val="00FD7945"/>
    <w:rsid w:val="00FE02C1"/>
    <w:rsid w:val="00FE0B54"/>
    <w:rsid w:val="00FE0B5C"/>
    <w:rsid w:val="00FE1880"/>
    <w:rsid w:val="00FE1EB0"/>
    <w:rsid w:val="00FE2075"/>
    <w:rsid w:val="00FE23B0"/>
    <w:rsid w:val="00FE35A0"/>
    <w:rsid w:val="00FE3F8E"/>
    <w:rsid w:val="00FE47ED"/>
    <w:rsid w:val="00FE4AAD"/>
    <w:rsid w:val="00FE5206"/>
    <w:rsid w:val="00FE5330"/>
    <w:rsid w:val="00FE61DC"/>
    <w:rsid w:val="00FE67D0"/>
    <w:rsid w:val="00FE6D54"/>
    <w:rsid w:val="00FE7B01"/>
    <w:rsid w:val="00FF00BF"/>
    <w:rsid w:val="00FF081E"/>
    <w:rsid w:val="00FF0D09"/>
    <w:rsid w:val="00FF1187"/>
    <w:rsid w:val="00FF145C"/>
    <w:rsid w:val="00FF1BBA"/>
    <w:rsid w:val="00FF2151"/>
    <w:rsid w:val="00FF2318"/>
    <w:rsid w:val="00FF26EE"/>
    <w:rsid w:val="00FF2EC1"/>
    <w:rsid w:val="00FF3102"/>
    <w:rsid w:val="00FF3329"/>
    <w:rsid w:val="00FF3B3A"/>
    <w:rsid w:val="00FF41D8"/>
    <w:rsid w:val="00FF47A3"/>
    <w:rsid w:val="00FF4D23"/>
    <w:rsid w:val="00FF4D5B"/>
    <w:rsid w:val="00FF4F72"/>
    <w:rsid w:val="00FF602B"/>
    <w:rsid w:val="00FF6353"/>
    <w:rsid w:val="00FF6B39"/>
    <w:rsid w:val="00FF704A"/>
    <w:rsid w:val="00FF7512"/>
    <w:rsid w:val="00FF7846"/>
    <w:rsid w:val="00FF7877"/>
    <w:rsid w:val="01A00987"/>
    <w:rsid w:val="01E22426"/>
    <w:rsid w:val="020D3C1A"/>
    <w:rsid w:val="0374224D"/>
    <w:rsid w:val="06487D17"/>
    <w:rsid w:val="082D2F6D"/>
    <w:rsid w:val="0ABE42CD"/>
    <w:rsid w:val="0E8043C3"/>
    <w:rsid w:val="0E957615"/>
    <w:rsid w:val="0FBC449B"/>
    <w:rsid w:val="10B633EE"/>
    <w:rsid w:val="146D577A"/>
    <w:rsid w:val="155149B7"/>
    <w:rsid w:val="15660237"/>
    <w:rsid w:val="170D7768"/>
    <w:rsid w:val="1B14605A"/>
    <w:rsid w:val="1B653AA5"/>
    <w:rsid w:val="1C5A47BA"/>
    <w:rsid w:val="1F9F7418"/>
    <w:rsid w:val="1FC51B44"/>
    <w:rsid w:val="20834000"/>
    <w:rsid w:val="20BC46BC"/>
    <w:rsid w:val="22496224"/>
    <w:rsid w:val="2346218C"/>
    <w:rsid w:val="252D5D0B"/>
    <w:rsid w:val="25391312"/>
    <w:rsid w:val="27786C35"/>
    <w:rsid w:val="27B66FB5"/>
    <w:rsid w:val="28033FE5"/>
    <w:rsid w:val="293F0E03"/>
    <w:rsid w:val="2CC777C9"/>
    <w:rsid w:val="2CC97334"/>
    <w:rsid w:val="2D7C34A1"/>
    <w:rsid w:val="2DF132DD"/>
    <w:rsid w:val="319112CF"/>
    <w:rsid w:val="39114B69"/>
    <w:rsid w:val="39F92FE5"/>
    <w:rsid w:val="3B9E46D8"/>
    <w:rsid w:val="3BD64C87"/>
    <w:rsid w:val="3CD837E5"/>
    <w:rsid w:val="3E9C48D5"/>
    <w:rsid w:val="3F247A22"/>
    <w:rsid w:val="3F72313F"/>
    <w:rsid w:val="3FB60744"/>
    <w:rsid w:val="400023F4"/>
    <w:rsid w:val="41781449"/>
    <w:rsid w:val="41987860"/>
    <w:rsid w:val="43B44076"/>
    <w:rsid w:val="43C153C8"/>
    <w:rsid w:val="442E62F0"/>
    <w:rsid w:val="448F16EA"/>
    <w:rsid w:val="45016C4D"/>
    <w:rsid w:val="479B359E"/>
    <w:rsid w:val="48BB0FBE"/>
    <w:rsid w:val="4A547871"/>
    <w:rsid w:val="4C1A6517"/>
    <w:rsid w:val="53365A2E"/>
    <w:rsid w:val="53F93363"/>
    <w:rsid w:val="56E02D91"/>
    <w:rsid w:val="60430C20"/>
    <w:rsid w:val="621404C9"/>
    <w:rsid w:val="627B0A4B"/>
    <w:rsid w:val="63062951"/>
    <w:rsid w:val="641E3D35"/>
    <w:rsid w:val="6E8724D5"/>
    <w:rsid w:val="6E8D0A48"/>
    <w:rsid w:val="6EC85927"/>
    <w:rsid w:val="6F015577"/>
    <w:rsid w:val="713F48C6"/>
    <w:rsid w:val="71EA220A"/>
    <w:rsid w:val="747B31B7"/>
    <w:rsid w:val="747E1274"/>
    <w:rsid w:val="764B16E8"/>
    <w:rsid w:val="785B43D9"/>
    <w:rsid w:val="7AD05AE3"/>
    <w:rsid w:val="7C6F74C8"/>
    <w:rsid w:val="7D4B2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qFormat="1" w:unhideWhenUsed="0" w:uiPriority="0" w:semiHidden="0" w:name="toa heading"/>
    <w:lsdException w:uiPriority="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3">
    <w:name w:val="heading 1"/>
    <w:basedOn w:val="1"/>
    <w:next w:val="1"/>
    <w:link w:val="57"/>
    <w:qFormat/>
    <w:uiPriority w:val="0"/>
    <w:pPr>
      <w:keepNext w:val="0"/>
      <w:keepLines w:val="0"/>
      <w:spacing w:before="340" w:after="330" w:line="300" w:lineRule="auto"/>
      <w:jc w:val="center"/>
      <w:outlineLvl w:val="0"/>
    </w:pPr>
    <w:rPr>
      <w:rFonts w:eastAsia="黑体"/>
      <w:kern w:val="44"/>
      <w:sz w:val="32"/>
    </w:rPr>
  </w:style>
  <w:style w:type="paragraph" w:styleId="4">
    <w:name w:val="heading 2"/>
    <w:basedOn w:val="5"/>
    <w:next w:val="6"/>
    <w:qFormat/>
    <w:uiPriority w:val="0"/>
    <w:pPr>
      <w:tabs>
        <w:tab w:val="left" w:pos="426"/>
      </w:tabs>
      <w:textAlignment w:val="baseline"/>
      <w:outlineLvl w:val="1"/>
    </w:pPr>
    <w:rPr>
      <w:bCs w:val="0"/>
      <w:kern w:val="0"/>
      <w:szCs w:val="20"/>
    </w:rPr>
  </w:style>
  <w:style w:type="paragraph" w:styleId="5">
    <w:name w:val="heading 3"/>
    <w:basedOn w:val="6"/>
    <w:next w:val="1"/>
    <w:link w:val="56"/>
    <w:qFormat/>
    <w:uiPriority w:val="0"/>
    <w:pPr>
      <w:tabs>
        <w:tab w:val="left" w:pos="426"/>
      </w:tabs>
      <w:spacing w:before="260" w:after="260" w:line="240" w:lineRule="auto"/>
      <w:outlineLvl w:val="2"/>
    </w:pPr>
    <w:rPr>
      <w:rFonts w:ascii="宋体" w:hAnsi="宋体" w:eastAsia="宋体"/>
      <w:sz w:val="24"/>
      <w:szCs w:val="32"/>
    </w:rPr>
  </w:style>
  <w:style w:type="paragraph" w:styleId="6">
    <w:name w:val="heading 4"/>
    <w:basedOn w:val="1"/>
    <w:next w:val="1"/>
    <w:link w:val="54"/>
    <w:qFormat/>
    <w:uiPriority w:val="0"/>
    <w:pPr>
      <w:keepNext/>
      <w:keepLines/>
      <w:spacing w:before="280" w:after="290" w:line="376" w:lineRule="auto"/>
      <w:outlineLvl w:val="3"/>
    </w:pPr>
    <w:rPr>
      <w:rFonts w:ascii="Arial" w:hAnsi="Arial" w:eastAsia="黑体" w:cs="Times New Roman"/>
      <w:b/>
      <w:bCs/>
      <w:kern w:val="2"/>
      <w:sz w:val="28"/>
      <w:szCs w:val="28"/>
    </w:rPr>
  </w:style>
  <w:style w:type="paragraph" w:styleId="7">
    <w:name w:val="heading 5"/>
    <w:basedOn w:val="1"/>
    <w:next w:val="8"/>
    <w:link w:val="118"/>
    <w:qFormat/>
    <w:uiPriority w:val="0"/>
    <w:pPr>
      <w:keepNext/>
      <w:keepLines/>
      <w:spacing w:before="280" w:after="290" w:line="376" w:lineRule="auto"/>
      <w:jc w:val="center"/>
      <w:outlineLvl w:val="4"/>
    </w:pPr>
    <w:rPr>
      <w:rFonts w:ascii="Times New Roman" w:hAnsi="Times New Roman" w:cs="Times New Roman"/>
      <w:b/>
      <w:kern w:val="2"/>
      <w:sz w:val="24"/>
      <w:szCs w:val="20"/>
    </w:rPr>
  </w:style>
  <w:style w:type="paragraph" w:styleId="9">
    <w:name w:val="heading 6"/>
    <w:basedOn w:val="1"/>
    <w:next w:val="8"/>
    <w:link w:val="119"/>
    <w:qFormat/>
    <w:uiPriority w:val="0"/>
    <w:pPr>
      <w:keepNext/>
      <w:keepLines/>
      <w:spacing w:before="240" w:after="64" w:line="320" w:lineRule="auto"/>
      <w:outlineLvl w:val="5"/>
    </w:pPr>
    <w:rPr>
      <w:rFonts w:ascii="Arial" w:hAnsi="Arial" w:eastAsia="黑体" w:cs="Times New Roman"/>
      <w:b/>
      <w:kern w:val="2"/>
      <w:sz w:val="24"/>
      <w:szCs w:val="20"/>
    </w:rPr>
  </w:style>
  <w:style w:type="paragraph" w:styleId="10">
    <w:name w:val="heading 7"/>
    <w:basedOn w:val="1"/>
    <w:next w:val="8"/>
    <w:link w:val="120"/>
    <w:qFormat/>
    <w:uiPriority w:val="0"/>
    <w:pPr>
      <w:keepNext/>
      <w:keepLines/>
      <w:spacing w:before="240" w:after="64" w:line="320" w:lineRule="auto"/>
      <w:outlineLvl w:val="6"/>
    </w:pPr>
    <w:rPr>
      <w:rFonts w:ascii="Times New Roman" w:hAnsi="Times New Roman" w:cs="Times New Roman"/>
      <w:b/>
      <w:kern w:val="2"/>
      <w:sz w:val="24"/>
      <w:szCs w:val="20"/>
    </w:rPr>
  </w:style>
  <w:style w:type="paragraph" w:styleId="11">
    <w:name w:val="heading 8"/>
    <w:basedOn w:val="1"/>
    <w:next w:val="8"/>
    <w:link w:val="121"/>
    <w:qFormat/>
    <w:uiPriority w:val="0"/>
    <w:pPr>
      <w:keepNext/>
      <w:keepLines/>
      <w:spacing w:before="240" w:after="64" w:line="320" w:lineRule="auto"/>
      <w:outlineLvl w:val="7"/>
    </w:pPr>
    <w:rPr>
      <w:rFonts w:ascii="Arial" w:hAnsi="Arial" w:eastAsia="黑体" w:cs="Times New Roman"/>
      <w:kern w:val="2"/>
      <w:sz w:val="24"/>
      <w:szCs w:val="20"/>
    </w:rPr>
  </w:style>
  <w:style w:type="paragraph" w:styleId="12">
    <w:name w:val="heading 9"/>
    <w:basedOn w:val="1"/>
    <w:next w:val="8"/>
    <w:link w:val="122"/>
    <w:qFormat/>
    <w:uiPriority w:val="0"/>
    <w:pPr>
      <w:keepNext/>
      <w:keepLines/>
      <w:spacing w:before="240" w:after="64" w:line="320" w:lineRule="auto"/>
      <w:outlineLvl w:val="8"/>
    </w:pPr>
    <w:rPr>
      <w:rFonts w:ascii="Arial" w:hAnsi="Arial" w:eastAsia="黑体" w:cs="Times New Roman"/>
      <w:kern w:val="2"/>
      <w:szCs w:val="20"/>
    </w:rPr>
  </w:style>
  <w:style w:type="character" w:default="1" w:styleId="47">
    <w:name w:val="Default Paragraph Font"/>
    <w:unhideWhenUsed/>
    <w:qFormat/>
    <w:uiPriority w:val="1"/>
  </w:style>
  <w:style w:type="table" w:default="1" w:styleId="4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rPr>
      <w:b/>
      <w:bCs/>
      <w:sz w:val="24"/>
    </w:rPr>
  </w:style>
  <w:style w:type="paragraph" w:styleId="8">
    <w:name w:val="Normal Indent"/>
    <w:basedOn w:val="1"/>
    <w:link w:val="58"/>
    <w:qFormat/>
    <w:uiPriority w:val="0"/>
    <w:pPr>
      <w:ind w:firstLine="420"/>
    </w:pPr>
    <w:rPr>
      <w:rFonts w:ascii="Times New Roman" w:hAnsi="Times New Roman" w:cs="Times New Roman"/>
      <w:kern w:val="2"/>
      <w:szCs w:val="20"/>
    </w:r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numPr>
        <w:ilvl w:val="0"/>
        <w:numId w:val="1"/>
      </w:numPr>
      <w:tabs>
        <w:tab w:val="left" w:pos="820"/>
      </w:tabs>
      <w:spacing w:afterLines="50"/>
    </w:pPr>
    <w:rPr>
      <w:sz w:val="24"/>
      <w:szCs w:val="20"/>
    </w:rPr>
  </w:style>
  <w:style w:type="paragraph" w:styleId="15">
    <w:name w:val="caption"/>
    <w:basedOn w:val="1"/>
    <w:next w:val="1"/>
    <w:qFormat/>
    <w:uiPriority w:val="0"/>
    <w:rPr>
      <w:rFonts w:ascii="Arial" w:hAnsi="Arial" w:eastAsia="黑体" w:cs="Arial"/>
      <w:sz w:val="20"/>
      <w:szCs w:val="20"/>
    </w:rPr>
  </w:style>
  <w:style w:type="paragraph" w:styleId="16">
    <w:name w:val="List Bullet"/>
    <w:basedOn w:val="1"/>
    <w:qFormat/>
    <w:uiPriority w:val="0"/>
    <w:pPr>
      <w:tabs>
        <w:tab w:val="left" w:pos="360"/>
      </w:tabs>
      <w:ind w:left="360" w:hanging="360" w:hangingChars="200"/>
    </w:pPr>
    <w:rPr>
      <w:szCs w:val="20"/>
    </w:rPr>
  </w:style>
  <w:style w:type="paragraph" w:styleId="17">
    <w:name w:val="Document Map"/>
    <w:basedOn w:val="1"/>
    <w:link w:val="111"/>
    <w:semiHidden/>
    <w:qFormat/>
    <w:uiPriority w:val="0"/>
    <w:pPr>
      <w:shd w:val="clear" w:color="auto" w:fill="000080"/>
    </w:pPr>
    <w:rPr>
      <w:rFonts w:ascii="Times New Roman" w:hAnsi="Times New Roman" w:cs="Times New Roman"/>
      <w:kern w:val="2"/>
    </w:rPr>
  </w:style>
  <w:style w:type="paragraph" w:styleId="18">
    <w:name w:val="toa heading"/>
    <w:basedOn w:val="1"/>
    <w:next w:val="1"/>
    <w:qFormat/>
    <w:uiPriority w:val="0"/>
    <w:pPr>
      <w:spacing w:before="120"/>
    </w:pPr>
    <w:rPr>
      <w:rFonts w:ascii="Arial" w:hAnsi="Arial"/>
      <w:sz w:val="24"/>
      <w:szCs w:val="20"/>
    </w:rPr>
  </w:style>
  <w:style w:type="paragraph" w:styleId="19">
    <w:name w:val="annotation text"/>
    <w:basedOn w:val="1"/>
    <w:link w:val="72"/>
    <w:qFormat/>
    <w:uiPriority w:val="0"/>
    <w:pPr>
      <w:autoSpaceDE w:val="0"/>
      <w:autoSpaceDN w:val="0"/>
      <w:jc w:val="left"/>
      <w:textAlignment w:val="baseline"/>
    </w:pPr>
    <w:rPr>
      <w:rFonts w:hAnsi="Times New Roman" w:cs="Times New Roman"/>
      <w:sz w:val="34"/>
      <w:szCs w:val="20"/>
    </w:rPr>
  </w:style>
  <w:style w:type="paragraph" w:styleId="20">
    <w:name w:val="Body Text 3"/>
    <w:basedOn w:val="1"/>
    <w:link w:val="274"/>
    <w:qFormat/>
    <w:uiPriority w:val="0"/>
    <w:pPr>
      <w:spacing w:after="120"/>
    </w:pPr>
    <w:rPr>
      <w:rFonts w:ascii="Times New Roman" w:hAnsi="Times New Roman" w:cs="Times New Roman"/>
      <w:kern w:val="2"/>
      <w:sz w:val="16"/>
      <w:szCs w:val="16"/>
    </w:rPr>
  </w:style>
  <w:style w:type="paragraph" w:styleId="21">
    <w:name w:val="Body Text Indent"/>
    <w:basedOn w:val="1"/>
    <w:link w:val="214"/>
    <w:qFormat/>
    <w:uiPriority w:val="0"/>
    <w:pPr>
      <w:ind w:firstLine="420" w:firstLineChars="200"/>
    </w:pPr>
    <w:rPr>
      <w:rFonts w:ascii="Times New Roman" w:hAnsi="Times New Roman" w:cs="Times New Roman"/>
      <w:kern w:val="2"/>
    </w:rPr>
  </w:style>
  <w:style w:type="paragraph" w:styleId="22">
    <w:name w:val="toc 5"/>
    <w:basedOn w:val="1"/>
    <w:next w:val="1"/>
    <w:qFormat/>
    <w:uiPriority w:val="0"/>
    <w:pPr>
      <w:ind w:left="840"/>
      <w:jc w:val="left"/>
    </w:pPr>
    <w:rPr>
      <w:szCs w:val="21"/>
    </w:rPr>
  </w:style>
  <w:style w:type="paragraph" w:styleId="23">
    <w:name w:val="toc 3"/>
    <w:basedOn w:val="1"/>
    <w:next w:val="1"/>
    <w:qFormat/>
    <w:uiPriority w:val="39"/>
    <w:pPr>
      <w:ind w:left="420"/>
      <w:jc w:val="left"/>
    </w:pPr>
    <w:rPr>
      <w:i/>
      <w:iCs/>
    </w:rPr>
  </w:style>
  <w:style w:type="paragraph" w:styleId="24">
    <w:name w:val="Plain Text"/>
    <w:basedOn w:val="1"/>
    <w:link w:val="73"/>
    <w:qFormat/>
    <w:uiPriority w:val="0"/>
    <w:rPr>
      <w:rFonts w:hAnsi="Courier New" w:cs="Times New Roman"/>
      <w:kern w:val="2"/>
      <w:szCs w:val="20"/>
    </w:rPr>
  </w:style>
  <w:style w:type="paragraph" w:styleId="25">
    <w:name w:val="toc 8"/>
    <w:basedOn w:val="1"/>
    <w:next w:val="1"/>
    <w:qFormat/>
    <w:uiPriority w:val="0"/>
    <w:pPr>
      <w:ind w:left="1470"/>
      <w:jc w:val="left"/>
    </w:pPr>
    <w:rPr>
      <w:szCs w:val="21"/>
    </w:rPr>
  </w:style>
  <w:style w:type="paragraph" w:styleId="26">
    <w:name w:val="Date"/>
    <w:basedOn w:val="1"/>
    <w:next w:val="1"/>
    <w:link w:val="84"/>
    <w:qFormat/>
    <w:uiPriority w:val="0"/>
    <w:rPr>
      <w:rFonts w:hAnsi="Courier New" w:cs="Times New Roman"/>
      <w:kern w:val="2"/>
      <w:sz w:val="32"/>
      <w:szCs w:val="20"/>
    </w:rPr>
  </w:style>
  <w:style w:type="paragraph" w:styleId="27">
    <w:name w:val="Body Text Indent 2"/>
    <w:basedOn w:val="1"/>
    <w:link w:val="213"/>
    <w:qFormat/>
    <w:uiPriority w:val="0"/>
    <w:pPr>
      <w:spacing w:beforeLines="50" w:afterLines="50" w:line="120" w:lineRule="auto"/>
      <w:ind w:firstLine="840" w:firstLineChars="400"/>
      <w:jc w:val="left"/>
    </w:pPr>
    <w:rPr>
      <w:rFonts w:cs="Times New Roman"/>
      <w:kern w:val="2"/>
    </w:rPr>
  </w:style>
  <w:style w:type="paragraph" w:styleId="28">
    <w:name w:val="Balloon Text"/>
    <w:basedOn w:val="1"/>
    <w:link w:val="110"/>
    <w:semiHidden/>
    <w:qFormat/>
    <w:uiPriority w:val="0"/>
    <w:rPr>
      <w:rFonts w:ascii="Times New Roman" w:hAnsi="Times New Roman" w:cs="Times New Roman"/>
      <w:kern w:val="2"/>
      <w:sz w:val="18"/>
      <w:szCs w:val="18"/>
    </w:rPr>
  </w:style>
  <w:style w:type="paragraph" w:styleId="29">
    <w:name w:val="footer"/>
    <w:basedOn w:val="1"/>
    <w:link w:val="109"/>
    <w:qFormat/>
    <w:uiPriority w:val="99"/>
    <w:pPr>
      <w:tabs>
        <w:tab w:val="center" w:pos="4153"/>
        <w:tab w:val="right" w:pos="8306"/>
      </w:tabs>
      <w:jc w:val="left"/>
    </w:pPr>
    <w:rPr>
      <w:rFonts w:ascii="Times New Roman" w:hAnsi="Times New Roman" w:cs="Times New Roman"/>
      <w:kern w:val="2"/>
      <w:sz w:val="18"/>
      <w:szCs w:val="18"/>
    </w:rPr>
  </w:style>
  <w:style w:type="paragraph" w:styleId="30">
    <w:name w:val="header"/>
    <w:basedOn w:val="1"/>
    <w:link w:val="79"/>
    <w:qFormat/>
    <w:uiPriority w:val="0"/>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31">
    <w:name w:val="toc 1"/>
    <w:basedOn w:val="1"/>
    <w:next w:val="1"/>
    <w:qFormat/>
    <w:uiPriority w:val="39"/>
    <w:pPr>
      <w:tabs>
        <w:tab w:val="right" w:leader="dot" w:pos="8789"/>
      </w:tabs>
      <w:adjustRightInd/>
      <w:snapToGrid/>
      <w:spacing w:before="120" w:after="120"/>
      <w:jc w:val="left"/>
    </w:pPr>
    <w:rPr>
      <w:b/>
      <w:bCs/>
      <w:caps/>
      <w:sz w:val="28"/>
    </w:rPr>
  </w:style>
  <w:style w:type="paragraph" w:styleId="32">
    <w:name w:val="toc 4"/>
    <w:basedOn w:val="1"/>
    <w:next w:val="1"/>
    <w:qFormat/>
    <w:uiPriority w:val="0"/>
    <w:pPr>
      <w:ind w:left="630"/>
      <w:jc w:val="left"/>
    </w:pPr>
    <w:rPr>
      <w:szCs w:val="21"/>
    </w:rPr>
  </w:style>
  <w:style w:type="paragraph" w:styleId="33">
    <w:name w:val="Subtitle"/>
    <w:basedOn w:val="1"/>
    <w:next w:val="1"/>
    <w:link w:val="76"/>
    <w:qFormat/>
    <w:uiPriority w:val="0"/>
    <w:pPr>
      <w:spacing w:before="240" w:after="60" w:line="312" w:lineRule="auto"/>
      <w:jc w:val="center"/>
      <w:outlineLvl w:val="1"/>
    </w:pPr>
    <w:rPr>
      <w:rFonts w:ascii="Cambria" w:hAnsi="Cambria" w:cs="Times New Roman"/>
      <w:b/>
      <w:bCs/>
      <w:kern w:val="28"/>
      <w:sz w:val="28"/>
      <w:szCs w:val="32"/>
    </w:rPr>
  </w:style>
  <w:style w:type="paragraph" w:styleId="34">
    <w:name w:val="toc 6"/>
    <w:basedOn w:val="1"/>
    <w:next w:val="1"/>
    <w:qFormat/>
    <w:uiPriority w:val="0"/>
    <w:pPr>
      <w:ind w:left="1050"/>
      <w:jc w:val="left"/>
    </w:pPr>
    <w:rPr>
      <w:szCs w:val="21"/>
    </w:rPr>
  </w:style>
  <w:style w:type="paragraph" w:styleId="35">
    <w:name w:val="Body Text Indent 3"/>
    <w:basedOn w:val="1"/>
    <w:link w:val="269"/>
    <w:qFormat/>
    <w:uiPriority w:val="0"/>
    <w:pPr>
      <w:ind w:firstLine="482" w:firstLineChars="200"/>
    </w:pPr>
    <w:rPr>
      <w:rFonts w:hAnsi="Times New Roman" w:cs="Times New Roman"/>
      <w:b/>
      <w:bCs/>
      <w:kern w:val="2"/>
      <w:sz w:val="24"/>
    </w:rPr>
  </w:style>
  <w:style w:type="paragraph" w:styleId="36">
    <w:name w:val="toc 2"/>
    <w:basedOn w:val="1"/>
    <w:next w:val="1"/>
    <w:qFormat/>
    <w:uiPriority w:val="39"/>
    <w:pPr>
      <w:tabs>
        <w:tab w:val="right" w:leader="dot" w:pos="8789"/>
        <w:tab w:val="clear" w:pos="426"/>
      </w:tabs>
      <w:adjustRightInd/>
      <w:snapToGrid/>
      <w:spacing w:line="300" w:lineRule="auto"/>
      <w:ind w:left="50" w:leftChars="50"/>
    </w:pPr>
    <w:rPr>
      <w:smallCaps/>
      <w:sz w:val="28"/>
    </w:rPr>
  </w:style>
  <w:style w:type="paragraph" w:styleId="37">
    <w:name w:val="toc 9"/>
    <w:basedOn w:val="1"/>
    <w:next w:val="1"/>
    <w:qFormat/>
    <w:uiPriority w:val="0"/>
    <w:pPr>
      <w:ind w:left="1680"/>
      <w:jc w:val="left"/>
    </w:pPr>
    <w:rPr>
      <w:szCs w:val="21"/>
    </w:rPr>
  </w:style>
  <w:style w:type="paragraph" w:styleId="38">
    <w:name w:val="Body Text 2"/>
    <w:basedOn w:val="1"/>
    <w:link w:val="273"/>
    <w:qFormat/>
    <w:uiPriority w:val="0"/>
    <w:rPr>
      <w:rFonts w:ascii="Times New Roman" w:hAnsi="Times New Roman" w:cs="Times New Roman"/>
      <w:kern w:val="2"/>
      <w:sz w:val="24"/>
    </w:rPr>
  </w:style>
  <w:style w:type="paragraph" w:styleId="39">
    <w:name w:val="HTML Preformatted"/>
    <w:basedOn w:val="1"/>
    <w:link w:val="27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sz w:val="20"/>
      <w:szCs w:val="20"/>
    </w:rPr>
  </w:style>
  <w:style w:type="paragraph" w:styleId="40">
    <w:name w:val="Normal (Web)"/>
    <w:basedOn w:val="1"/>
    <w:qFormat/>
    <w:uiPriority w:val="0"/>
    <w:rPr>
      <w:sz w:val="24"/>
    </w:rPr>
  </w:style>
  <w:style w:type="paragraph" w:styleId="41">
    <w:name w:val="index 1"/>
    <w:basedOn w:val="1"/>
    <w:next w:val="1"/>
    <w:qFormat/>
    <w:uiPriority w:val="99"/>
    <w:rPr>
      <w:b/>
      <w:color w:val="0000FF"/>
      <w:sz w:val="24"/>
    </w:rPr>
  </w:style>
  <w:style w:type="paragraph" w:styleId="42">
    <w:name w:val="Title"/>
    <w:basedOn w:val="1"/>
    <w:link w:val="136"/>
    <w:qFormat/>
    <w:uiPriority w:val="0"/>
    <w:pPr>
      <w:spacing w:before="240" w:after="60"/>
      <w:jc w:val="center"/>
      <w:outlineLvl w:val="0"/>
    </w:pPr>
    <w:rPr>
      <w:rFonts w:ascii="Arial" w:hAnsi="Arial" w:cs="Times New Roman"/>
      <w:b/>
      <w:bCs/>
      <w:kern w:val="2"/>
      <w:sz w:val="36"/>
      <w:szCs w:val="32"/>
    </w:rPr>
  </w:style>
  <w:style w:type="paragraph" w:styleId="43">
    <w:name w:val="annotation subject"/>
    <w:basedOn w:val="19"/>
    <w:next w:val="19"/>
    <w:link w:val="251"/>
    <w:qFormat/>
    <w:uiPriority w:val="0"/>
    <w:pPr>
      <w:autoSpaceDE/>
      <w:autoSpaceDN/>
      <w:adjustRightInd/>
      <w:textAlignment w:val="auto"/>
    </w:pPr>
    <w:rPr>
      <w:rFonts w:ascii="Times New Roman"/>
      <w:b/>
      <w:bCs/>
      <w:kern w:val="2"/>
      <w:sz w:val="21"/>
      <w:szCs w:val="24"/>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6">
    <w:name w:val="Table Theme"/>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i/>
      <w:iCs/>
    </w:rPr>
  </w:style>
  <w:style w:type="character" w:styleId="52">
    <w:name w:val="Hyperlink"/>
    <w:qFormat/>
    <w:uiPriority w:val="99"/>
    <w:rPr>
      <w:color w:val="0000FF"/>
      <w:u w:val="single"/>
    </w:rPr>
  </w:style>
  <w:style w:type="character" w:styleId="53">
    <w:name w:val="annotation reference"/>
    <w:unhideWhenUsed/>
    <w:qFormat/>
    <w:uiPriority w:val="0"/>
    <w:rPr>
      <w:sz w:val="21"/>
      <w:szCs w:val="21"/>
    </w:rPr>
  </w:style>
  <w:style w:type="character" w:customStyle="1" w:styleId="54">
    <w:name w:val="标题 4 Char"/>
    <w:link w:val="6"/>
    <w:qFormat/>
    <w:uiPriority w:val="0"/>
    <w:rPr>
      <w:rFonts w:ascii="Arial" w:hAnsi="Arial" w:eastAsia="黑体"/>
      <w:b/>
      <w:bCs/>
      <w:kern w:val="2"/>
      <w:sz w:val="28"/>
      <w:szCs w:val="28"/>
      <w:lang w:val="en-US" w:eastAsia="zh-CN" w:bidi="ar-SA"/>
    </w:rPr>
  </w:style>
  <w:style w:type="paragraph" w:customStyle="1" w:styleId="55">
    <w:name w:val="Char"/>
    <w:basedOn w:val="1"/>
    <w:qFormat/>
    <w:uiPriority w:val="0"/>
    <w:pPr>
      <w:spacing w:after="160" w:line="240" w:lineRule="exact"/>
      <w:jc w:val="left"/>
    </w:pPr>
    <w:rPr>
      <w:rFonts w:ascii="Verdana" w:hAnsi="Verdana" w:eastAsia="仿宋_GB2312"/>
      <w:sz w:val="24"/>
      <w:szCs w:val="20"/>
      <w:lang w:eastAsia="en-US"/>
    </w:rPr>
  </w:style>
  <w:style w:type="character" w:customStyle="1" w:styleId="56">
    <w:name w:val="标题 3 Char1"/>
    <w:link w:val="5"/>
    <w:qFormat/>
    <w:uiPriority w:val="0"/>
    <w:rPr>
      <w:rFonts w:ascii="宋体" w:hAnsi="宋体"/>
      <w:b/>
      <w:bCs/>
      <w:kern w:val="2"/>
      <w:sz w:val="24"/>
      <w:szCs w:val="32"/>
      <w:shd w:val="clear" w:color="auto" w:fill="FFFFFF"/>
    </w:rPr>
  </w:style>
  <w:style w:type="character" w:customStyle="1" w:styleId="57">
    <w:name w:val="标题 1 Char"/>
    <w:link w:val="3"/>
    <w:qFormat/>
    <w:uiPriority w:val="0"/>
    <w:rPr>
      <w:rFonts w:ascii="宋体" w:hAnsi="宋体" w:eastAsia="黑体"/>
      <w:b/>
      <w:bCs/>
      <w:kern w:val="44"/>
      <w:sz w:val="32"/>
      <w:szCs w:val="32"/>
      <w:shd w:val="clear" w:color="auto" w:fill="FFFFFF"/>
    </w:rPr>
  </w:style>
  <w:style w:type="character" w:customStyle="1" w:styleId="58">
    <w:name w:val="正文缩进 Char1"/>
    <w:link w:val="8"/>
    <w:qFormat/>
    <w:uiPriority w:val="0"/>
    <w:rPr>
      <w:rFonts w:eastAsia="宋体"/>
      <w:kern w:val="2"/>
      <w:sz w:val="21"/>
      <w:lang w:val="en-US" w:eastAsia="zh-CN" w:bidi="ar-SA"/>
    </w:rPr>
  </w:style>
  <w:style w:type="character" w:customStyle="1" w:styleId="59">
    <w:name w:val="标题 3 Char"/>
    <w:qFormat/>
    <w:uiPriority w:val="0"/>
    <w:rPr>
      <w:rFonts w:ascii="黑体" w:eastAsia="黑体"/>
      <w:bCs/>
      <w:sz w:val="30"/>
    </w:rPr>
  </w:style>
  <w:style w:type="paragraph" w:customStyle="1" w:styleId="60">
    <w:name w:val="样式41"/>
    <w:basedOn w:val="1"/>
    <w:qFormat/>
    <w:uiPriority w:val="0"/>
    <w:pPr>
      <w:tabs>
        <w:tab w:val="left" w:pos="945"/>
        <w:tab w:val="left" w:pos="2040"/>
      </w:tabs>
      <w:ind w:left="2040" w:leftChars="800" w:hanging="360" w:hangingChars="200"/>
    </w:pPr>
    <w:rPr>
      <w:b/>
      <w:color w:val="000000"/>
      <w:sz w:val="24"/>
      <w:szCs w:val="20"/>
    </w:rPr>
  </w:style>
  <w:style w:type="paragraph" w:customStyle="1" w:styleId="61">
    <w:name w:val="图"/>
    <w:basedOn w:val="1"/>
    <w:qFormat/>
    <w:uiPriority w:val="0"/>
    <w:pPr>
      <w:keepNext/>
      <w:spacing w:before="60" w:after="60" w:line="300" w:lineRule="auto"/>
      <w:jc w:val="center"/>
    </w:pPr>
    <w:rPr>
      <w:spacing w:val="20"/>
      <w:sz w:val="24"/>
      <w:szCs w:val="20"/>
    </w:rPr>
  </w:style>
  <w:style w:type="paragraph" w:customStyle="1" w:styleId="62">
    <w:name w:val="文档正文"/>
    <w:basedOn w:val="1"/>
    <w:qFormat/>
    <w:uiPriority w:val="0"/>
    <w:pPr>
      <w:spacing w:line="480" w:lineRule="atLeast"/>
      <w:ind w:firstLine="567" w:firstLineChars="200"/>
      <w:textAlignment w:val="baseline"/>
    </w:pPr>
    <w:rPr>
      <w:rFonts w:ascii="长城仿宋"/>
      <w:szCs w:val="20"/>
    </w:rPr>
  </w:style>
  <w:style w:type="paragraph" w:customStyle="1" w:styleId="63">
    <w:name w:val="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64">
    <w:name w:val="Char1"/>
    <w:basedOn w:val="1"/>
    <w:qFormat/>
    <w:uiPriority w:val="0"/>
    <w:pPr>
      <w:spacing w:after="160" w:line="240" w:lineRule="exact"/>
      <w:jc w:val="left"/>
    </w:pPr>
    <w:rPr>
      <w:rFonts w:ascii="Verdana" w:hAnsi="Verdana" w:eastAsia="仿宋_GB2312"/>
      <w:sz w:val="24"/>
      <w:szCs w:val="20"/>
      <w:lang w:eastAsia="en-US"/>
    </w:rPr>
  </w:style>
  <w:style w:type="paragraph" w:customStyle="1" w:styleId="65">
    <w:name w:val="Char Char Char Char1"/>
    <w:basedOn w:val="1"/>
    <w:qFormat/>
    <w:uiPriority w:val="0"/>
    <w:pPr>
      <w:spacing w:after="160" w:line="240" w:lineRule="exact"/>
      <w:jc w:val="left"/>
    </w:pPr>
    <w:rPr>
      <w:rFonts w:ascii="Verdana" w:hAnsi="Verdana" w:eastAsia="仿宋_GB2312"/>
      <w:sz w:val="24"/>
      <w:szCs w:val="20"/>
      <w:lang w:eastAsia="en-US"/>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自定义正文"/>
    <w:basedOn w:val="1"/>
    <w:qFormat/>
    <w:uiPriority w:val="0"/>
    <w:pPr>
      <w:spacing w:afterLines="50"/>
      <w:ind w:left="600" w:leftChars="600"/>
    </w:pPr>
  </w:style>
  <w:style w:type="paragraph" w:customStyle="1" w:styleId="68">
    <w:name w:val="Char Char Char Char Char"/>
    <w:basedOn w:val="1"/>
    <w:qFormat/>
    <w:uiPriority w:val="0"/>
    <w:rPr>
      <w:rFonts w:ascii="Tahoma" w:hAnsi="Tahoma"/>
      <w:sz w:val="24"/>
      <w:szCs w:val="20"/>
    </w:rPr>
  </w:style>
  <w:style w:type="paragraph" w:customStyle="1" w:styleId="69">
    <w:name w:val="小标题 1"/>
    <w:basedOn w:val="1"/>
    <w:qFormat/>
    <w:uiPriority w:val="0"/>
    <w:pPr>
      <w:autoSpaceDE w:val="0"/>
      <w:autoSpaceDN w:val="0"/>
      <w:spacing w:line="360" w:lineRule="atLeast"/>
    </w:pPr>
    <w:rPr>
      <w:rFonts w:ascii="文鼎粗黑" w:eastAsia="文鼎粗黑"/>
      <w:sz w:val="22"/>
      <w:szCs w:val="20"/>
    </w:rPr>
  </w:style>
  <w:style w:type="paragraph" w:customStyle="1" w:styleId="70">
    <w:name w:val="Char Char"/>
    <w:basedOn w:val="1"/>
    <w:qFormat/>
    <w:uiPriority w:val="0"/>
    <w:rPr>
      <w:rFonts w:ascii="Tahoma" w:hAnsi="Tahoma"/>
      <w:sz w:val="24"/>
      <w:szCs w:val="20"/>
    </w:rPr>
  </w:style>
  <w:style w:type="paragraph" w:customStyle="1" w:styleId="71">
    <w:name w:val="È±Ê¡ÎÄ±¾"/>
    <w:basedOn w:val="1"/>
    <w:qFormat/>
    <w:uiPriority w:val="0"/>
    <w:pPr>
      <w:overflowPunct w:val="0"/>
      <w:autoSpaceDE w:val="0"/>
      <w:autoSpaceDN w:val="0"/>
      <w:jc w:val="left"/>
      <w:textAlignment w:val="baseline"/>
    </w:pPr>
    <w:rPr>
      <w:sz w:val="24"/>
      <w:szCs w:val="20"/>
    </w:rPr>
  </w:style>
  <w:style w:type="character" w:customStyle="1" w:styleId="72">
    <w:name w:val="批注文字 Char"/>
    <w:link w:val="19"/>
    <w:qFormat/>
    <w:uiPriority w:val="0"/>
    <w:rPr>
      <w:rFonts w:ascii="宋体" w:eastAsia="宋体"/>
      <w:sz w:val="34"/>
      <w:lang w:val="en-US" w:eastAsia="zh-CN" w:bidi="ar-SA"/>
    </w:rPr>
  </w:style>
  <w:style w:type="character" w:customStyle="1" w:styleId="73">
    <w:name w:val="纯文本 Char"/>
    <w:link w:val="24"/>
    <w:qFormat/>
    <w:uiPriority w:val="0"/>
    <w:rPr>
      <w:rFonts w:ascii="宋体" w:hAnsi="Courier New"/>
      <w:kern w:val="2"/>
      <w:sz w:val="21"/>
    </w:rPr>
  </w:style>
  <w:style w:type="character" w:customStyle="1" w:styleId="74">
    <w:name w:val="apple-converted-space"/>
    <w:basedOn w:val="47"/>
    <w:qFormat/>
    <w:uiPriority w:val="0"/>
  </w:style>
  <w:style w:type="paragraph" w:customStyle="1" w:styleId="75">
    <w:name w:val="TOC Heading"/>
    <w:basedOn w:val="3"/>
    <w:next w:val="1"/>
    <w:qFormat/>
    <w:uiPriority w:val="39"/>
    <w:pPr>
      <w:spacing w:before="480" w:after="0" w:line="276" w:lineRule="auto"/>
      <w:jc w:val="left"/>
      <w:outlineLvl w:val="9"/>
    </w:pPr>
    <w:rPr>
      <w:rFonts w:ascii="Cambria" w:hAnsi="Cambria" w:eastAsia="宋体"/>
      <w:color w:val="365F91"/>
      <w:kern w:val="0"/>
    </w:rPr>
  </w:style>
  <w:style w:type="character" w:customStyle="1" w:styleId="76">
    <w:name w:val="副标题 Char"/>
    <w:link w:val="33"/>
    <w:qFormat/>
    <w:uiPriority w:val="0"/>
    <w:rPr>
      <w:rFonts w:ascii="Cambria" w:hAnsi="Cambria" w:cs="Times New Roman"/>
      <w:b/>
      <w:bCs/>
      <w:kern w:val="28"/>
      <w:sz w:val="28"/>
      <w:szCs w:val="32"/>
    </w:rPr>
  </w:style>
  <w:style w:type="paragraph" w:customStyle="1" w:styleId="77">
    <w:name w:val="Char Char Char"/>
    <w:basedOn w:val="1"/>
    <w:qFormat/>
    <w:uiPriority w:val="0"/>
    <w:rPr>
      <w:rFonts w:ascii="Tahoma" w:hAnsi="Tahoma"/>
      <w:sz w:val="24"/>
      <w:szCs w:val="20"/>
    </w:rPr>
  </w:style>
  <w:style w:type="paragraph" w:customStyle="1" w:styleId="78">
    <w:name w:val="列出段落1"/>
    <w:basedOn w:val="1"/>
    <w:link w:val="89"/>
    <w:qFormat/>
    <w:uiPriority w:val="0"/>
    <w:pPr>
      <w:ind w:firstLine="420" w:firstLineChars="200"/>
    </w:pPr>
    <w:rPr>
      <w:rFonts w:ascii="Times New Roman" w:hAnsi="Times New Roman" w:cs="Times New Roman"/>
      <w:kern w:val="2"/>
    </w:rPr>
  </w:style>
  <w:style w:type="character" w:customStyle="1" w:styleId="79">
    <w:name w:val="页眉 Char"/>
    <w:link w:val="30"/>
    <w:qFormat/>
    <w:uiPriority w:val="0"/>
    <w:rPr>
      <w:kern w:val="2"/>
      <w:sz w:val="18"/>
      <w:szCs w:val="18"/>
    </w:rPr>
  </w:style>
  <w:style w:type="paragraph" w:customStyle="1" w:styleId="80">
    <w:name w:val="Default"/>
    <w:link w:val="217"/>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81">
    <w:name w:val="主题"/>
    <w:basedOn w:val="1"/>
    <w:qFormat/>
    <w:uiPriority w:val="0"/>
  </w:style>
  <w:style w:type="paragraph" w:customStyle="1" w:styleId="82">
    <w:name w:val="默认段落字体 Para Char Char Char Char Char Char Char Char Char3 Char Char Char Char"/>
    <w:basedOn w:val="17"/>
    <w:qFormat/>
    <w:uiPriority w:val="0"/>
    <w:pPr>
      <w:spacing w:line="436" w:lineRule="exact"/>
      <w:ind w:left="357"/>
      <w:jc w:val="left"/>
      <w:outlineLvl w:val="3"/>
    </w:pPr>
    <w:rPr>
      <w:rFonts w:ascii="Tahoma" w:hAnsi="Tahoma"/>
      <w:b/>
      <w:sz w:val="24"/>
    </w:rPr>
  </w:style>
  <w:style w:type="paragraph" w:customStyle="1" w:styleId="83">
    <w:name w:val="目次、标准名称标题"/>
    <w:basedOn w:val="1"/>
    <w:next w:val="1"/>
    <w:qFormat/>
    <w:uiPriority w:val="0"/>
    <w:pPr>
      <w:shd w:val="clear" w:color="FFFFFF" w:fill="FFFFFF"/>
      <w:spacing w:before="640" w:after="560" w:line="460" w:lineRule="exact"/>
      <w:jc w:val="center"/>
      <w:outlineLvl w:val="0"/>
    </w:pPr>
    <w:rPr>
      <w:rFonts w:ascii="黑体" w:eastAsia="黑体"/>
      <w:sz w:val="32"/>
      <w:szCs w:val="20"/>
    </w:rPr>
  </w:style>
  <w:style w:type="character" w:customStyle="1" w:styleId="84">
    <w:name w:val="日期 Char"/>
    <w:link w:val="26"/>
    <w:qFormat/>
    <w:uiPriority w:val="0"/>
    <w:rPr>
      <w:rFonts w:ascii="宋体" w:hAnsi="Courier New"/>
      <w:kern w:val="2"/>
      <w:sz w:val="32"/>
    </w:rPr>
  </w:style>
  <w:style w:type="paragraph" w:customStyle="1" w:styleId="85">
    <w:name w:val="表1黑体居中"/>
    <w:basedOn w:val="1"/>
    <w:qFormat/>
    <w:uiPriority w:val="0"/>
    <w:pPr>
      <w:ind w:firstLine="435"/>
      <w:jc w:val="center"/>
      <w:textAlignment w:val="baseline"/>
    </w:pPr>
    <w:rPr>
      <w:rFonts w:ascii="黑体" w:eastAsia="黑体"/>
      <w:szCs w:val="21"/>
    </w:rPr>
  </w:style>
  <w:style w:type="paragraph" w:customStyle="1" w:styleId="86">
    <w:name w:val="MaoC2"/>
    <w:basedOn w:val="1"/>
    <w:qFormat/>
    <w:uiPriority w:val="0"/>
    <w:pPr>
      <w:numPr>
        <w:ilvl w:val="1"/>
        <w:numId w:val="2"/>
      </w:numPr>
      <w:spacing w:line="480" w:lineRule="auto"/>
      <w:outlineLvl w:val="1"/>
    </w:pPr>
    <w:rPr>
      <w:rFonts w:ascii="黑体" w:eastAsia="黑体"/>
      <w:szCs w:val="20"/>
    </w:rPr>
  </w:style>
  <w:style w:type="paragraph" w:customStyle="1" w:styleId="87">
    <w:name w:val="图目录4"/>
    <w:basedOn w:val="1"/>
    <w:next w:val="1"/>
    <w:qFormat/>
    <w:uiPriority w:val="0"/>
    <w:pPr>
      <w:numPr>
        <w:ilvl w:val="0"/>
        <w:numId w:val="3"/>
      </w:numPr>
      <w:ind w:hanging="448"/>
      <w:jc w:val="center"/>
      <w:textAlignment w:val="baseline"/>
    </w:pPr>
    <w:rPr>
      <w:szCs w:val="20"/>
    </w:rPr>
  </w:style>
  <w:style w:type="paragraph" w:customStyle="1" w:styleId="88">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character" w:customStyle="1" w:styleId="89">
    <w:name w:val="列出段落 Char"/>
    <w:link w:val="78"/>
    <w:qFormat/>
    <w:uiPriority w:val="0"/>
    <w:rPr>
      <w:kern w:val="2"/>
      <w:sz w:val="21"/>
      <w:szCs w:val="24"/>
    </w:rPr>
  </w:style>
  <w:style w:type="table" w:customStyle="1" w:styleId="90">
    <w:name w:val="Table Normal"/>
    <w:qFormat/>
    <w:uiPriority w:val="0"/>
    <w:pPr>
      <w:pBdr>
        <w:top w:val="none" w:color="auto" w:sz="0" w:space="0"/>
        <w:left w:val="none" w:color="auto" w:sz="0" w:space="0"/>
        <w:bottom w:val="none" w:color="auto" w:sz="0" w:space="0"/>
        <w:right w:val="none" w:color="auto" w:sz="0" w:space="0"/>
        <w:between w:val="none" w:color="auto" w:sz="0" w:space="0"/>
      </w:pBdr>
      <w:spacing w:line="360" w:lineRule="auto"/>
      <w:jc w:val="both"/>
    </w:pPr>
    <w:tblPr>
      <w:tblLayout w:type="fixed"/>
      <w:tblCellMar>
        <w:top w:w="0" w:type="dxa"/>
        <w:left w:w="0" w:type="dxa"/>
        <w:bottom w:w="0" w:type="dxa"/>
        <w:right w:w="0" w:type="dxa"/>
      </w:tblCellMar>
    </w:tblPr>
  </w:style>
  <w:style w:type="paragraph" w:customStyle="1" w:styleId="91">
    <w:name w:val="样式1"/>
    <w:basedOn w:val="1"/>
    <w:qFormat/>
    <w:uiPriority w:val="0"/>
    <w:pPr>
      <w:keepNext/>
      <w:keepLines/>
      <w:numPr>
        <w:ilvl w:val="0"/>
        <w:numId w:val="4"/>
      </w:numPr>
      <w:spacing w:before="340" w:after="330"/>
      <w:outlineLvl w:val="0"/>
    </w:pPr>
    <w:rPr>
      <w:b/>
      <w:kern w:val="44"/>
      <w:sz w:val="44"/>
      <w:szCs w:val="20"/>
    </w:rPr>
  </w:style>
  <w:style w:type="paragraph" w:customStyle="1" w:styleId="92">
    <w:name w:val="参数内容"/>
    <w:basedOn w:val="78"/>
    <w:qFormat/>
    <w:uiPriority w:val="0"/>
    <w:pPr>
      <w:numPr>
        <w:ilvl w:val="0"/>
        <w:numId w:val="5"/>
      </w:numPr>
      <w:ind w:firstLine="0" w:firstLineChars="0"/>
    </w:pPr>
    <w:rPr>
      <w:szCs w:val="18"/>
    </w:rPr>
  </w:style>
  <w:style w:type="paragraph" w:customStyle="1" w:styleId="93">
    <w:name w:val="标准正文"/>
    <w:basedOn w:val="21"/>
    <w:link w:val="94"/>
    <w:qFormat/>
    <w:uiPriority w:val="0"/>
    <w:pPr>
      <w:spacing w:before="60" w:after="60"/>
      <w:ind w:firstLine="482" w:firstLineChars="0"/>
      <w:jc w:val="left"/>
    </w:pPr>
    <w:rPr>
      <w:rFonts w:ascii="宋体" w:hAnsi="宋体"/>
      <w:kern w:val="0"/>
      <w:sz w:val="24"/>
      <w:szCs w:val="20"/>
    </w:rPr>
  </w:style>
  <w:style w:type="character" w:customStyle="1" w:styleId="94">
    <w:name w:val="标准正文 Char"/>
    <w:link w:val="93"/>
    <w:qFormat/>
    <w:uiPriority w:val="0"/>
    <w:rPr>
      <w:rFonts w:ascii="宋体" w:hAnsi="宋体" w:cs="宋体"/>
      <w:sz w:val="24"/>
    </w:rPr>
  </w:style>
  <w:style w:type="paragraph" w:customStyle="1" w:styleId="95">
    <w:name w:val="下级参数内容"/>
    <w:basedOn w:val="78"/>
    <w:qFormat/>
    <w:uiPriority w:val="0"/>
    <w:pPr>
      <w:numPr>
        <w:ilvl w:val="0"/>
        <w:numId w:val="6"/>
      </w:numPr>
      <w:ind w:left="1134" w:firstLine="0" w:firstLineChars="0"/>
    </w:pPr>
    <w:rPr>
      <w:rFonts w:ascii="仿宋" w:hAnsi="仿宋"/>
    </w:rPr>
  </w:style>
  <w:style w:type="paragraph" w:customStyle="1" w:styleId="96">
    <w:name w:val="Char Char Char1"/>
    <w:basedOn w:val="1"/>
    <w:qFormat/>
    <w:uiPriority w:val="0"/>
    <w:rPr>
      <w:rFonts w:ascii="Tahoma" w:hAnsi="Tahoma"/>
      <w:sz w:val="24"/>
      <w:szCs w:val="20"/>
    </w:rPr>
  </w:style>
  <w:style w:type="paragraph" w:customStyle="1" w:styleId="97">
    <w:name w:val="Char Char10 Char Char"/>
    <w:basedOn w:val="17"/>
    <w:qFormat/>
    <w:uiPriority w:val="0"/>
    <w:rPr>
      <w:rFonts w:ascii="Tahoma" w:hAnsi="Tahoma"/>
      <w:sz w:val="24"/>
    </w:rPr>
  </w:style>
  <w:style w:type="paragraph" w:customStyle="1" w:styleId="98">
    <w:name w:val="_Style 95"/>
    <w:unhideWhenUsed/>
    <w:qFormat/>
    <w:uiPriority w:val="99"/>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99">
    <w:name w:val="font5"/>
    <w:basedOn w:val="1"/>
    <w:qFormat/>
    <w:uiPriority w:val="0"/>
    <w:pPr>
      <w:spacing w:before="100" w:beforeAutospacing="1" w:after="100" w:afterAutospacing="1"/>
      <w:jc w:val="left"/>
    </w:pPr>
    <w:rPr>
      <w:sz w:val="18"/>
      <w:szCs w:val="18"/>
    </w:rPr>
  </w:style>
  <w:style w:type="paragraph" w:customStyle="1" w:styleId="100">
    <w:name w:val="xl65"/>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101">
    <w:name w:val="xl66"/>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02">
    <w:name w:val="xl67"/>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103">
    <w:name w:val="xl68"/>
    <w:basedOn w:val="1"/>
    <w:qFormat/>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104">
    <w:name w:val="xl69"/>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05">
    <w:name w:val="样式 标题 3style3H3h33rd levelLevel 3 Headlevel_3PIM 33l3C..."/>
    <w:basedOn w:val="5"/>
    <w:qFormat/>
    <w:uiPriority w:val="0"/>
    <w:pPr>
      <w:tabs>
        <w:tab w:val="left" w:pos="851"/>
      </w:tabs>
      <w:spacing w:beforeLines="50" w:afterLines="50" w:line="415" w:lineRule="auto"/>
      <w:ind w:left="-4" w:leftChars="-2" w:right="220" w:firstLine="571" w:firstLineChars="203"/>
      <w:jc w:val="left"/>
    </w:pPr>
    <w:rPr>
      <w:rFonts w:ascii="Times New Roman" w:hAnsi="Times New Roman" w:cs="宋体"/>
      <w:bCs w:val="0"/>
      <w:color w:val="000000"/>
      <w:szCs w:val="20"/>
    </w:rPr>
  </w:style>
  <w:style w:type="paragraph" w:customStyle="1" w:styleId="106">
    <w:name w:val="样式2"/>
    <w:basedOn w:val="3"/>
    <w:qFormat/>
    <w:uiPriority w:val="0"/>
    <w:pPr>
      <w:keepNext/>
      <w:keepLines/>
      <w:spacing w:before="0" w:after="0" w:line="578" w:lineRule="auto"/>
      <w:ind w:left="1200" w:hanging="420"/>
      <w:jc w:val="both"/>
    </w:pPr>
    <w:rPr>
      <w:rFonts w:eastAsia="宋体"/>
      <w:szCs w:val="44"/>
    </w:rPr>
  </w:style>
  <w:style w:type="paragraph" w:customStyle="1" w:styleId="107">
    <w:name w:val="样式3"/>
    <w:basedOn w:val="1"/>
    <w:qFormat/>
    <w:uiPriority w:val="0"/>
    <w:pPr>
      <w:ind w:left="1620" w:hanging="420"/>
      <w:outlineLvl w:val="2"/>
    </w:pPr>
    <w:rPr>
      <w:b/>
    </w:rPr>
  </w:style>
  <w:style w:type="paragraph" w:customStyle="1" w:styleId="108">
    <w:name w:val="样式4"/>
    <w:basedOn w:val="78"/>
    <w:qFormat/>
    <w:uiPriority w:val="0"/>
    <w:pPr>
      <w:ind w:left="2040" w:firstLine="0" w:firstLineChars="0"/>
      <w:jc w:val="left"/>
      <w:outlineLvl w:val="3"/>
    </w:pPr>
    <w:rPr>
      <w:rFonts w:ascii="宋体" w:hAnsi="宋体"/>
    </w:rPr>
  </w:style>
  <w:style w:type="character" w:customStyle="1" w:styleId="109">
    <w:name w:val="页脚 Char"/>
    <w:link w:val="29"/>
    <w:qFormat/>
    <w:uiPriority w:val="99"/>
    <w:rPr>
      <w:kern w:val="2"/>
      <w:sz w:val="18"/>
      <w:szCs w:val="18"/>
    </w:rPr>
  </w:style>
  <w:style w:type="character" w:customStyle="1" w:styleId="110">
    <w:name w:val="批注框文本 Char"/>
    <w:link w:val="28"/>
    <w:semiHidden/>
    <w:qFormat/>
    <w:uiPriority w:val="0"/>
    <w:rPr>
      <w:kern w:val="2"/>
      <w:sz w:val="18"/>
      <w:szCs w:val="18"/>
    </w:rPr>
  </w:style>
  <w:style w:type="character" w:customStyle="1" w:styleId="111">
    <w:name w:val="文档结构图 Char"/>
    <w:link w:val="17"/>
    <w:semiHidden/>
    <w:qFormat/>
    <w:uiPriority w:val="0"/>
    <w:rPr>
      <w:kern w:val="2"/>
      <w:sz w:val="21"/>
      <w:szCs w:val="24"/>
      <w:shd w:val="clear" w:color="auto" w:fill="000080"/>
    </w:rPr>
  </w:style>
  <w:style w:type="paragraph" w:customStyle="1" w:styleId="112">
    <w:name w:val="p0"/>
    <w:basedOn w:val="1"/>
    <w:qFormat/>
    <w:uiPriority w:val="0"/>
    <w:rPr>
      <w:rFonts w:ascii="Calibri" w:hAnsi="Calibri"/>
      <w:szCs w:val="21"/>
    </w:rPr>
  </w:style>
  <w:style w:type="paragraph" w:customStyle="1" w:styleId="113">
    <w:name w:val="图标题"/>
    <w:basedOn w:val="1"/>
    <w:link w:val="117"/>
    <w:qFormat/>
    <w:uiPriority w:val="0"/>
    <w:pPr>
      <w:jc w:val="center"/>
    </w:pPr>
    <w:rPr>
      <w:rFonts w:cs="Times New Roman"/>
      <w:kern w:val="2"/>
    </w:rPr>
  </w:style>
  <w:style w:type="paragraph" w:customStyle="1" w:styleId="114">
    <w:name w:val="表标题"/>
    <w:basedOn w:val="1"/>
    <w:qFormat/>
    <w:uiPriority w:val="0"/>
    <w:pPr>
      <w:jc w:val="center"/>
    </w:pPr>
    <w:rPr>
      <w:rFonts w:eastAsia="黑体"/>
      <w:b/>
    </w:rPr>
  </w:style>
  <w:style w:type="paragraph" w:customStyle="1" w:styleId="115">
    <w:name w:val="正文-1级标题-1"/>
    <w:basedOn w:val="1"/>
    <w:next w:val="1"/>
    <w:qFormat/>
    <w:uiPriority w:val="0"/>
    <w:pPr>
      <w:keepNext/>
      <w:numPr>
        <w:ilvl w:val="0"/>
        <w:numId w:val="7"/>
      </w:numPr>
      <w:spacing w:beforeLines="30" w:afterLines="30"/>
      <w:ind w:firstLine="0"/>
    </w:pPr>
    <w:rPr>
      <w:b/>
      <w:sz w:val="24"/>
      <w:szCs w:val="28"/>
      <w:lang w:val="en-GB"/>
    </w:rPr>
  </w:style>
  <w:style w:type="paragraph" w:customStyle="1" w:styleId="116">
    <w:name w:val="正文-1级列表-(1)"/>
    <w:basedOn w:val="1"/>
    <w:qFormat/>
    <w:uiPriority w:val="0"/>
    <w:pPr>
      <w:numPr>
        <w:ilvl w:val="1"/>
        <w:numId w:val="7"/>
      </w:numPr>
      <w:ind w:firstLine="0"/>
    </w:pPr>
    <w:rPr>
      <w:sz w:val="24"/>
      <w:lang w:val="en-GB"/>
    </w:rPr>
  </w:style>
  <w:style w:type="character" w:customStyle="1" w:styleId="117">
    <w:name w:val="图标题 Char"/>
    <w:link w:val="113"/>
    <w:qFormat/>
    <w:uiPriority w:val="0"/>
    <w:rPr>
      <w:rFonts w:ascii="宋体" w:hAnsi="宋体"/>
      <w:kern w:val="2"/>
      <w:sz w:val="21"/>
      <w:szCs w:val="24"/>
    </w:rPr>
  </w:style>
  <w:style w:type="character" w:customStyle="1" w:styleId="118">
    <w:name w:val="标题 5 Char"/>
    <w:link w:val="7"/>
    <w:qFormat/>
    <w:uiPriority w:val="0"/>
    <w:rPr>
      <w:b/>
      <w:kern w:val="2"/>
      <w:sz w:val="24"/>
    </w:rPr>
  </w:style>
  <w:style w:type="character" w:customStyle="1" w:styleId="119">
    <w:name w:val="标题 6 Char"/>
    <w:link w:val="9"/>
    <w:qFormat/>
    <w:uiPriority w:val="0"/>
    <w:rPr>
      <w:rFonts w:ascii="Arial" w:hAnsi="Arial" w:eastAsia="黑体"/>
      <w:b/>
      <w:kern w:val="2"/>
      <w:sz w:val="24"/>
    </w:rPr>
  </w:style>
  <w:style w:type="character" w:customStyle="1" w:styleId="120">
    <w:name w:val="标题 7 Char"/>
    <w:link w:val="10"/>
    <w:qFormat/>
    <w:uiPriority w:val="0"/>
    <w:rPr>
      <w:b/>
      <w:kern w:val="2"/>
      <w:sz w:val="24"/>
    </w:rPr>
  </w:style>
  <w:style w:type="character" w:customStyle="1" w:styleId="121">
    <w:name w:val="标题 8 Char"/>
    <w:link w:val="11"/>
    <w:qFormat/>
    <w:uiPriority w:val="0"/>
    <w:rPr>
      <w:rFonts w:ascii="Arial" w:hAnsi="Arial" w:eastAsia="黑体"/>
      <w:kern w:val="2"/>
      <w:sz w:val="24"/>
    </w:rPr>
  </w:style>
  <w:style w:type="character" w:customStyle="1" w:styleId="122">
    <w:name w:val="标题 9 Char"/>
    <w:link w:val="12"/>
    <w:qFormat/>
    <w:uiPriority w:val="0"/>
    <w:rPr>
      <w:rFonts w:ascii="Arial" w:hAnsi="Arial" w:eastAsia="黑体"/>
      <w:kern w:val="2"/>
      <w:sz w:val="21"/>
    </w:rPr>
  </w:style>
  <w:style w:type="paragraph" w:customStyle="1" w:styleId="123">
    <w:name w:val="样式 标题 1 + 段前: 0.5 行 段后: 0.5 行"/>
    <w:basedOn w:val="3"/>
    <w:qFormat/>
    <w:uiPriority w:val="0"/>
    <w:pPr>
      <w:keepNext/>
      <w:keepLines/>
      <w:numPr>
        <w:ilvl w:val="0"/>
        <w:numId w:val="8"/>
      </w:numPr>
      <w:spacing w:beforeLines="50" w:afterLines="50" w:line="578" w:lineRule="auto"/>
      <w:ind w:left="0" w:firstLine="0"/>
      <w:jc w:val="both"/>
    </w:pPr>
    <w:rPr>
      <w:rFonts w:ascii="Times New Roman" w:hAnsi="Times New Roman" w:eastAsia="宋体" w:cs="宋体"/>
      <w:sz w:val="44"/>
      <w:szCs w:val="20"/>
    </w:rPr>
  </w:style>
  <w:style w:type="paragraph" w:customStyle="1" w:styleId="124">
    <w:name w:val="样式 标题 4 + 段前: 0.5 行 段后: 0.5 行"/>
    <w:basedOn w:val="6"/>
    <w:qFormat/>
    <w:uiPriority w:val="0"/>
    <w:pPr>
      <w:spacing w:beforeLines="50" w:afterLines="50" w:line="377" w:lineRule="auto"/>
      <w:ind w:left="2240"/>
      <w:jc w:val="left"/>
    </w:pPr>
    <w:rPr>
      <w:rFonts w:ascii="Cambria" w:hAnsi="Cambria" w:eastAsia="宋体" w:cs="宋体"/>
      <w:sz w:val="24"/>
      <w:szCs w:val="20"/>
    </w:rPr>
  </w:style>
  <w:style w:type="paragraph" w:customStyle="1" w:styleId="125">
    <w:name w:val="样式 标题 4 + 段前: 0.5 行 段后: 0.5 行1"/>
    <w:basedOn w:val="6"/>
    <w:qFormat/>
    <w:uiPriority w:val="0"/>
    <w:pPr>
      <w:spacing w:beforeLines="50" w:afterLines="50" w:line="377" w:lineRule="auto"/>
      <w:ind w:left="-2" w:leftChars="-1" w:firstLine="569" w:firstLineChars="236"/>
      <w:jc w:val="left"/>
    </w:pPr>
    <w:rPr>
      <w:rFonts w:ascii="Cambria" w:hAnsi="Cambria" w:eastAsia="宋体" w:cs="宋体"/>
      <w:sz w:val="24"/>
      <w:szCs w:val="20"/>
    </w:rPr>
  </w:style>
  <w:style w:type="paragraph" w:customStyle="1" w:styleId="126">
    <w:name w:val="￥正文"/>
    <w:basedOn w:val="1"/>
    <w:link w:val="127"/>
    <w:qFormat/>
    <w:uiPriority w:val="0"/>
    <w:pPr>
      <w:ind w:firstLine="200" w:firstLineChars="200"/>
    </w:pPr>
    <w:rPr>
      <w:rFonts w:ascii="Calibri" w:hAnsi="Calibri" w:cs="Times New Roman"/>
      <w:kern w:val="2"/>
      <w:sz w:val="24"/>
      <w:szCs w:val="20"/>
    </w:rPr>
  </w:style>
  <w:style w:type="character" w:customStyle="1" w:styleId="127">
    <w:name w:val="￥正文 Char"/>
    <w:link w:val="126"/>
    <w:qFormat/>
    <w:uiPriority w:val="0"/>
    <w:rPr>
      <w:rFonts w:ascii="Calibri" w:hAnsi="Calibri"/>
      <w:kern w:val="2"/>
      <w:sz w:val="24"/>
    </w:rPr>
  </w:style>
  <w:style w:type="paragraph" w:customStyle="1" w:styleId="128">
    <w:name w:val="样式 标题 4h4heading 4h41heading 41h42heading 42h411heading ..."/>
    <w:basedOn w:val="6"/>
    <w:qFormat/>
    <w:uiPriority w:val="0"/>
    <w:pPr>
      <w:spacing w:beforeLines="50" w:afterLines="50" w:line="377" w:lineRule="auto"/>
      <w:ind w:left="2240" w:right="220"/>
      <w:jc w:val="left"/>
    </w:pPr>
    <w:rPr>
      <w:rFonts w:ascii="Cambria" w:hAnsi="Cambria" w:eastAsia="宋体" w:cs="宋体"/>
      <w:sz w:val="24"/>
      <w:szCs w:val="20"/>
    </w:rPr>
  </w:style>
  <w:style w:type="paragraph" w:customStyle="1" w:styleId="129">
    <w:name w:val="!项目ALT+P"/>
    <w:basedOn w:val="1"/>
    <w:qFormat/>
    <w:uiPriority w:val="0"/>
    <w:pPr>
      <w:numPr>
        <w:ilvl w:val="0"/>
        <w:numId w:val="9"/>
      </w:numPr>
      <w:spacing w:line="320" w:lineRule="atLeast"/>
      <w:ind w:firstLine="0"/>
      <w:textAlignment w:val="baseline"/>
    </w:pPr>
    <w:rPr>
      <w:szCs w:val="21"/>
    </w:rPr>
  </w:style>
  <w:style w:type="paragraph" w:customStyle="1" w:styleId="130">
    <w:name w:val="样式 样式 (符号) 宋体 小四 行距: 1.5 倍行距 首行缩进:  1.5 字符 + 宋体 首行缩进:  2 字符"/>
    <w:basedOn w:val="1"/>
    <w:qFormat/>
    <w:uiPriority w:val="0"/>
    <w:pPr>
      <w:ind w:firstLine="480" w:firstLineChars="200"/>
    </w:pPr>
    <w:rPr>
      <w:sz w:val="24"/>
      <w:szCs w:val="20"/>
    </w:rPr>
  </w:style>
  <w:style w:type="paragraph" w:customStyle="1" w:styleId="131">
    <w:name w:val="正文内容"/>
    <w:basedOn w:val="1"/>
    <w:next w:val="17"/>
    <w:link w:val="132"/>
    <w:qFormat/>
    <w:uiPriority w:val="0"/>
    <w:rPr>
      <w:rFonts w:ascii="Times New Roman" w:hAnsi="Times New Roman" w:cs="Times New Roman"/>
      <w:sz w:val="20"/>
    </w:rPr>
  </w:style>
  <w:style w:type="character" w:customStyle="1" w:styleId="132">
    <w:name w:val="正文内容 Char"/>
    <w:link w:val="131"/>
    <w:qFormat/>
    <w:uiPriority w:val="0"/>
    <w:rPr>
      <w:szCs w:val="24"/>
    </w:rPr>
  </w:style>
  <w:style w:type="paragraph" w:customStyle="1" w:styleId="133">
    <w:name w:val="方案标题1"/>
    <w:basedOn w:val="42"/>
    <w:qFormat/>
    <w:uiPriority w:val="0"/>
    <w:pPr>
      <w:numPr>
        <w:ilvl w:val="0"/>
        <w:numId w:val="10"/>
      </w:numPr>
      <w:spacing w:beforeLines="50" w:afterLines="50"/>
      <w:ind w:firstLine="200" w:firstLineChars="200"/>
      <w:jc w:val="both"/>
    </w:pPr>
    <w:rPr>
      <w:color w:val="000000"/>
    </w:rPr>
  </w:style>
  <w:style w:type="paragraph" w:customStyle="1" w:styleId="134">
    <w:name w:val="方案标题2"/>
    <w:basedOn w:val="42"/>
    <w:qFormat/>
    <w:uiPriority w:val="0"/>
    <w:pPr>
      <w:numPr>
        <w:ilvl w:val="1"/>
        <w:numId w:val="10"/>
      </w:numPr>
      <w:spacing w:beforeLines="50" w:afterLines="50"/>
      <w:ind w:firstLine="200" w:firstLineChars="200"/>
      <w:jc w:val="left"/>
      <w:outlineLvl w:val="1"/>
    </w:pPr>
    <w:rPr>
      <w:rFonts w:eastAsia="仿宋_GB2312"/>
      <w:color w:val="000000"/>
      <w:sz w:val="30"/>
      <w:szCs w:val="30"/>
    </w:rPr>
  </w:style>
  <w:style w:type="paragraph" w:customStyle="1" w:styleId="135">
    <w:name w:val="方案标题3"/>
    <w:basedOn w:val="42"/>
    <w:qFormat/>
    <w:uiPriority w:val="0"/>
    <w:pPr>
      <w:numPr>
        <w:ilvl w:val="2"/>
        <w:numId w:val="10"/>
      </w:numPr>
      <w:spacing w:beforeLines="50" w:afterLines="50" w:line="440" w:lineRule="exact"/>
      <w:ind w:firstLine="200" w:firstLineChars="200"/>
      <w:jc w:val="left"/>
      <w:outlineLvl w:val="2"/>
    </w:pPr>
    <w:rPr>
      <w:rFonts w:ascii="黑体" w:eastAsia="黑体"/>
      <w:color w:val="000000"/>
      <w:sz w:val="28"/>
      <w:szCs w:val="24"/>
    </w:rPr>
  </w:style>
  <w:style w:type="character" w:customStyle="1" w:styleId="136">
    <w:name w:val="标题 Char"/>
    <w:link w:val="42"/>
    <w:qFormat/>
    <w:uiPriority w:val="0"/>
    <w:rPr>
      <w:rFonts w:ascii="Arial" w:hAnsi="Arial" w:cs="Arial"/>
      <w:b/>
      <w:bCs/>
      <w:kern w:val="2"/>
      <w:sz w:val="36"/>
      <w:szCs w:val="32"/>
    </w:rPr>
  </w:style>
  <w:style w:type="paragraph" w:customStyle="1" w:styleId="137">
    <w:name w:val="正文Land"/>
    <w:basedOn w:val="1"/>
    <w:qFormat/>
    <w:uiPriority w:val="0"/>
    <w:pPr>
      <w:spacing w:beforeLines="20" w:afterLines="50"/>
      <w:ind w:firstLine="200" w:firstLineChars="200"/>
    </w:pPr>
    <w:rPr>
      <w:color w:val="000000"/>
      <w:sz w:val="24"/>
    </w:rPr>
  </w:style>
  <w:style w:type="paragraph" w:customStyle="1" w:styleId="138">
    <w:name w:val="样式5"/>
    <w:basedOn w:val="1"/>
    <w:qFormat/>
    <w:uiPriority w:val="0"/>
    <w:pPr>
      <w:numPr>
        <w:ilvl w:val="0"/>
        <w:numId w:val="11"/>
      </w:numPr>
      <w:spacing w:beforeLines="50" w:afterLines="50"/>
      <w:ind w:firstLine="0"/>
    </w:pPr>
    <w:rPr>
      <w:rFonts w:eastAsia="仿宋_GB2312"/>
      <w:color w:val="000000"/>
      <w:sz w:val="24"/>
    </w:rPr>
  </w:style>
  <w:style w:type="paragraph" w:customStyle="1" w:styleId="139">
    <w:name w:val="font6"/>
    <w:basedOn w:val="1"/>
    <w:qFormat/>
    <w:uiPriority w:val="0"/>
    <w:pPr>
      <w:spacing w:beforeAutospacing="1" w:afterAutospacing="1"/>
      <w:jc w:val="left"/>
    </w:pPr>
    <w:rPr>
      <w:sz w:val="18"/>
      <w:szCs w:val="18"/>
    </w:rPr>
  </w:style>
  <w:style w:type="paragraph" w:customStyle="1" w:styleId="140">
    <w:name w:val="xl64"/>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41">
    <w:name w:val="xl70"/>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142">
    <w:name w:val="xl71"/>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43">
    <w:name w:val="xl72"/>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144">
    <w:name w:val="xl73"/>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45">
    <w:name w:val="xl74"/>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146">
    <w:name w:val="xl75"/>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147">
    <w:name w:val="xl76"/>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148">
    <w:name w:val="xl77"/>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149">
    <w:name w:val="xl78"/>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150">
    <w:name w:val="xl79"/>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51">
    <w:name w:val="xl80"/>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152">
    <w:name w:val="xl81"/>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53">
    <w:name w:val="xl82"/>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154">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155">
    <w:name w:val="xl84"/>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56">
    <w:name w:val="xl85"/>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57">
    <w:name w:val="xl86"/>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158">
    <w:name w:val="xl87"/>
    <w:basedOn w:val="1"/>
    <w:qFormat/>
    <w:uiPriority w:val="0"/>
    <w:pPr>
      <w:spacing w:beforeAutospacing="1" w:afterAutospacing="1"/>
      <w:jc w:val="left"/>
    </w:pPr>
    <w:rPr>
      <w:sz w:val="24"/>
    </w:rPr>
  </w:style>
  <w:style w:type="paragraph" w:customStyle="1" w:styleId="159">
    <w:name w:val="xl8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160">
    <w:name w:val="xl89"/>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61">
    <w:name w:val="Bulleted Items--Level 2"/>
    <w:basedOn w:val="1"/>
    <w:qFormat/>
    <w:uiPriority w:val="0"/>
    <w:pPr>
      <w:numPr>
        <w:ilvl w:val="0"/>
        <w:numId w:val="12"/>
      </w:numPr>
      <w:tabs>
        <w:tab w:val="left" w:pos="1771"/>
        <w:tab w:val="left" w:pos="2520"/>
        <w:tab w:val="clear" w:pos="360"/>
      </w:tabs>
      <w:spacing w:line="280" w:lineRule="exact"/>
      <w:ind w:left="2520" w:firstLine="0"/>
    </w:pPr>
    <w:rPr>
      <w:color w:val="000000"/>
      <w:sz w:val="22"/>
      <w:szCs w:val="20"/>
      <w:lang w:eastAsia="en-US"/>
    </w:rPr>
  </w:style>
  <w:style w:type="paragraph" w:customStyle="1" w:styleId="162">
    <w:name w:val="xl9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163">
    <w:name w:val="xl91"/>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164">
    <w:name w:val="xl9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165">
    <w:name w:val="xl9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66">
    <w:name w:val="xl9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167">
    <w:name w:val="xl95"/>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168">
    <w:name w:val="xl9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169">
    <w:name w:val="xl9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170">
    <w:name w:val="xl98"/>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171">
    <w:name w:val="xl9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172">
    <w:name w:val="xl10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173">
    <w:name w:val="xl101"/>
    <w:basedOn w:val="1"/>
    <w:qFormat/>
    <w:uiPriority w:val="0"/>
    <w:pPr>
      <w:spacing w:beforeAutospacing="1" w:afterAutospacing="1"/>
      <w:jc w:val="left"/>
      <w:textAlignment w:val="center"/>
    </w:pPr>
    <w:rPr>
      <w:color w:val="FF0000"/>
      <w:sz w:val="20"/>
      <w:szCs w:val="20"/>
    </w:rPr>
  </w:style>
  <w:style w:type="paragraph" w:customStyle="1" w:styleId="174">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175">
    <w:name w:val="xl103"/>
    <w:basedOn w:val="1"/>
    <w:qFormat/>
    <w:uiPriority w:val="0"/>
    <w:pPr>
      <w:spacing w:beforeAutospacing="1" w:afterAutospacing="1"/>
      <w:jc w:val="left"/>
      <w:textAlignment w:val="center"/>
    </w:pPr>
    <w:rPr>
      <w:color w:val="FF0000"/>
      <w:sz w:val="22"/>
      <w:szCs w:val="22"/>
    </w:rPr>
  </w:style>
  <w:style w:type="paragraph" w:customStyle="1" w:styleId="176">
    <w:name w:val="xl104"/>
    <w:basedOn w:val="1"/>
    <w:qFormat/>
    <w:uiPriority w:val="0"/>
    <w:pPr>
      <w:spacing w:beforeAutospacing="1" w:afterAutospacing="1"/>
      <w:jc w:val="center"/>
    </w:pPr>
    <w:rPr>
      <w:sz w:val="24"/>
    </w:rPr>
  </w:style>
  <w:style w:type="paragraph" w:customStyle="1" w:styleId="177">
    <w:name w:val="xl10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178">
    <w:name w:val="xl10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179">
    <w:name w:val="xl10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180">
    <w:name w:val="xl10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181">
    <w:name w:val="xl10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182">
    <w:name w:val="xl11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183">
    <w:name w:val="xl111"/>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184">
    <w:name w:val="xl11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85">
    <w:name w:val="xl11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186">
    <w:name w:val="xl114"/>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187">
    <w:name w:val="xl11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88">
    <w:name w:val="xl11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89">
    <w:name w:val="xl11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190">
    <w:name w:val="xl11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91">
    <w:name w:val="xl11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92">
    <w:name w:val="xl12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193">
    <w:name w:val="xl121"/>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194">
    <w:name w:val="xl12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95">
    <w:name w:val="xl123"/>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196">
    <w:name w:val="xl12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197">
    <w:name w:val="xl12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198">
    <w:name w:val="xl126"/>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199">
    <w:name w:val="xl127"/>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200">
    <w:name w:val="xl12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201">
    <w:name w:val="xl12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202">
    <w:name w:val="xl13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203">
    <w:name w:val="xl131"/>
    <w:basedOn w:val="1"/>
    <w:qFormat/>
    <w:uiPriority w:val="0"/>
    <w:pPr>
      <w:pBdr>
        <w:top w:val="single" w:color="auto" w:sz="4" w:space="0"/>
        <w:left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4">
    <w:name w:val="xl132"/>
    <w:basedOn w:val="1"/>
    <w:qFormat/>
    <w:uiPriority w:val="0"/>
    <w:pPr>
      <w:pBdr>
        <w:top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5">
    <w:name w:val="xl133"/>
    <w:basedOn w:val="1"/>
    <w:qFormat/>
    <w:uiPriority w:val="0"/>
    <w:pPr>
      <w:pBdr>
        <w:top w:val="single" w:color="auto" w:sz="4" w:space="0"/>
        <w:bottom w:val="single" w:color="auto" w:sz="4" w:space="0"/>
        <w:right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6">
    <w:name w:val="样式 首行缩进:  0 字符"/>
    <w:basedOn w:val="1"/>
    <w:qFormat/>
    <w:uiPriority w:val="0"/>
    <w:pPr>
      <w:ind w:firstLine="200" w:firstLineChars="200"/>
    </w:pPr>
    <w:rPr>
      <w:sz w:val="24"/>
      <w:szCs w:val="20"/>
    </w:rPr>
  </w:style>
  <w:style w:type="paragraph" w:customStyle="1" w:styleId="207">
    <w:name w:val="5"/>
    <w:basedOn w:val="1"/>
    <w:qFormat/>
    <w:uiPriority w:val="0"/>
    <w:pPr>
      <w:ind w:firstLine="200" w:firstLineChars="200"/>
      <w:jc w:val="left"/>
    </w:pPr>
    <w:rPr>
      <w:sz w:val="24"/>
    </w:rPr>
  </w:style>
  <w:style w:type="paragraph" w:customStyle="1" w:styleId="208">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209">
    <w:name w:val="附件标题"/>
    <w:basedOn w:val="1"/>
    <w:qFormat/>
    <w:uiPriority w:val="0"/>
    <w:pPr>
      <w:ind w:firstLine="200" w:firstLineChars="200"/>
      <w:jc w:val="center"/>
    </w:pPr>
    <w:rPr>
      <w:rFonts w:ascii="Arial" w:hAnsi="Arial" w:eastAsia="黑体"/>
      <w:sz w:val="24"/>
    </w:rPr>
  </w:style>
  <w:style w:type="paragraph" w:customStyle="1" w:styleId="210">
    <w:name w:val="附件(1)"/>
    <w:basedOn w:val="1"/>
    <w:qFormat/>
    <w:uiPriority w:val="0"/>
    <w:pPr>
      <w:numPr>
        <w:ilvl w:val="0"/>
        <w:numId w:val="13"/>
      </w:numPr>
      <w:ind w:firstLine="200" w:firstLineChars="200"/>
    </w:pPr>
    <w:rPr>
      <w:sz w:val="24"/>
    </w:rPr>
  </w:style>
  <w:style w:type="paragraph" w:customStyle="1" w:styleId="211">
    <w:name w:val="附件1."/>
    <w:basedOn w:val="3"/>
    <w:qFormat/>
    <w:uiPriority w:val="0"/>
    <w:pPr>
      <w:tabs>
        <w:tab w:val="left" w:pos="360"/>
        <w:tab w:val="left" w:pos="420"/>
        <w:tab w:val="clear" w:pos="426"/>
      </w:tabs>
      <w:spacing w:before="0" w:after="0" w:line="360" w:lineRule="auto"/>
      <w:ind w:left="567" w:hanging="567"/>
      <w:jc w:val="both"/>
    </w:pPr>
    <w:rPr>
      <w:rFonts w:ascii="Times New Roman" w:hAnsi="Times New Roman" w:eastAsia="宋体"/>
      <w:sz w:val="24"/>
      <w:szCs w:val="44"/>
    </w:rPr>
  </w:style>
  <w:style w:type="paragraph" w:customStyle="1" w:styleId="212">
    <w:name w:val="附件圈"/>
    <w:basedOn w:val="210"/>
    <w:qFormat/>
    <w:uiPriority w:val="0"/>
    <w:pPr>
      <w:numPr>
        <w:numId w:val="0"/>
      </w:numPr>
      <w:tabs>
        <w:tab w:val="left" w:pos="420"/>
        <w:tab w:val="clear" w:pos="426"/>
      </w:tabs>
      <w:ind w:firstLine="420" w:firstLineChars="200"/>
    </w:pPr>
  </w:style>
  <w:style w:type="character" w:customStyle="1" w:styleId="213">
    <w:name w:val="正文文本缩进 2 Char"/>
    <w:link w:val="27"/>
    <w:qFormat/>
    <w:uiPriority w:val="0"/>
    <w:rPr>
      <w:rFonts w:ascii="宋体" w:hAnsi="宋体"/>
      <w:kern w:val="2"/>
      <w:sz w:val="21"/>
      <w:szCs w:val="24"/>
    </w:rPr>
  </w:style>
  <w:style w:type="character" w:customStyle="1" w:styleId="214">
    <w:name w:val="正文文本缩进 Char"/>
    <w:link w:val="21"/>
    <w:qFormat/>
    <w:uiPriority w:val="0"/>
    <w:rPr>
      <w:kern w:val="2"/>
      <w:sz w:val="21"/>
      <w:szCs w:val="24"/>
    </w:rPr>
  </w:style>
  <w:style w:type="paragraph" w:customStyle="1" w:styleId="215">
    <w:name w:val="样式 标题 2H2Heading 2 HiddenHeading 2 CCBSheading 22nd levelh..."/>
    <w:basedOn w:val="4"/>
    <w:qFormat/>
    <w:uiPriority w:val="0"/>
    <w:pPr>
      <w:adjustRightInd/>
      <w:spacing w:before="120" w:after="120"/>
      <w:ind w:left="576" w:hanging="576"/>
      <w:jc w:val="left"/>
      <w:textAlignment w:val="auto"/>
    </w:pPr>
    <w:rPr>
      <w:rFonts w:ascii="Arial" w:hAnsi="Arial" w:eastAsia="黑体" w:cs="宋体"/>
      <w:bCs/>
      <w:kern w:val="2"/>
      <w:sz w:val="28"/>
      <w:szCs w:val="28"/>
    </w:rPr>
  </w:style>
  <w:style w:type="paragraph" w:customStyle="1" w:styleId="216">
    <w:name w:val="样式 标题 2H2Heading 2 HiddenHeading 2 CCBSheading 22nd levelh...1"/>
    <w:basedOn w:val="4"/>
    <w:qFormat/>
    <w:uiPriority w:val="0"/>
    <w:pPr>
      <w:adjustRightInd/>
      <w:spacing w:before="240" w:after="240"/>
      <w:ind w:left="576" w:hanging="576"/>
      <w:jc w:val="left"/>
      <w:textAlignment w:val="auto"/>
    </w:pPr>
    <w:rPr>
      <w:bCs/>
      <w:kern w:val="2"/>
      <w:sz w:val="28"/>
      <w:szCs w:val="28"/>
    </w:rPr>
  </w:style>
  <w:style w:type="character" w:customStyle="1" w:styleId="217">
    <w:name w:val="Default Char"/>
    <w:link w:val="80"/>
    <w:qFormat/>
    <w:uiPriority w:val="0"/>
    <w:rPr>
      <w:rFonts w:ascii="宋体" w:hAnsi="Calibri"/>
      <w:color w:val="000000"/>
      <w:sz w:val="24"/>
      <w:szCs w:val="24"/>
      <w:lang w:bidi="ar-SA"/>
    </w:rPr>
  </w:style>
  <w:style w:type="paragraph" w:customStyle="1" w:styleId="218">
    <w:name w:val="CM51"/>
    <w:basedOn w:val="80"/>
    <w:next w:val="80"/>
    <w:qFormat/>
    <w:uiPriority w:val="0"/>
    <w:pPr>
      <w:spacing w:after="103"/>
    </w:pPr>
    <w:rPr>
      <w:rFonts w:ascii="黑体" w:eastAsia="黑体"/>
      <w:color w:val="auto"/>
    </w:rPr>
  </w:style>
  <w:style w:type="paragraph" w:customStyle="1" w:styleId="219">
    <w:name w:val="pan"/>
    <w:basedOn w:val="78"/>
    <w:link w:val="220"/>
    <w:qFormat/>
    <w:uiPriority w:val="0"/>
    <w:pPr>
      <w:numPr>
        <w:ilvl w:val="0"/>
        <w:numId w:val="14"/>
      </w:numPr>
      <w:tabs>
        <w:tab w:val="left" w:pos="840"/>
      </w:tabs>
      <w:ind w:left="840" w:hanging="420" w:firstLineChars="0"/>
      <w:outlineLvl w:val="0"/>
    </w:pPr>
    <w:rPr>
      <w:rFonts w:ascii="黑体" w:hAnsi="黑体" w:eastAsia="黑体"/>
      <w:sz w:val="32"/>
      <w:szCs w:val="32"/>
    </w:rPr>
  </w:style>
  <w:style w:type="character" w:customStyle="1" w:styleId="220">
    <w:name w:val="pan Char"/>
    <w:link w:val="219"/>
    <w:qFormat/>
    <w:uiPriority w:val="0"/>
    <w:rPr>
      <w:rFonts w:ascii="黑体" w:hAnsi="黑体" w:eastAsia="黑体"/>
      <w:kern w:val="2"/>
      <w:sz w:val="32"/>
      <w:szCs w:val="32"/>
      <w:shd w:val="clear" w:color="auto" w:fill="FFFFFF"/>
    </w:rPr>
  </w:style>
  <w:style w:type="paragraph" w:customStyle="1" w:styleId="221">
    <w:name w:val="pan2"/>
    <w:basedOn w:val="78"/>
    <w:link w:val="222"/>
    <w:qFormat/>
    <w:uiPriority w:val="0"/>
    <w:pPr>
      <w:numPr>
        <w:ilvl w:val="1"/>
        <w:numId w:val="14"/>
      </w:numPr>
      <w:tabs>
        <w:tab w:val="left" w:pos="840"/>
      </w:tabs>
      <w:ind w:left="840" w:hanging="420" w:firstLineChars="0"/>
      <w:outlineLvl w:val="1"/>
    </w:pPr>
    <w:rPr>
      <w:rFonts w:ascii="黑体" w:hAnsi="黑体" w:eastAsia="黑体"/>
      <w:sz w:val="30"/>
      <w:szCs w:val="30"/>
    </w:rPr>
  </w:style>
  <w:style w:type="character" w:customStyle="1" w:styleId="222">
    <w:name w:val="pan2 Char"/>
    <w:link w:val="221"/>
    <w:qFormat/>
    <w:uiPriority w:val="0"/>
    <w:rPr>
      <w:rFonts w:ascii="黑体" w:hAnsi="黑体" w:eastAsia="黑体"/>
      <w:kern w:val="2"/>
      <w:sz w:val="30"/>
      <w:szCs w:val="30"/>
      <w:shd w:val="clear" w:color="auto" w:fill="FFFFFF"/>
    </w:rPr>
  </w:style>
  <w:style w:type="paragraph" w:customStyle="1" w:styleId="223">
    <w:name w:val="pan3"/>
    <w:basedOn w:val="78"/>
    <w:link w:val="224"/>
    <w:qFormat/>
    <w:uiPriority w:val="0"/>
    <w:pPr>
      <w:numPr>
        <w:ilvl w:val="2"/>
        <w:numId w:val="14"/>
      </w:numPr>
      <w:tabs>
        <w:tab w:val="left" w:pos="1260"/>
      </w:tabs>
      <w:ind w:left="1260" w:hanging="420" w:firstLineChars="0"/>
      <w:outlineLvl w:val="2"/>
    </w:pPr>
    <w:rPr>
      <w:rFonts w:ascii="黑体" w:hAnsi="黑体" w:eastAsia="黑体"/>
      <w:sz w:val="28"/>
      <w:szCs w:val="28"/>
    </w:rPr>
  </w:style>
  <w:style w:type="character" w:customStyle="1" w:styleId="224">
    <w:name w:val="pan3 Char"/>
    <w:link w:val="223"/>
    <w:qFormat/>
    <w:uiPriority w:val="0"/>
    <w:rPr>
      <w:rFonts w:ascii="黑体" w:hAnsi="黑体" w:eastAsia="黑体"/>
      <w:kern w:val="2"/>
      <w:sz w:val="28"/>
      <w:szCs w:val="28"/>
      <w:shd w:val="clear" w:color="auto" w:fill="FFFFFF"/>
    </w:rPr>
  </w:style>
  <w:style w:type="paragraph" w:customStyle="1" w:styleId="225">
    <w:name w:val="pan4"/>
    <w:basedOn w:val="78"/>
    <w:link w:val="226"/>
    <w:qFormat/>
    <w:uiPriority w:val="0"/>
    <w:pPr>
      <w:numPr>
        <w:ilvl w:val="3"/>
        <w:numId w:val="14"/>
      </w:numPr>
      <w:tabs>
        <w:tab w:val="left" w:pos="1680"/>
      </w:tabs>
      <w:ind w:left="1680" w:hanging="420" w:firstLineChars="0"/>
      <w:outlineLvl w:val="3"/>
    </w:pPr>
    <w:rPr>
      <w:rFonts w:ascii="黑体" w:hAnsi="黑体" w:eastAsia="黑体"/>
      <w:sz w:val="28"/>
      <w:szCs w:val="28"/>
    </w:rPr>
  </w:style>
  <w:style w:type="character" w:customStyle="1" w:styleId="226">
    <w:name w:val="pan4 Char"/>
    <w:link w:val="225"/>
    <w:qFormat/>
    <w:uiPriority w:val="0"/>
    <w:rPr>
      <w:rFonts w:ascii="黑体" w:hAnsi="黑体" w:eastAsia="黑体"/>
      <w:kern w:val="2"/>
      <w:sz w:val="28"/>
      <w:szCs w:val="28"/>
      <w:shd w:val="clear" w:color="auto" w:fill="FFFFFF"/>
    </w:rPr>
  </w:style>
  <w:style w:type="paragraph" w:customStyle="1" w:styleId="227">
    <w:name w:val="pan5"/>
    <w:basedOn w:val="78"/>
    <w:link w:val="228"/>
    <w:qFormat/>
    <w:uiPriority w:val="0"/>
    <w:pPr>
      <w:numPr>
        <w:ilvl w:val="4"/>
        <w:numId w:val="14"/>
      </w:numPr>
      <w:tabs>
        <w:tab w:val="left" w:pos="1008"/>
      </w:tabs>
      <w:ind w:left="1008" w:hanging="1008" w:firstLineChars="0"/>
      <w:outlineLvl w:val="4"/>
    </w:pPr>
    <w:rPr>
      <w:rFonts w:ascii="黑体" w:hAnsi="黑体" w:eastAsia="黑体"/>
      <w:sz w:val="24"/>
    </w:rPr>
  </w:style>
  <w:style w:type="character" w:customStyle="1" w:styleId="228">
    <w:name w:val="pan5 Char"/>
    <w:link w:val="227"/>
    <w:qFormat/>
    <w:uiPriority w:val="0"/>
    <w:rPr>
      <w:rFonts w:ascii="黑体" w:hAnsi="黑体" w:eastAsia="黑体"/>
      <w:kern w:val="2"/>
      <w:sz w:val="24"/>
      <w:szCs w:val="24"/>
      <w:shd w:val="clear" w:color="auto" w:fill="FFFFFF"/>
    </w:rPr>
  </w:style>
  <w:style w:type="paragraph" w:customStyle="1" w:styleId="229">
    <w:name w:val="一级标题"/>
    <w:basedOn w:val="78"/>
    <w:link w:val="231"/>
    <w:qFormat/>
    <w:uiPriority w:val="0"/>
    <w:pPr>
      <w:numPr>
        <w:ilvl w:val="0"/>
        <w:numId w:val="15"/>
      </w:numPr>
      <w:spacing w:line="720" w:lineRule="auto"/>
      <w:ind w:firstLineChars="0"/>
      <w:jc w:val="center"/>
      <w:outlineLvl w:val="0"/>
    </w:pPr>
    <w:rPr>
      <w:rFonts w:ascii="黑体" w:hAnsi="黑体" w:eastAsia="黑体"/>
      <w:sz w:val="44"/>
      <w:szCs w:val="44"/>
    </w:rPr>
  </w:style>
  <w:style w:type="paragraph" w:customStyle="1" w:styleId="230">
    <w:name w:val="二级标题"/>
    <w:basedOn w:val="78"/>
    <w:link w:val="233"/>
    <w:qFormat/>
    <w:uiPriority w:val="0"/>
    <w:pPr>
      <w:numPr>
        <w:ilvl w:val="1"/>
        <w:numId w:val="15"/>
      </w:numPr>
      <w:spacing w:line="720" w:lineRule="auto"/>
      <w:ind w:firstLineChars="0"/>
      <w:outlineLvl w:val="1"/>
    </w:pPr>
    <w:rPr>
      <w:rFonts w:ascii="黑体" w:hAnsi="黑体" w:eastAsia="黑体"/>
      <w:sz w:val="36"/>
      <w:szCs w:val="36"/>
    </w:rPr>
  </w:style>
  <w:style w:type="character" w:customStyle="1" w:styleId="231">
    <w:name w:val="一级标题 Char"/>
    <w:link w:val="229"/>
    <w:qFormat/>
    <w:uiPriority w:val="0"/>
    <w:rPr>
      <w:rFonts w:ascii="黑体" w:hAnsi="黑体" w:eastAsia="黑体"/>
      <w:kern w:val="2"/>
      <w:sz w:val="44"/>
      <w:szCs w:val="44"/>
      <w:shd w:val="clear" w:color="auto" w:fill="FFFFFF"/>
    </w:rPr>
  </w:style>
  <w:style w:type="paragraph" w:customStyle="1" w:styleId="232">
    <w:name w:val="三级标题"/>
    <w:basedOn w:val="78"/>
    <w:link w:val="235"/>
    <w:qFormat/>
    <w:uiPriority w:val="0"/>
    <w:pPr>
      <w:numPr>
        <w:ilvl w:val="2"/>
        <w:numId w:val="15"/>
      </w:numPr>
      <w:spacing w:line="720" w:lineRule="auto"/>
      <w:ind w:firstLineChars="0"/>
      <w:outlineLvl w:val="2"/>
    </w:pPr>
    <w:rPr>
      <w:rFonts w:ascii="黑体" w:hAnsi="黑体" w:eastAsia="黑体"/>
      <w:sz w:val="32"/>
      <w:szCs w:val="32"/>
    </w:rPr>
  </w:style>
  <w:style w:type="character" w:customStyle="1" w:styleId="233">
    <w:name w:val="二级标题 Char"/>
    <w:link w:val="230"/>
    <w:qFormat/>
    <w:uiPriority w:val="0"/>
    <w:rPr>
      <w:rFonts w:ascii="黑体" w:hAnsi="黑体" w:eastAsia="黑体"/>
      <w:kern w:val="2"/>
      <w:sz w:val="36"/>
      <w:szCs w:val="36"/>
      <w:shd w:val="clear" w:color="auto" w:fill="FFFFFF"/>
    </w:rPr>
  </w:style>
  <w:style w:type="paragraph" w:customStyle="1" w:styleId="234">
    <w:name w:val="四级标题"/>
    <w:basedOn w:val="78"/>
    <w:link w:val="237"/>
    <w:qFormat/>
    <w:uiPriority w:val="0"/>
    <w:pPr>
      <w:numPr>
        <w:ilvl w:val="3"/>
        <w:numId w:val="15"/>
      </w:numPr>
      <w:spacing w:line="720" w:lineRule="auto"/>
      <w:ind w:firstLineChars="0"/>
      <w:outlineLvl w:val="3"/>
    </w:pPr>
    <w:rPr>
      <w:rFonts w:ascii="黑体" w:hAnsi="黑体" w:eastAsia="黑体"/>
      <w:sz w:val="30"/>
      <w:szCs w:val="30"/>
    </w:rPr>
  </w:style>
  <w:style w:type="character" w:customStyle="1" w:styleId="235">
    <w:name w:val="三级标题 Char"/>
    <w:link w:val="232"/>
    <w:qFormat/>
    <w:uiPriority w:val="0"/>
    <w:rPr>
      <w:rFonts w:ascii="黑体" w:hAnsi="黑体" w:eastAsia="黑体"/>
      <w:kern w:val="2"/>
      <w:sz w:val="32"/>
      <w:szCs w:val="32"/>
      <w:shd w:val="clear" w:color="auto" w:fill="FFFFFF"/>
    </w:rPr>
  </w:style>
  <w:style w:type="paragraph" w:customStyle="1" w:styleId="236">
    <w:name w:val="五级标题"/>
    <w:basedOn w:val="78"/>
    <w:link w:val="238"/>
    <w:qFormat/>
    <w:uiPriority w:val="0"/>
    <w:pPr>
      <w:numPr>
        <w:ilvl w:val="4"/>
        <w:numId w:val="15"/>
      </w:numPr>
      <w:spacing w:line="720" w:lineRule="auto"/>
      <w:ind w:firstLineChars="0"/>
      <w:outlineLvl w:val="4"/>
    </w:pPr>
    <w:rPr>
      <w:rFonts w:ascii="黑体" w:hAnsi="黑体" w:eastAsia="黑体"/>
      <w:sz w:val="28"/>
      <w:szCs w:val="28"/>
    </w:rPr>
  </w:style>
  <w:style w:type="character" w:customStyle="1" w:styleId="237">
    <w:name w:val="四级标题 Char"/>
    <w:link w:val="234"/>
    <w:qFormat/>
    <w:uiPriority w:val="0"/>
    <w:rPr>
      <w:rFonts w:ascii="黑体" w:hAnsi="黑体" w:eastAsia="黑体"/>
      <w:kern w:val="2"/>
      <w:sz w:val="30"/>
      <w:szCs w:val="30"/>
      <w:shd w:val="clear" w:color="auto" w:fill="FFFFFF"/>
    </w:rPr>
  </w:style>
  <w:style w:type="character" w:customStyle="1" w:styleId="238">
    <w:name w:val="五级标题 Char"/>
    <w:link w:val="236"/>
    <w:qFormat/>
    <w:uiPriority w:val="0"/>
    <w:rPr>
      <w:rFonts w:ascii="黑体" w:hAnsi="黑体" w:eastAsia="黑体"/>
      <w:kern w:val="2"/>
      <w:sz w:val="28"/>
      <w:szCs w:val="28"/>
      <w:shd w:val="clear" w:color="auto" w:fill="FFFFFF"/>
    </w:rPr>
  </w:style>
  <w:style w:type="paragraph" w:customStyle="1" w:styleId="239">
    <w:name w:val="图片"/>
    <w:basedOn w:val="1"/>
    <w:link w:val="241"/>
    <w:qFormat/>
    <w:uiPriority w:val="0"/>
    <w:pPr>
      <w:ind w:firstLine="200" w:firstLineChars="200"/>
      <w:jc w:val="center"/>
    </w:pPr>
    <w:rPr>
      <w:rFonts w:cs="Times New Roman"/>
      <w:kern w:val="2"/>
      <w:sz w:val="24"/>
    </w:rPr>
  </w:style>
  <w:style w:type="paragraph" w:customStyle="1" w:styleId="240">
    <w:name w:val="图片注释"/>
    <w:basedOn w:val="1"/>
    <w:link w:val="242"/>
    <w:qFormat/>
    <w:uiPriority w:val="0"/>
    <w:pPr>
      <w:spacing w:afterLines="25"/>
      <w:ind w:firstLine="200" w:firstLineChars="200"/>
      <w:jc w:val="center"/>
    </w:pPr>
    <w:rPr>
      <w:rFonts w:cs="Times New Roman"/>
      <w:kern w:val="2"/>
      <w:sz w:val="24"/>
      <w:u w:val="single"/>
    </w:rPr>
  </w:style>
  <w:style w:type="character" w:customStyle="1" w:styleId="241">
    <w:name w:val="图片 Char"/>
    <w:link w:val="239"/>
    <w:qFormat/>
    <w:uiPriority w:val="0"/>
    <w:rPr>
      <w:rFonts w:ascii="宋体" w:hAnsi="宋体"/>
      <w:kern w:val="2"/>
      <w:sz w:val="24"/>
      <w:szCs w:val="24"/>
    </w:rPr>
  </w:style>
  <w:style w:type="character" w:customStyle="1" w:styleId="242">
    <w:name w:val="图片注释 Char"/>
    <w:link w:val="240"/>
    <w:qFormat/>
    <w:uiPriority w:val="0"/>
    <w:rPr>
      <w:rFonts w:ascii="宋体" w:hAnsi="宋体"/>
      <w:kern w:val="2"/>
      <w:sz w:val="24"/>
      <w:szCs w:val="24"/>
      <w:u w:val="single"/>
    </w:rPr>
  </w:style>
  <w:style w:type="paragraph" w:customStyle="1" w:styleId="243">
    <w:name w:val="段内层标"/>
    <w:basedOn w:val="131"/>
    <w:link w:val="244"/>
    <w:qFormat/>
    <w:uiPriority w:val="0"/>
    <w:pPr>
      <w:numPr>
        <w:ilvl w:val="0"/>
        <w:numId w:val="16"/>
      </w:numPr>
      <w:spacing w:beforeLines="25" w:afterLines="25"/>
      <w:ind w:firstLine="200" w:firstLineChars="200"/>
    </w:pPr>
    <w:rPr>
      <w:rFonts w:ascii="宋体" w:hAnsi="宋体"/>
      <w:b/>
      <w:kern w:val="2"/>
      <w:sz w:val="28"/>
      <w:szCs w:val="28"/>
    </w:rPr>
  </w:style>
  <w:style w:type="character" w:customStyle="1" w:styleId="244">
    <w:name w:val="段内层标 Char"/>
    <w:link w:val="243"/>
    <w:qFormat/>
    <w:uiPriority w:val="0"/>
    <w:rPr>
      <w:rFonts w:ascii="宋体" w:hAnsi="宋体"/>
      <w:b/>
      <w:kern w:val="2"/>
      <w:sz w:val="28"/>
      <w:szCs w:val="28"/>
      <w:shd w:val="clear" w:color="auto" w:fill="FFFFFF"/>
    </w:rPr>
  </w:style>
  <w:style w:type="paragraph" w:customStyle="1" w:styleId="245">
    <w:name w:val="方案设计1级标题"/>
    <w:basedOn w:val="78"/>
    <w:qFormat/>
    <w:uiPriority w:val="0"/>
    <w:pPr>
      <w:tabs>
        <w:tab w:val="left" w:pos="840"/>
      </w:tabs>
      <w:ind w:left="840" w:firstLine="0" w:firstLineChars="0"/>
      <w:jc w:val="center"/>
      <w:outlineLvl w:val="0"/>
    </w:pPr>
    <w:rPr>
      <w:rFonts w:ascii="黑体" w:hAnsi="黑体" w:eastAsia="黑体"/>
      <w:sz w:val="44"/>
      <w:szCs w:val="44"/>
    </w:rPr>
  </w:style>
  <w:style w:type="paragraph" w:customStyle="1" w:styleId="246">
    <w:name w:val="方案设计2级标题"/>
    <w:basedOn w:val="78"/>
    <w:qFormat/>
    <w:uiPriority w:val="0"/>
    <w:pPr>
      <w:numPr>
        <w:ilvl w:val="1"/>
        <w:numId w:val="17"/>
      </w:numPr>
      <w:ind w:firstLine="0" w:firstLineChars="0"/>
      <w:outlineLvl w:val="1"/>
    </w:pPr>
    <w:rPr>
      <w:rFonts w:ascii="黑体" w:hAnsi="黑体" w:eastAsia="黑体"/>
      <w:sz w:val="32"/>
      <w:szCs w:val="32"/>
    </w:rPr>
  </w:style>
  <w:style w:type="paragraph" w:customStyle="1" w:styleId="247">
    <w:name w:val="标题3"/>
    <w:basedOn w:val="78"/>
    <w:link w:val="252"/>
    <w:qFormat/>
    <w:uiPriority w:val="0"/>
    <w:pPr>
      <w:numPr>
        <w:ilvl w:val="2"/>
        <w:numId w:val="17"/>
      </w:numPr>
      <w:ind w:firstLine="0" w:firstLineChars="0"/>
      <w:outlineLvl w:val="2"/>
    </w:pPr>
    <w:rPr>
      <w:rFonts w:ascii="黑体" w:hAnsi="黑体" w:eastAsia="黑体"/>
      <w:sz w:val="28"/>
      <w:szCs w:val="28"/>
    </w:rPr>
  </w:style>
  <w:style w:type="paragraph" w:customStyle="1" w:styleId="248">
    <w:name w:val="标题5"/>
    <w:basedOn w:val="78"/>
    <w:qFormat/>
    <w:uiPriority w:val="0"/>
    <w:pPr>
      <w:tabs>
        <w:tab w:val="left" w:pos="2038"/>
      </w:tabs>
      <w:ind w:left="2038" w:hanging="420" w:firstLineChars="0"/>
      <w:jc w:val="left"/>
      <w:outlineLvl w:val="4"/>
    </w:pPr>
    <w:rPr>
      <w:rFonts w:ascii="黑体" w:hAnsi="黑体" w:eastAsia="黑体"/>
      <w:sz w:val="28"/>
      <w:szCs w:val="28"/>
    </w:rPr>
  </w:style>
  <w:style w:type="paragraph" w:customStyle="1" w:styleId="249">
    <w:name w:val="正文标题"/>
    <w:basedOn w:val="1"/>
    <w:link w:val="250"/>
    <w:qFormat/>
    <w:uiPriority w:val="0"/>
    <w:pPr>
      <w:numPr>
        <w:ilvl w:val="0"/>
        <w:numId w:val="17"/>
      </w:numPr>
      <w:ind w:firstLine="200" w:firstLineChars="200"/>
    </w:pPr>
    <w:rPr>
      <w:rFonts w:ascii="Calibri" w:hAnsi="Calibri" w:cs="Times New Roman"/>
      <w:b/>
      <w:kern w:val="2"/>
      <w:sz w:val="28"/>
      <w:szCs w:val="28"/>
    </w:rPr>
  </w:style>
  <w:style w:type="character" w:customStyle="1" w:styleId="250">
    <w:name w:val="正文标题 Char"/>
    <w:link w:val="249"/>
    <w:qFormat/>
    <w:uiPriority w:val="0"/>
    <w:rPr>
      <w:rFonts w:ascii="Calibri" w:hAnsi="Calibri"/>
      <w:b/>
      <w:kern w:val="2"/>
      <w:sz w:val="28"/>
      <w:szCs w:val="28"/>
      <w:shd w:val="clear" w:color="auto" w:fill="FFFFFF"/>
    </w:rPr>
  </w:style>
  <w:style w:type="character" w:customStyle="1" w:styleId="251">
    <w:name w:val="批注主题 Char"/>
    <w:link w:val="43"/>
    <w:qFormat/>
    <w:uiPriority w:val="0"/>
    <w:rPr>
      <w:b/>
      <w:bCs/>
      <w:kern w:val="2"/>
      <w:sz w:val="21"/>
      <w:szCs w:val="24"/>
    </w:rPr>
  </w:style>
  <w:style w:type="character" w:customStyle="1" w:styleId="252">
    <w:name w:val="标题3 Char"/>
    <w:link w:val="247"/>
    <w:qFormat/>
    <w:uiPriority w:val="0"/>
    <w:rPr>
      <w:rFonts w:ascii="黑体" w:hAnsi="黑体" w:eastAsia="黑体"/>
      <w:kern w:val="2"/>
      <w:sz w:val="28"/>
      <w:szCs w:val="28"/>
      <w:shd w:val="clear" w:color="auto" w:fill="FFFFFF"/>
    </w:rPr>
  </w:style>
  <w:style w:type="paragraph" w:customStyle="1" w:styleId="253">
    <w:name w:val="样式 Verdana 四号 首行缩进:  2 字符"/>
    <w:basedOn w:val="1"/>
    <w:qFormat/>
    <w:uiPriority w:val="0"/>
    <w:pPr>
      <w:ind w:firstLine="560" w:firstLineChars="200"/>
      <w:jc w:val="left"/>
    </w:pPr>
    <w:rPr>
      <w:rFonts w:ascii="Verdana" w:hAnsi="Verdana"/>
      <w:sz w:val="24"/>
      <w:szCs w:val="20"/>
    </w:rPr>
  </w:style>
  <w:style w:type="paragraph" w:customStyle="1" w:styleId="254">
    <w:name w:val="层标"/>
    <w:basedOn w:val="131"/>
    <w:link w:val="255"/>
    <w:qFormat/>
    <w:uiPriority w:val="0"/>
    <w:pPr>
      <w:numPr>
        <w:ilvl w:val="0"/>
        <w:numId w:val="18"/>
      </w:numPr>
      <w:spacing w:beforeLines="25" w:afterLines="25"/>
      <w:ind w:firstLine="0"/>
    </w:pPr>
    <w:rPr>
      <w:rFonts w:ascii="宋体" w:hAnsi="宋体"/>
      <w:b/>
      <w:kern w:val="2"/>
      <w:sz w:val="28"/>
      <w:szCs w:val="28"/>
    </w:rPr>
  </w:style>
  <w:style w:type="character" w:customStyle="1" w:styleId="255">
    <w:name w:val="层标 Char"/>
    <w:link w:val="254"/>
    <w:qFormat/>
    <w:uiPriority w:val="0"/>
    <w:rPr>
      <w:rFonts w:ascii="宋体" w:hAnsi="宋体"/>
      <w:b/>
      <w:kern w:val="2"/>
      <w:sz w:val="28"/>
      <w:szCs w:val="28"/>
      <w:shd w:val="clear" w:color="auto" w:fill="FFFFFF"/>
    </w:rPr>
  </w:style>
  <w:style w:type="paragraph" w:styleId="256">
    <w:name w:val="Quote"/>
    <w:basedOn w:val="1"/>
    <w:next w:val="1"/>
    <w:link w:val="257"/>
    <w:qFormat/>
    <w:uiPriority w:val="29"/>
    <w:pPr>
      <w:jc w:val="center"/>
    </w:pPr>
    <w:rPr>
      <w:rFonts w:ascii="Times New Roman" w:hAnsi="Times New Roman" w:cs="Times New Roman"/>
      <w:iCs/>
      <w:color w:val="000000"/>
      <w:kern w:val="2"/>
      <w:sz w:val="24"/>
    </w:rPr>
  </w:style>
  <w:style w:type="character" w:customStyle="1" w:styleId="257">
    <w:name w:val="引用 Char"/>
    <w:link w:val="256"/>
    <w:qFormat/>
    <w:uiPriority w:val="29"/>
    <w:rPr>
      <w:iCs/>
      <w:color w:val="000000"/>
      <w:kern w:val="2"/>
      <w:sz w:val="24"/>
      <w:szCs w:val="24"/>
    </w:rPr>
  </w:style>
  <w:style w:type="character" w:customStyle="1" w:styleId="258">
    <w:name w:val="Intense Reference"/>
    <w:qFormat/>
    <w:uiPriority w:val="32"/>
    <w:rPr>
      <w:rFonts w:eastAsia="宋体"/>
      <w:bCs/>
      <w:smallCaps/>
      <w:color w:val="000000"/>
      <w:spacing w:val="5"/>
      <w:sz w:val="24"/>
      <w:u w:val="single"/>
    </w:rPr>
  </w:style>
  <w:style w:type="paragraph" w:customStyle="1" w:styleId="259">
    <w:name w:val="段落强调"/>
    <w:basedOn w:val="1"/>
    <w:link w:val="261"/>
    <w:qFormat/>
    <w:uiPriority w:val="0"/>
    <w:pPr>
      <w:numPr>
        <w:ilvl w:val="0"/>
        <w:numId w:val="19"/>
      </w:numPr>
      <w:ind w:left="0" w:firstLine="420"/>
    </w:pPr>
    <w:rPr>
      <w:rFonts w:ascii="Times New Roman" w:hAnsi="Times New Roman" w:cs="Times New Roman"/>
      <w:b/>
      <w:kern w:val="2"/>
      <w:sz w:val="24"/>
    </w:rPr>
  </w:style>
  <w:style w:type="character" w:customStyle="1" w:styleId="260">
    <w:name w:val="Book Title"/>
    <w:qFormat/>
    <w:uiPriority w:val="33"/>
    <w:rPr>
      <w:b/>
      <w:bCs/>
      <w:smallCaps/>
      <w:spacing w:val="5"/>
    </w:rPr>
  </w:style>
  <w:style w:type="character" w:customStyle="1" w:styleId="261">
    <w:name w:val="段落强调 Char"/>
    <w:link w:val="259"/>
    <w:qFormat/>
    <w:uiPriority w:val="0"/>
    <w:rPr>
      <w:b/>
      <w:kern w:val="2"/>
      <w:sz w:val="24"/>
      <w:szCs w:val="24"/>
      <w:shd w:val="clear" w:color="auto" w:fill="FFFFFF"/>
    </w:rPr>
  </w:style>
  <w:style w:type="paragraph" w:customStyle="1" w:styleId="262">
    <w:name w:val="段内主题"/>
    <w:basedOn w:val="1"/>
    <w:link w:val="264"/>
    <w:qFormat/>
    <w:uiPriority w:val="0"/>
    <w:pPr>
      <w:numPr>
        <w:ilvl w:val="1"/>
        <w:numId w:val="20"/>
      </w:numPr>
      <w:ind w:firstLine="0"/>
    </w:pPr>
    <w:rPr>
      <w:rFonts w:cs="Times New Roman"/>
      <w:b/>
      <w:kern w:val="2"/>
      <w:sz w:val="24"/>
    </w:rPr>
  </w:style>
  <w:style w:type="paragraph" w:customStyle="1" w:styleId="263">
    <w:name w:val="图片注释新"/>
    <w:basedOn w:val="240"/>
    <w:link w:val="265"/>
    <w:qFormat/>
    <w:uiPriority w:val="0"/>
    <w:pPr>
      <w:spacing w:after="81"/>
      <w:ind w:firstLine="0" w:firstLineChars="0"/>
    </w:pPr>
  </w:style>
  <w:style w:type="character" w:customStyle="1" w:styleId="264">
    <w:name w:val="段内主题 Char"/>
    <w:link w:val="262"/>
    <w:qFormat/>
    <w:uiPriority w:val="0"/>
    <w:rPr>
      <w:rFonts w:ascii="宋体" w:hAnsi="宋体"/>
      <w:b/>
      <w:kern w:val="2"/>
      <w:sz w:val="24"/>
      <w:szCs w:val="24"/>
      <w:shd w:val="clear" w:color="auto" w:fill="FFFFFF"/>
    </w:rPr>
  </w:style>
  <w:style w:type="character" w:customStyle="1" w:styleId="265">
    <w:name w:val="图片注释新 Char"/>
    <w:link w:val="263"/>
    <w:qFormat/>
    <w:uiPriority w:val="0"/>
    <w:rPr>
      <w:rFonts w:ascii="宋体" w:hAnsi="宋体"/>
      <w:kern w:val="2"/>
      <w:sz w:val="24"/>
      <w:szCs w:val="24"/>
      <w:u w:val="single"/>
    </w:rPr>
  </w:style>
  <w:style w:type="paragraph" w:customStyle="1" w:styleId="266">
    <w:name w:val="正文（缩进）"/>
    <w:basedOn w:val="1"/>
    <w:link w:val="267"/>
    <w:qFormat/>
    <w:uiPriority w:val="0"/>
    <w:pPr>
      <w:spacing w:beforeLines="50" w:afterLines="50"/>
      <w:ind w:firstLine="480" w:firstLineChars="200"/>
    </w:pPr>
    <w:rPr>
      <w:rFonts w:ascii="Times New Roman" w:hAnsi="Times New Roman" w:cs="Times New Roman"/>
      <w:sz w:val="24"/>
    </w:rPr>
  </w:style>
  <w:style w:type="character" w:customStyle="1" w:styleId="267">
    <w:name w:val="正文（缩进） Char"/>
    <w:link w:val="266"/>
    <w:qFormat/>
    <w:uiPriority w:val="0"/>
    <w:rPr>
      <w:sz w:val="24"/>
      <w:szCs w:val="24"/>
    </w:rPr>
  </w:style>
  <w:style w:type="character" w:customStyle="1" w:styleId="268">
    <w:name w:val="Char Char4"/>
    <w:qFormat/>
    <w:uiPriority w:val="0"/>
    <w:rPr>
      <w:rFonts w:eastAsia="宋体"/>
      <w:b/>
      <w:kern w:val="2"/>
      <w:sz w:val="24"/>
      <w:lang w:val="en-US" w:eastAsia="zh-CN" w:bidi="ar-SA"/>
    </w:rPr>
  </w:style>
  <w:style w:type="character" w:customStyle="1" w:styleId="269">
    <w:name w:val="正文文本缩进 3 Char"/>
    <w:link w:val="35"/>
    <w:qFormat/>
    <w:uiPriority w:val="0"/>
    <w:rPr>
      <w:rFonts w:ascii="宋体"/>
      <w:b/>
      <w:bCs/>
      <w:kern w:val="2"/>
      <w:sz w:val="24"/>
      <w:szCs w:val="24"/>
    </w:rPr>
  </w:style>
  <w:style w:type="paragraph" w:customStyle="1" w:styleId="270">
    <w:name w:val="Char5 Char Char 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271">
    <w:name w:val="pa-2"/>
    <w:basedOn w:val="1"/>
    <w:qFormat/>
    <w:uiPriority w:val="0"/>
    <w:pPr>
      <w:spacing w:before="100" w:beforeAutospacing="1" w:after="100" w:afterAutospacing="1"/>
      <w:jc w:val="left"/>
    </w:pPr>
    <w:rPr>
      <w:sz w:val="24"/>
    </w:rPr>
  </w:style>
  <w:style w:type="character" w:customStyle="1" w:styleId="272">
    <w:name w:val="HTML 预设格式 Char"/>
    <w:link w:val="39"/>
    <w:qFormat/>
    <w:uiPriority w:val="0"/>
    <w:rPr>
      <w:rFonts w:ascii="Arial Unicode MS" w:hAnsi="Arial Unicode MS" w:eastAsia="Arial Unicode MS"/>
      <w:color w:val="000000"/>
    </w:rPr>
  </w:style>
  <w:style w:type="character" w:customStyle="1" w:styleId="273">
    <w:name w:val="正文文本 2 Char"/>
    <w:link w:val="38"/>
    <w:qFormat/>
    <w:uiPriority w:val="0"/>
    <w:rPr>
      <w:kern w:val="2"/>
      <w:sz w:val="24"/>
      <w:szCs w:val="24"/>
    </w:rPr>
  </w:style>
  <w:style w:type="character" w:customStyle="1" w:styleId="274">
    <w:name w:val="正文文本 3 Char"/>
    <w:link w:val="20"/>
    <w:qFormat/>
    <w:uiPriority w:val="0"/>
    <w:rPr>
      <w:kern w:val="2"/>
      <w:sz w:val="16"/>
      <w:szCs w:val="16"/>
    </w:rPr>
  </w:style>
  <w:style w:type="paragraph" w:customStyle="1" w:styleId="275">
    <w:name w:val="方案正文段落"/>
    <w:basedOn w:val="1"/>
    <w:link w:val="276"/>
    <w:qFormat/>
    <w:uiPriority w:val="0"/>
    <w:pPr>
      <w:ind w:firstLine="420" w:firstLineChars="200"/>
    </w:pPr>
    <w:rPr>
      <w:rFonts w:ascii="Times New Roman" w:hAnsi="Times New Roman" w:cs="Times New Roman"/>
      <w:kern w:val="2"/>
      <w:szCs w:val="20"/>
    </w:rPr>
  </w:style>
  <w:style w:type="character" w:customStyle="1" w:styleId="276">
    <w:name w:val="方案正文段落 Char"/>
    <w:link w:val="275"/>
    <w:qFormat/>
    <w:uiPriority w:val="0"/>
    <w:rPr>
      <w:kern w:val="2"/>
      <w:sz w:val="21"/>
    </w:rPr>
  </w:style>
  <w:style w:type="paragraph" w:customStyle="1" w:styleId="277">
    <w:name w:val="Revision"/>
    <w:hidden/>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278">
    <w:name w:val="模板正文"/>
    <w:basedOn w:val="1"/>
    <w:link w:val="279"/>
    <w:qFormat/>
    <w:uiPriority w:val="0"/>
    <w:pPr>
      <w:widowControl w:val="0"/>
      <w:shd w:val="clear" w:color="auto" w:fill="auto"/>
      <w:tabs>
        <w:tab w:val="clear" w:pos="426"/>
      </w:tabs>
      <w:wordWrap w:val="0"/>
      <w:adjustRightInd/>
      <w:snapToGrid/>
      <w:spacing w:beforeLines="50"/>
      <w:ind w:firstLine="200" w:firstLineChars="200"/>
    </w:pPr>
    <w:rPr>
      <w:rFonts w:ascii="Times New Roman" w:hAnsi="Times New Roman" w:eastAsia="仿宋_GB2312" w:cs="Times New Roman"/>
      <w:sz w:val="28"/>
      <w:szCs w:val="21"/>
    </w:rPr>
  </w:style>
  <w:style w:type="character" w:customStyle="1" w:styleId="279">
    <w:name w:val="模板正文 Char"/>
    <w:link w:val="278"/>
    <w:qFormat/>
    <w:locked/>
    <w:uiPriority w:val="0"/>
    <w:rPr>
      <w:rFonts w:eastAsia="仿宋_GB2312"/>
      <w:sz w:val="28"/>
      <w:szCs w:val="21"/>
    </w:rPr>
  </w:style>
  <w:style w:type="paragraph" w:styleId="280">
    <w:name w:val="List Paragraph"/>
    <w:basedOn w:val="1"/>
    <w:qFormat/>
    <w:uiPriority w:val="34"/>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 w:type="paragraph" w:customStyle="1" w:styleId="281">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282">
    <w:name w:val="表格正文"/>
    <w:basedOn w:val="1"/>
    <w:qFormat/>
    <w:uiPriority w:val="0"/>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283">
    <w:name w:val="USE 1"/>
    <w:basedOn w:val="1"/>
    <w:qFormat/>
    <w:uiPriority w:val="99"/>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284">
    <w:name w:val="Unresolved Mention"/>
    <w:basedOn w:val="47"/>
    <w:semiHidden/>
    <w:unhideWhenUsed/>
    <w:qFormat/>
    <w:uiPriority w:val="99"/>
    <w:rPr>
      <w:color w:val="605E5C"/>
      <w:shd w:val="clear" w:color="auto" w:fill="E1DFDD"/>
    </w:rPr>
  </w:style>
  <w:style w:type="paragraph" w:customStyle="1" w:styleId="285">
    <w:name w:val="Table Paragraph"/>
    <w:basedOn w:val="1"/>
    <w:qFormat/>
    <w:uiPriority w:val="0"/>
    <w:pPr>
      <w:autoSpaceDE w:val="0"/>
      <w:autoSpaceDN w:val="0"/>
      <w:adjustRightInd w:val="0"/>
      <w:jc w:val="left"/>
    </w:pPr>
    <w:rPr>
      <w:rFonts w:ascii="宋体" w:hAnsi="宋体" w:cs="宋体"/>
      <w:kern w:val="0"/>
      <w:sz w:val="24"/>
    </w:rPr>
  </w:style>
  <w:style w:type="paragraph" w:customStyle="1" w:styleId="286">
    <w:name w:val="表格样式"/>
    <w:next w:val="1"/>
    <w:qFormat/>
    <w:uiPriority w:val="0"/>
    <w:rPr>
      <w:rFonts w:ascii="Times New Roman" w:hAnsi="Times New Roman" w:eastAsia="仿宋_GB2312"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2836C6-324B-4CE4-9D8C-A15B9C25515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76</Pages>
  <Words>8056</Words>
  <Characters>45922</Characters>
  <Lines>382</Lines>
  <Paragraphs>107</Paragraphs>
  <TotalTime>1</TotalTime>
  <ScaleCrop>false</ScaleCrop>
  <LinksUpToDate>false</LinksUpToDate>
  <CharactersWithSpaces>53871</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2019-03-16T12:25:00Z</dcterms:created>
  <dc:creator>huchun</dc:creator>
  <cp:lastModifiedBy>游娃</cp:lastModifiedBy>
  <cp:lastPrinted>2019-08-08T08:05:00Z</cp:lastPrinted>
  <dcterms:modified xsi:type="dcterms:W3CDTF">2019-08-19T07:09:55Z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