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招标项目编号：</w:t>
      </w:r>
      <w:r>
        <w:rPr>
          <w:rFonts w:hint="eastAsia"/>
          <w:b/>
          <w:u w:val="single"/>
        </w:rPr>
        <w:t>PSDL2019151678</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firstLine="1479" w:firstLineChars="493"/>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钢琴、奥尔夫乐器</w:t>
      </w:r>
    </w:p>
    <w:p>
      <w:pPr>
        <w:widowControl w:val="0"/>
        <w:shd w:val="clear" w:color="auto" w:fill="auto"/>
        <w:tabs>
          <w:tab w:val="clear" w:pos="426"/>
        </w:tabs>
        <w:adjustRightInd/>
        <w:snapToGrid/>
        <w:spacing w:line="300" w:lineRule="auto"/>
        <w:ind w:firstLine="1479" w:firstLineChars="493"/>
        <w:rPr>
          <w:rFonts w:cs="Times New Roman"/>
          <w:kern w:val="2"/>
          <w:sz w:val="30"/>
          <w:szCs w:val="20"/>
        </w:rPr>
      </w:pPr>
    </w:p>
    <w:p>
      <w:pPr>
        <w:widowControl w:val="0"/>
        <w:shd w:val="clear" w:color="auto" w:fill="auto"/>
        <w:tabs>
          <w:tab w:val="clear" w:pos="426"/>
        </w:tabs>
        <w:adjustRightInd/>
        <w:snapToGrid/>
        <w:spacing w:line="300" w:lineRule="auto"/>
        <w:ind w:firstLine="1479" w:firstLineChars="493"/>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深圳市坪山区第一幼教集团</w:t>
      </w:r>
    </w:p>
    <w:p>
      <w:pPr>
        <w:widowControl w:val="0"/>
        <w:shd w:val="clear" w:color="auto" w:fill="auto"/>
        <w:tabs>
          <w:tab w:val="clear" w:pos="426"/>
        </w:tabs>
        <w:adjustRightInd/>
        <w:snapToGrid/>
        <w:spacing w:line="300" w:lineRule="auto"/>
        <w:ind w:firstLine="1479" w:firstLineChars="493"/>
        <w:rPr>
          <w:rFonts w:cs="Times New Roman"/>
          <w:kern w:val="2"/>
          <w:sz w:val="30"/>
          <w:szCs w:val="20"/>
        </w:rPr>
      </w:pPr>
    </w:p>
    <w:p>
      <w:pPr>
        <w:widowControl w:val="0"/>
        <w:shd w:val="clear" w:color="auto" w:fill="auto"/>
        <w:tabs>
          <w:tab w:val="clear" w:pos="426"/>
        </w:tabs>
        <w:adjustRightInd/>
        <w:snapToGrid/>
        <w:spacing w:line="300" w:lineRule="auto"/>
        <w:ind w:firstLine="1479" w:firstLineChars="493"/>
        <w:rPr>
          <w:rFonts w:cs="Times New Roman"/>
          <w:kern w:val="2"/>
          <w:sz w:val="30"/>
          <w:szCs w:val="20"/>
          <w:u w:val="single"/>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u w:val="singl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u w:val="single"/>
        </w:rPr>
      </w:pPr>
    </w:p>
    <w:p>
      <w:pPr>
        <w:tabs>
          <w:tab w:val="clear" w:pos="426"/>
        </w:tabs>
        <w:jc w:val="center"/>
        <w:rPr>
          <w:b/>
          <w:sz w:val="32"/>
          <w:szCs w:val="32"/>
        </w:rPr>
      </w:pPr>
      <w:r>
        <w:br w:type="page"/>
      </w:r>
      <w:r>
        <w:rPr>
          <w:rFonts w:hint="eastAsia"/>
          <w:b/>
          <w:sz w:val="32"/>
          <w:szCs w:val="32"/>
        </w:rPr>
        <w:t>目      录</w:t>
      </w:r>
    </w:p>
    <w:p>
      <w:pPr>
        <w:tabs>
          <w:tab w:val="clear" w:pos="426"/>
        </w:tabs>
        <w:jc w:val="center"/>
        <w:rPr>
          <w:sz w:val="32"/>
          <w:szCs w:val="32"/>
        </w:rPr>
      </w:pPr>
    </w:p>
    <w:p>
      <w:pPr>
        <w:pStyle w:val="36"/>
        <w:ind w:left="105"/>
        <w:rPr>
          <w:rFonts w:asciiTheme="minorHAnsi" w:hAnsiTheme="minorHAnsi" w:eastAsiaTheme="minorEastAsia" w:cstheme="minorBidi"/>
          <w:smallCaps w:val="0"/>
          <w:kern w:val="2"/>
          <w:sz w:val="21"/>
          <w:szCs w:val="22"/>
        </w:rPr>
      </w:pPr>
      <w:r>
        <w:rPr>
          <w:smallCaps w:val="0"/>
        </w:rPr>
        <w:fldChar w:fldCharType="begin"/>
      </w:r>
      <w:r>
        <w:rPr>
          <w:smallCaps w:val="0"/>
        </w:rPr>
        <w:instrText xml:space="preserve"> TOC \o "1-2" \h \z \u </w:instrText>
      </w:r>
      <w:r>
        <w:rPr>
          <w:smallCaps w:val="0"/>
        </w:rPr>
        <w:fldChar w:fldCharType="separate"/>
      </w:r>
      <w:r>
        <w:fldChar w:fldCharType="begin"/>
      </w:r>
      <w:r>
        <w:instrText xml:space="preserve"> HYPERLINK \l "_Toc5875380" </w:instrText>
      </w:r>
      <w:r>
        <w:fldChar w:fldCharType="separate"/>
      </w:r>
      <w:r>
        <w:rPr>
          <w:rStyle w:val="52"/>
          <w:rFonts w:hint="default"/>
        </w:rPr>
        <w:t>警示条款</w:t>
      </w:r>
      <w:r>
        <w:tab/>
      </w:r>
      <w:r>
        <w:fldChar w:fldCharType="begin"/>
      </w:r>
      <w:r>
        <w:instrText xml:space="preserve"> PAGEREF _Toc5875380 \h </w:instrText>
      </w:r>
      <w:r>
        <w:fldChar w:fldCharType="separate"/>
      </w:r>
      <w:r>
        <w:t>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"_Toc5875381" </w:instrText>
      </w:r>
      <w:r>
        <w:fldChar w:fldCharType="separate"/>
      </w:r>
      <w:r>
        <w:rPr>
          <w:rStyle w:val="52"/>
          <w:rFonts w:hint="default"/>
        </w:rPr>
        <w:t>项目关键信息</w:t>
      </w:r>
      <w:r>
        <w:tab/>
      </w:r>
      <w:r>
        <w:fldChar w:fldCharType="begin"/>
      </w:r>
      <w:r>
        <w:instrText xml:space="preserve"> PAGEREF _Toc5875381 \h </w:instrText>
      </w:r>
      <w:r>
        <w:fldChar w:fldCharType="separate"/>
      </w:r>
      <w:r>
        <w:t>2</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"_Toc5875382" </w:instrText>
      </w:r>
      <w:r>
        <w:fldChar w:fldCharType="separate"/>
      </w:r>
      <w:r>
        <w:rPr>
          <w:rStyle w:val="52"/>
          <w:rFonts w:hint="default"/>
        </w:rPr>
        <w:t>资格性审查表、符合性审查表</w:t>
      </w:r>
      <w:r>
        <w:tab/>
      </w:r>
      <w:r>
        <w:fldChar w:fldCharType="begin"/>
      </w:r>
      <w:r>
        <w:instrText xml:space="preserve"> PAGEREF _Toc5875382 \h </w:instrText>
      </w:r>
      <w:r>
        <w:fldChar w:fldCharType="separate"/>
      </w:r>
      <w:r>
        <w:t>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"_Toc5875383" </w:instrText>
      </w:r>
      <w:r>
        <w:fldChar w:fldCharType="separate"/>
      </w:r>
      <w:r>
        <w:rPr>
          <w:rStyle w:val="52"/>
          <w:rFonts w:hint="default"/>
        </w:rPr>
        <w:t>评标信息</w:t>
      </w:r>
      <w:r>
        <w:tab/>
      </w:r>
      <w:r>
        <w:fldChar w:fldCharType="begin"/>
      </w:r>
      <w:r>
        <w:instrText xml:space="preserve"> PAGEREF _Toc5875383 \h </w:instrText>
      </w:r>
      <w:r>
        <w:fldChar w:fldCharType="separate"/>
      </w:r>
      <w:r>
        <w:t>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"_Toc5875384" </w:instrText>
      </w:r>
      <w:r>
        <w:fldChar w:fldCharType="separate"/>
      </w:r>
      <w:r>
        <w:rPr>
          <w:rStyle w:val="52"/>
          <w:rFonts w:hint="default"/>
        </w:rPr>
        <w:t>定标信息</w:t>
      </w:r>
      <w:r>
        <w:tab/>
      </w:r>
      <w:r>
        <w:fldChar w:fldCharType="begin"/>
      </w:r>
      <w:r>
        <w:instrText xml:space="preserve"> PAGEREF _Toc5875384 \h </w:instrText>
      </w:r>
      <w:r>
        <w:fldChar w:fldCharType="separate"/>
      </w:r>
      <w:r>
        <w:t>9</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"_Toc5875387" </w:instrText>
      </w:r>
      <w:r>
        <w:fldChar w:fldCharType="separate"/>
      </w:r>
      <w:r>
        <w:rPr>
          <w:rStyle w:val="52"/>
          <w:rFonts w:hint="default"/>
        </w:rPr>
        <w:t>第一册  专用条款</w:t>
      </w:r>
      <w:r>
        <w:tab/>
      </w:r>
      <w:r>
        <w:fldChar w:fldCharType="begin"/>
      </w:r>
      <w:r>
        <w:instrText xml:space="preserve"> PAGEREF _Toc5875387 \h </w:instrText>
      </w:r>
      <w:r>
        <w:fldChar w:fldCharType="separate"/>
      </w:r>
      <w:r>
        <w:t>11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"_Toc5875388" </w:instrText>
      </w:r>
      <w:r>
        <w:fldChar w:fldCharType="separate"/>
      </w:r>
      <w:r>
        <w:rPr>
          <w:rStyle w:val="52"/>
          <w:rFonts w:hint="default"/>
        </w:rPr>
        <w:t>第一章 采购公告</w:t>
      </w:r>
      <w:r>
        <w:tab/>
      </w:r>
      <w:r>
        <w:fldChar w:fldCharType="begin"/>
      </w:r>
      <w:r>
        <w:instrText xml:space="preserve"> PAGEREF _Toc5875388 \h </w:instrText>
      </w:r>
      <w:r>
        <w:fldChar w:fldCharType="separate"/>
      </w:r>
      <w:r>
        <w:t>11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"_Toc5875389" </w:instrText>
      </w:r>
      <w:r>
        <w:fldChar w:fldCharType="separate"/>
      </w:r>
      <w:r>
        <w:rPr>
          <w:rStyle w:val="52"/>
          <w:rFonts w:hint="default"/>
        </w:rPr>
        <w:t>第二章 投标须知前附表</w:t>
      </w:r>
      <w:r>
        <w:tab/>
      </w:r>
      <w:r>
        <w:fldChar w:fldCharType="begin"/>
      </w:r>
      <w:r>
        <w:instrText xml:space="preserve"> PAGEREF _Toc5875389 \h </w:instrText>
      </w:r>
      <w:r>
        <w:fldChar w:fldCharType="separate"/>
      </w:r>
      <w:r>
        <w:t>14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"_Toc5875390" </w:instrText>
      </w:r>
      <w:r>
        <w:fldChar w:fldCharType="separate"/>
      </w:r>
      <w:r>
        <w:rPr>
          <w:rStyle w:val="52"/>
          <w:rFonts w:hint="default"/>
        </w:rPr>
        <w:t>第三章 项目需求</w:t>
      </w:r>
      <w:r>
        <w:tab/>
      </w:r>
      <w:r>
        <w:fldChar w:fldCharType="begin"/>
      </w:r>
      <w:r>
        <w:instrText xml:space="preserve"> PAGEREF _Toc5875390 \h </w:instrText>
      </w:r>
      <w:r>
        <w:fldChar w:fldCharType="separate"/>
      </w:r>
      <w:r>
        <w:t>15</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"_Toc5875391" </w:instrText>
      </w:r>
      <w:r>
        <w:fldChar w:fldCharType="separate"/>
      </w:r>
      <w:r>
        <w:rPr>
          <w:rStyle w:val="52"/>
          <w:rFonts w:hint="default"/>
        </w:rPr>
        <w:t>第四章 政府采购合同的签订、履约及验收</w:t>
      </w:r>
      <w:r>
        <w:tab/>
      </w:r>
      <w:r>
        <w:fldChar w:fldCharType="begin"/>
      </w:r>
      <w:r>
        <w:instrText xml:space="preserve"> PAGEREF _Toc5875391 \h </w:instrText>
      </w:r>
      <w:r>
        <w:fldChar w:fldCharType="separate"/>
      </w:r>
      <w:r>
        <w:t>24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"_Toc5875392" </w:instrText>
      </w:r>
      <w:r>
        <w:fldChar w:fldCharType="separate"/>
      </w:r>
      <w:r>
        <w:rPr>
          <w:rStyle w:val="52"/>
          <w:rFonts w:hint="default"/>
        </w:rPr>
        <w:t>第五章 投标文件格式、附件</w:t>
      </w:r>
      <w:r>
        <w:tab/>
      </w:r>
      <w:r>
        <w:fldChar w:fldCharType="begin"/>
      </w:r>
      <w:r>
        <w:instrText xml:space="preserve"> PAGEREF _Toc5875392 \h </w:instrText>
      </w:r>
      <w:r>
        <w:fldChar w:fldCharType="separate"/>
      </w:r>
      <w:r>
        <w:t>30</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"_Toc5875393" </w:instrText>
      </w:r>
      <w:r>
        <w:fldChar w:fldCharType="separate"/>
      </w:r>
      <w:r>
        <w:rPr>
          <w:rStyle w:val="52"/>
          <w:rFonts w:hint="default"/>
        </w:rPr>
        <w:t>第二册  通用条款</w:t>
      </w:r>
      <w:r>
        <w:tab/>
      </w:r>
      <w:r>
        <w:fldChar w:fldCharType="begin"/>
      </w:r>
      <w:r>
        <w:instrText xml:space="preserve"> PAGEREF _Toc5875393 \h </w:instrText>
      </w:r>
      <w:r>
        <w:fldChar w:fldCharType="separate"/>
      </w:r>
      <w:r>
        <w:t>55</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"_Toc5875394" </w:instrText>
      </w:r>
      <w:r>
        <w:fldChar w:fldCharType="separate"/>
      </w:r>
      <w:r>
        <w:rPr>
          <w:rStyle w:val="52"/>
          <w:rFonts w:hint="default"/>
        </w:rPr>
        <w:t>第一章 总则</w:t>
      </w:r>
      <w:r>
        <w:tab/>
      </w:r>
      <w:r>
        <w:fldChar w:fldCharType="begin"/>
      </w:r>
      <w:r>
        <w:instrText xml:space="preserve"> PAGEREF _Toc5875394 \h </w:instrText>
      </w:r>
      <w:r>
        <w:fldChar w:fldCharType="separate"/>
      </w:r>
      <w:r>
        <w:t>55</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"_Toc5875395" </w:instrText>
      </w:r>
      <w:r>
        <w:fldChar w:fldCharType="separate"/>
      </w:r>
      <w:r>
        <w:rPr>
          <w:rStyle w:val="52"/>
          <w:rFonts w:hint="default"/>
        </w:rPr>
        <w:t>第二章 招标文件</w:t>
      </w:r>
      <w:r>
        <w:tab/>
      </w:r>
      <w:r>
        <w:fldChar w:fldCharType="begin"/>
      </w:r>
      <w:r>
        <w:instrText xml:space="preserve"> PAGEREF _Toc5875395 \h </w:instrText>
      </w:r>
      <w:r>
        <w:fldChar w:fldCharType="separate"/>
      </w:r>
      <w:r>
        <w:t>57</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"_Toc5875396" </w:instrText>
      </w:r>
      <w:r>
        <w:fldChar w:fldCharType="separate"/>
      </w:r>
      <w:r>
        <w:rPr>
          <w:rStyle w:val="52"/>
          <w:rFonts w:hint="default"/>
        </w:rPr>
        <w:t>第三章 投标文件的编制与递交</w:t>
      </w:r>
      <w:r>
        <w:tab/>
      </w:r>
      <w:r>
        <w:fldChar w:fldCharType="begin"/>
      </w:r>
      <w:r>
        <w:instrText xml:space="preserve"> PAGEREF _Toc5875396 \h </w:instrText>
      </w:r>
      <w:r>
        <w:fldChar w:fldCharType="separate"/>
      </w:r>
      <w:r>
        <w:t>59</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"_Toc5875397" </w:instrText>
      </w:r>
      <w:r>
        <w:fldChar w:fldCharType="separate"/>
      </w:r>
      <w:r>
        <w:rPr>
          <w:rStyle w:val="52"/>
          <w:rFonts w:hint="default"/>
        </w:rPr>
        <w:t>第四章 开标</w:t>
      </w:r>
      <w:r>
        <w:tab/>
      </w:r>
      <w:r>
        <w:fldChar w:fldCharType="begin"/>
      </w:r>
      <w:r>
        <w:instrText xml:space="preserve"> PAGEREF _Toc5875397 \h </w:instrText>
      </w:r>
      <w:r>
        <w:fldChar w:fldCharType="separate"/>
      </w:r>
      <w:r>
        <w:t>63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"_Toc5875398" </w:instrText>
      </w:r>
      <w:r>
        <w:fldChar w:fldCharType="separate"/>
      </w:r>
      <w:r>
        <w:rPr>
          <w:rStyle w:val="52"/>
          <w:rFonts w:hint="default"/>
        </w:rPr>
        <w:t>第五章 评标要求</w:t>
      </w:r>
      <w:r>
        <w:tab/>
      </w:r>
      <w:r>
        <w:fldChar w:fldCharType="begin"/>
      </w:r>
      <w:r>
        <w:instrText xml:space="preserve"> PAGEREF _Toc5875398 \h </w:instrText>
      </w:r>
      <w:r>
        <w:fldChar w:fldCharType="separate"/>
      </w:r>
      <w:r>
        <w:t>63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"_Toc5875399" </w:instrText>
      </w:r>
      <w:r>
        <w:fldChar w:fldCharType="separate"/>
      </w:r>
      <w:r>
        <w:rPr>
          <w:rStyle w:val="52"/>
          <w:rFonts w:hint="default"/>
        </w:rPr>
        <w:t>第六章 评标程序及评标方法</w:t>
      </w:r>
      <w:r>
        <w:tab/>
      </w:r>
      <w:r>
        <w:fldChar w:fldCharType="begin"/>
      </w:r>
      <w:r>
        <w:instrText xml:space="preserve"> PAGEREF _Toc5875399 \h </w:instrText>
      </w:r>
      <w:r>
        <w:fldChar w:fldCharType="separate"/>
      </w:r>
      <w:r>
        <w:t>64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"_Toc5875400" </w:instrText>
      </w:r>
      <w:r>
        <w:fldChar w:fldCharType="separate"/>
      </w:r>
      <w:r>
        <w:rPr>
          <w:rStyle w:val="52"/>
          <w:rFonts w:hint="default"/>
        </w:rPr>
        <w:t>第七章 定标及公示</w:t>
      </w:r>
      <w:r>
        <w:tab/>
      </w:r>
      <w:r>
        <w:fldChar w:fldCharType="begin"/>
      </w:r>
      <w:r>
        <w:instrText xml:space="preserve"> PAGEREF _Toc5875400 \h </w:instrText>
      </w:r>
      <w:r>
        <w:fldChar w:fldCharType="separate"/>
      </w:r>
      <w:r>
        <w:t>67</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"_Toc5875401" </w:instrText>
      </w:r>
      <w:r>
        <w:fldChar w:fldCharType="separate"/>
      </w:r>
      <w:r>
        <w:rPr>
          <w:rStyle w:val="52"/>
          <w:rFonts w:hint="default"/>
        </w:rPr>
        <w:t>第八章 公开招标失败的后续处理</w:t>
      </w:r>
      <w:r>
        <w:tab/>
      </w:r>
      <w:r>
        <w:fldChar w:fldCharType="begin"/>
      </w:r>
      <w:r>
        <w:instrText xml:space="preserve"> PAGEREF _Toc5875401 \h </w:instrText>
      </w:r>
      <w:r>
        <w:fldChar w:fldCharType="separate"/>
      </w:r>
      <w:r>
        <w:t>69</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"_Toc5875402" </w:instrText>
      </w:r>
      <w:r>
        <w:fldChar w:fldCharType="separate"/>
      </w:r>
      <w:r>
        <w:rPr>
          <w:rStyle w:val="52"/>
          <w:rFonts w:hint="default"/>
        </w:rPr>
        <w:t>第九章 合同的授予与备案</w:t>
      </w:r>
      <w:r>
        <w:tab/>
      </w:r>
      <w:r>
        <w:fldChar w:fldCharType="begin"/>
      </w:r>
      <w:r>
        <w:instrText xml:space="preserve"> PAGEREF _Toc5875402 \h </w:instrText>
      </w:r>
      <w:r>
        <w:fldChar w:fldCharType="separate"/>
      </w:r>
      <w:r>
        <w:t>71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"_Toc5875403" </w:instrText>
      </w:r>
      <w:r>
        <w:fldChar w:fldCharType="separate"/>
      </w:r>
      <w:r>
        <w:rPr>
          <w:rStyle w:val="52"/>
          <w:rFonts w:hint="default"/>
        </w:rPr>
        <w:t>第十章 质疑受理</w:t>
      </w:r>
      <w:r>
        <w:tab/>
      </w:r>
      <w:r>
        <w:fldChar w:fldCharType="begin"/>
      </w:r>
      <w:r>
        <w:instrText xml:space="preserve"> PAGEREF _Toc5875403 \h </w:instrText>
      </w:r>
      <w:r>
        <w:fldChar w:fldCharType="separate"/>
      </w:r>
      <w:r>
        <w:t>72</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"_Toc5875404" </w:instrText>
      </w:r>
      <w:r>
        <w:fldChar w:fldCharType="separate"/>
      </w:r>
      <w:r>
        <w:rPr>
          <w:rStyle w:val="52"/>
          <w:rFonts w:hint="default"/>
        </w:rPr>
        <w:t>招标代理服务取费说明</w:t>
      </w:r>
      <w:r>
        <w:tab/>
      </w:r>
      <w:r>
        <w:fldChar w:fldCharType="begin"/>
      </w:r>
      <w:r>
        <w:instrText xml:space="preserve"> PAGEREF _Toc5875404 \h </w:instrText>
      </w:r>
      <w:r>
        <w:fldChar w:fldCharType="separate"/>
      </w:r>
      <w:r>
        <w:t>74</w:t>
      </w:r>
      <w:r>
        <w:fldChar w:fldCharType="end"/>
      </w:r>
      <w:r>
        <w:fldChar w:fldCharType="end"/>
      </w:r>
    </w:p>
    <w:p>
      <w:pPr>
        <w:tabs>
          <w:tab w:val="right" w:leader="dot" w:pos="8820"/>
          <w:tab w:val="right" w:leader="dot" w:pos="9240"/>
          <w:tab w:val="clear" w:pos="426"/>
        </w:tabs>
      </w:pPr>
      <w:r>
        <w:rPr>
          <w:smallCaps/>
          <w:sz w:val="28"/>
        </w:rPr>
        <w:fldChar w:fldCharType="end"/>
      </w:r>
    </w:p>
    <w:p>
      <w:pPr>
        <w:tabs>
          <w:tab w:val="clear" w:pos="426"/>
        </w:tabs>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sz w:val="30"/>
          <w:szCs w:val="30"/>
        </w:rPr>
      </w:pPr>
      <w:bookmarkStart w:id="0" w:name="_Toc5875380"/>
      <w:bookmarkStart w:id="1" w:name="_Toc432592808"/>
      <w:r>
        <w:rPr>
          <w:rFonts w:hint="eastAsia"/>
          <w:sz w:val="30"/>
          <w:szCs w:val="30"/>
        </w:rPr>
        <w:t>警示条款</w:t>
      </w:r>
      <w:bookmarkEnd w:id="0"/>
    </w:p>
    <w:p>
      <w:pPr>
        <w:ind w:firstLine="560" w:firstLineChars="20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tabs>
          <w:tab w:val="clear" w:pos="426"/>
        </w:tabs>
        <w:ind w:firstLine="425" w:firstLineChars="152"/>
        <w:rPr>
          <w:sz w:val="28"/>
          <w:szCs w:val="28"/>
        </w:rPr>
      </w:pPr>
      <w:r>
        <w:rPr>
          <w:rFonts w:hint="eastAsia"/>
          <w:sz w:val="28"/>
          <w:szCs w:val="28"/>
        </w:rPr>
        <w:t>（一）在采购活动中应当回避而未回避的；</w:t>
      </w:r>
    </w:p>
    <w:p>
      <w:pPr>
        <w:tabs>
          <w:tab w:val="clear" w:pos="426"/>
        </w:tabs>
        <w:ind w:firstLine="425" w:firstLineChars="152"/>
        <w:rPr>
          <w:sz w:val="28"/>
          <w:szCs w:val="28"/>
        </w:rPr>
      </w:pPr>
      <w:r>
        <w:rPr>
          <w:rFonts w:hint="eastAsia"/>
          <w:sz w:val="28"/>
          <w:szCs w:val="28"/>
        </w:rPr>
        <w:t>（二）未按本条例规定签订、履行采购合同，造成严重后果的；</w:t>
      </w:r>
    </w:p>
    <w:p>
      <w:pPr>
        <w:tabs>
          <w:tab w:val="clear" w:pos="426"/>
        </w:tabs>
        <w:ind w:firstLine="425" w:firstLineChars="152"/>
        <w:rPr>
          <w:sz w:val="28"/>
          <w:szCs w:val="28"/>
        </w:rPr>
      </w:pPr>
      <w:r>
        <w:rPr>
          <w:rFonts w:hint="eastAsia"/>
          <w:sz w:val="28"/>
          <w:szCs w:val="28"/>
        </w:rPr>
        <w:t>（三）隐瞒真实情况，提供虚假资料的；</w:t>
      </w:r>
    </w:p>
    <w:p>
      <w:pPr>
        <w:tabs>
          <w:tab w:val="clear" w:pos="426"/>
        </w:tabs>
        <w:ind w:firstLine="425" w:firstLineChars="152"/>
        <w:rPr>
          <w:sz w:val="28"/>
          <w:szCs w:val="28"/>
        </w:rPr>
      </w:pPr>
      <w:r>
        <w:rPr>
          <w:rFonts w:hint="eastAsia"/>
          <w:sz w:val="28"/>
          <w:szCs w:val="28"/>
        </w:rPr>
        <w:t>（四）以非法手段排斥其他供应商参与竞争的；</w:t>
      </w:r>
    </w:p>
    <w:p>
      <w:pPr>
        <w:tabs>
          <w:tab w:val="clear" w:pos="426"/>
        </w:tabs>
        <w:ind w:firstLine="425" w:firstLineChars="152"/>
        <w:rPr>
          <w:sz w:val="28"/>
          <w:szCs w:val="28"/>
        </w:rPr>
      </w:pPr>
      <w:r>
        <w:rPr>
          <w:rFonts w:hint="eastAsia"/>
          <w:sz w:val="28"/>
          <w:szCs w:val="28"/>
        </w:rPr>
        <w:t>（五）与其他采购参加人串通投标的；</w:t>
      </w:r>
    </w:p>
    <w:p>
      <w:pPr>
        <w:tabs>
          <w:tab w:val="clear" w:pos="426"/>
        </w:tabs>
        <w:ind w:firstLine="425" w:firstLineChars="152"/>
        <w:rPr>
          <w:sz w:val="28"/>
          <w:szCs w:val="28"/>
        </w:rPr>
      </w:pPr>
      <w:r>
        <w:rPr>
          <w:rFonts w:hint="eastAsia"/>
          <w:sz w:val="28"/>
          <w:szCs w:val="28"/>
        </w:rPr>
        <w:t>（六）恶意投诉的；</w:t>
      </w:r>
    </w:p>
    <w:p>
      <w:pPr>
        <w:tabs>
          <w:tab w:val="clear" w:pos="426"/>
        </w:tabs>
        <w:ind w:firstLine="425" w:firstLineChars="152"/>
        <w:rPr>
          <w:sz w:val="28"/>
          <w:szCs w:val="28"/>
        </w:rPr>
      </w:pPr>
      <w:r>
        <w:rPr>
          <w:rFonts w:hint="eastAsia"/>
          <w:sz w:val="28"/>
          <w:szCs w:val="28"/>
        </w:rPr>
        <w:t>（七）向采购项目相关人行贿或者提供其他不当利益的；</w:t>
      </w:r>
    </w:p>
    <w:p>
      <w:pPr>
        <w:tabs>
          <w:tab w:val="clear" w:pos="426"/>
        </w:tabs>
        <w:ind w:firstLine="425" w:firstLineChars="152"/>
        <w:rPr>
          <w:sz w:val="28"/>
          <w:szCs w:val="28"/>
        </w:rPr>
      </w:pPr>
      <w:r>
        <w:rPr>
          <w:rFonts w:hint="eastAsia"/>
          <w:sz w:val="28"/>
          <w:szCs w:val="28"/>
        </w:rPr>
        <w:t>（八）阻碍、抗拒主管部门监督检查的；</w:t>
      </w:r>
    </w:p>
    <w:p>
      <w:pPr>
        <w:tabs>
          <w:tab w:val="clear" w:pos="426"/>
        </w:tabs>
        <w:ind w:firstLine="425" w:firstLineChars="152"/>
        <w:rPr>
          <w:sz w:val="28"/>
          <w:szCs w:val="28"/>
        </w:rPr>
      </w:pPr>
      <w:r>
        <w:rPr>
          <w:rFonts w:hint="eastAsia"/>
          <w:sz w:val="28"/>
          <w:szCs w:val="28"/>
        </w:rPr>
        <w:t>（九）其他违反本条例规定的行为。</w:t>
      </w:r>
    </w:p>
    <w:p>
      <w:pPr>
        <w:tabs>
          <w:tab w:val="clear" w:pos="426"/>
        </w:tabs>
        <w:ind w:firstLine="425" w:firstLineChars="152"/>
        <w:rPr>
          <w:sz w:val="28"/>
          <w:szCs w:val="28"/>
        </w:rPr>
      </w:pPr>
    </w:p>
    <w:p>
      <w:pPr>
        <w:tabs>
          <w:tab w:val="clear" w:pos="426"/>
        </w:tabs>
        <w:ind w:firstLine="425" w:firstLineChars="152"/>
        <w:rPr>
          <w:sz w:val="28"/>
          <w:szCs w:val="28"/>
        </w:rPr>
      </w:pPr>
    </w:p>
    <w:p>
      <w:pPr>
        <w:tabs>
          <w:tab w:val="clear" w:pos="426"/>
        </w:tabs>
        <w:ind w:firstLine="425" w:firstLineChars="152"/>
        <w:rPr>
          <w:sz w:val="28"/>
          <w:szCs w:val="28"/>
        </w:rPr>
      </w:pP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p>
    <w:p>
      <w:pPr>
        <w:pStyle w:val="33"/>
        <w:tabs>
          <w:tab w:val="clear" w:pos="426"/>
        </w:tabs>
      </w:pPr>
      <w:bookmarkStart w:id="2" w:name="_Toc5875381"/>
      <w:bookmarkStart w:id="3" w:name="_Hlk4694126"/>
      <w:r>
        <w:rPr>
          <w:rFonts w:hint="eastAsia"/>
        </w:rPr>
        <w:t>项目关键信息</w:t>
      </w:r>
      <w:bookmarkEnd w:id="1"/>
      <w:bookmarkEnd w:id="2"/>
    </w:p>
    <w:bookmarkEnd w:id="3"/>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szCs w:val="21"/>
              </w:rPr>
            </w:pPr>
            <w:r>
              <w:rPr>
                <w:rFonts w:hint="eastAsia"/>
                <w:szCs w:val="21"/>
              </w:rPr>
              <w:t>PSDL2019151678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szCs w:val="21"/>
              </w:rPr>
            </w:pPr>
            <w:r>
              <w:rPr>
                <w:rFonts w:hint="eastAsia"/>
                <w:szCs w:val="21"/>
              </w:rPr>
              <w:t>钢琴、奥尔夫乐器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bCs/>
                <w:szCs w:val="21"/>
              </w:rPr>
            </w:pPr>
            <w:r>
              <w:rPr>
                <w:rFonts w:hint="eastAsia" w:eastAsia="微软雅黑"/>
                <w:bCs/>
                <w:szCs w:val="21"/>
              </w:rPr>
              <w:t>¥1,260,500.00</w:t>
            </w:r>
            <w:r>
              <w:rPr>
                <w:rFonts w:hint="eastAsia"/>
                <w:bCs/>
                <w:szCs w:val="21"/>
              </w:rPr>
              <w:t>元（人民币 壹佰贰拾陆万零伍佰</w:t>
            </w:r>
            <w:r>
              <w:rPr>
                <w:rFonts w:hint="eastAsia"/>
                <w:bCs/>
                <w:szCs w:val="21"/>
                <w:lang w:eastAsia="zh-CN"/>
              </w:rPr>
              <w:t>元</w:t>
            </w:r>
            <w:r>
              <w:rPr>
                <w:rFonts w:hint="eastAsia"/>
                <w:bCs/>
                <w:szCs w:val="21"/>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rPr>
            </w:pPr>
            <w:r>
              <w:rPr>
                <w:rFonts w:hint="eastAsia"/>
                <w:bCs/>
                <w:szCs w:val="21"/>
              </w:rPr>
              <w:t>投标保证金</w:t>
            </w:r>
          </w:p>
        </w:tc>
        <w:tc>
          <w:tcPr>
            <w:tcW w:w="6244" w:type="dxa"/>
            <w:vAlign w:val="center"/>
          </w:tcPr>
          <w:p>
            <w:pPr>
              <w:tabs>
                <w:tab w:val="clear" w:pos="426"/>
              </w:tabs>
              <w:adjustRightInd/>
              <w:snapToGrid/>
              <w:spacing w:line="240" w:lineRule="auto"/>
              <w:rPr>
                <w:snapToGrid w:val="0"/>
                <w:szCs w:val="21"/>
                <w:u w:val="single"/>
                <w:lang w:val="zh-CN"/>
              </w:rPr>
            </w:pPr>
            <w:r>
              <w:rPr>
                <w:rFonts w:hint="eastAsia"/>
                <w:szCs w:val="21"/>
              </w:rPr>
              <w:t>投标保证金为人民币</w:t>
            </w:r>
            <w:r>
              <w:rPr>
                <w:rFonts w:hint="eastAsia"/>
                <w:szCs w:val="21"/>
                <w:u w:val="single"/>
              </w:rPr>
              <w:t xml:space="preserve"> 10,000.00 </w:t>
            </w:r>
            <w:r>
              <w:rPr>
                <w:rFonts w:hint="eastAsia"/>
                <w:szCs w:val="21"/>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评定分离</w:t>
            </w:r>
          </w:p>
        </w:tc>
        <w:tc>
          <w:tcPr>
            <w:tcW w:w="6244" w:type="dxa"/>
            <w:vAlign w:val="center"/>
          </w:tcPr>
          <w:p>
            <w:pPr>
              <w:tabs>
                <w:tab w:val="clear" w:pos="426"/>
              </w:tabs>
              <w:adjustRightInd/>
              <w:snapToGrid/>
              <w:spacing w:line="240" w:lineRule="auto"/>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pPr>
              <w:tabs>
                <w:tab w:val="clear" w:pos="426"/>
              </w:tabs>
              <w:adjustRightInd/>
              <w:snapToGrid/>
              <w:spacing w:line="240" w:lineRule="auto"/>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pPr>
              <w:tabs>
                <w:tab w:val="clear" w:pos="426"/>
              </w:tabs>
              <w:adjustRightInd/>
              <w:snapToGrid/>
              <w:spacing w:line="240" w:lineRule="auto"/>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pPr>
            <w:r>
              <w:rPr>
                <w:rFonts w:hint="eastAsia"/>
              </w:rPr>
              <w:t>履约担保金额</w:t>
            </w:r>
          </w:p>
        </w:tc>
        <w:tc>
          <w:tcPr>
            <w:tcW w:w="6244" w:type="dxa"/>
            <w:vAlign w:val="center"/>
          </w:tcPr>
          <w:p>
            <w:pPr>
              <w:tabs>
                <w:tab w:val="clear" w:pos="426"/>
              </w:tabs>
              <w:adjustRightInd/>
              <w:snapToGrid/>
              <w:spacing w:line="240" w:lineRule="auto"/>
            </w:pPr>
            <w:r>
              <w:t>■</w:t>
            </w:r>
            <w:r>
              <w:rPr>
                <w:rFonts w:hint="eastAsia"/>
              </w:rPr>
              <w:t>不提交□</w:t>
            </w:r>
            <w:r>
              <w:t>提交</w:t>
            </w:r>
          </w:p>
          <w:p>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pPr>
              <w:tabs>
                <w:tab w:val="clear" w:pos="426"/>
              </w:tabs>
              <w:adjustRightInd/>
              <w:snapToGrid/>
              <w:spacing w:line="240" w:lineRule="auto"/>
            </w:pPr>
            <w:r>
              <w:rPr>
                <w:rFonts w:hint="eastAsia"/>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电子光盘一张（投标文件正本盖章后的彩色扫描件，</w:t>
            </w:r>
            <w:r>
              <w:t>PDF格式）</w:t>
            </w:r>
          </w:p>
        </w:tc>
      </w:tr>
    </w:tbl>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tabs>
          <w:tab w:val="clear" w:pos="426"/>
        </w:tabs>
        <w:spacing w:line="240" w:lineRule="auto"/>
        <w:ind w:firstLine="426" w:firstLineChars="202"/>
        <w:rPr>
          <w:rFonts w:ascii="Calibri" w:hAnsi="Calibri" w:cs="Times New Roman"/>
          <w:b/>
          <w:kern w:val="2"/>
          <w:szCs w:val="22"/>
        </w:rPr>
      </w:pPr>
    </w:p>
    <w:p>
      <w:pPr>
        <w:tabs>
          <w:tab w:val="clear" w:pos="426"/>
        </w:tabs>
        <w:spacing w:line="240" w:lineRule="auto"/>
        <w:ind w:firstLine="424" w:firstLineChars="202"/>
        <w:rPr>
          <w:bCs/>
          <w:color w:val="000000"/>
        </w:rPr>
      </w:pPr>
    </w:p>
    <w:p>
      <w:pPr>
        <w:tabs>
          <w:tab w:val="clear" w:pos="426"/>
        </w:tabs>
        <w:spacing w:line="240" w:lineRule="auto"/>
        <w:ind w:firstLine="424" w:firstLineChars="202"/>
        <w:rPr>
          <w:bCs/>
          <w:color w:val="000000"/>
        </w:rPr>
      </w:pPr>
    </w:p>
    <w:p>
      <w:pPr>
        <w:pStyle w:val="33"/>
        <w:tabs>
          <w:tab w:val="clear" w:pos="426"/>
        </w:tabs>
      </w:pPr>
      <w:r>
        <w:br w:type="page"/>
      </w:r>
      <w:bookmarkStart w:id="4" w:name="_Toc5875382"/>
      <w:r>
        <w:rPr>
          <w:rFonts w:hint="eastAsia"/>
        </w:rPr>
        <w:t>资格性审查表、符合性审查表</w:t>
      </w:r>
      <w:bookmarkEnd w:id="4"/>
    </w:p>
    <w:p>
      <w:pPr>
        <w:jc w:val="center"/>
        <w:rPr>
          <w:b/>
          <w:color w:val="FF0000"/>
        </w:rPr>
      </w:pPr>
      <w:r>
        <w:rPr>
          <w:rFonts w:hint="eastAsia"/>
          <w:b/>
          <w:color w:val="FF0000"/>
        </w:rPr>
        <w:t>（凡有下列情形之一的，投标文件无效，投标作无效标处理</w:t>
      </w:r>
      <w:r>
        <w:rPr>
          <w:rFonts w:hint="eastAsia" w:ascii="黑体" w:eastAsia="黑体"/>
          <w:color w:val="FF0000"/>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投标截止时间前投标人未按“投标须知前附表”的要求提交投标保证金的。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《技术规格偏离表》或《商务需求偏离表》填写不全、不明或不实；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投标文件存在招标文件中规定的其它投标无效条款的；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tabs>
          <w:tab w:val="clear" w:pos="426"/>
        </w:tabs>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5" w:name="_Toc5875383"/>
      <w:bookmarkStart w:id="6" w:name="_Toc435514846"/>
    </w:p>
    <w:p>
      <w:pPr>
        <w:pStyle w:val="33"/>
        <w:tabs>
          <w:tab w:val="clear" w:pos="426"/>
        </w:tabs>
      </w:pPr>
      <w:r>
        <w:t>评标信息</w:t>
      </w:r>
      <w:bookmarkEnd w:id="5"/>
    </w:p>
    <w:p>
      <w:pPr>
        <w:widowControl w:val="0"/>
        <w:shd w:val="clear" w:color="auto" w:fill="auto"/>
        <w:tabs>
          <w:tab w:val="clear" w:pos="426"/>
        </w:tabs>
        <w:adjustRightInd/>
        <w:snapToGrid/>
        <w:spacing w:line="300" w:lineRule="auto"/>
        <w:ind w:firstLine="422" w:firstLineChars="200"/>
        <w:rPr>
          <w:b/>
          <w:szCs w:val="21"/>
        </w:rPr>
      </w:pPr>
    </w:p>
    <w:p>
      <w:pPr>
        <w:widowControl w:val="0"/>
        <w:shd w:val="clear" w:color="auto" w:fill="auto"/>
        <w:tabs>
          <w:tab w:val="clear" w:pos="426"/>
        </w:tabs>
        <w:adjustRightInd/>
        <w:snapToGrid/>
        <w:spacing w:line="300" w:lineRule="auto"/>
        <w:ind w:firstLine="422" w:firstLineChars="200"/>
        <w:rPr>
          <w:b/>
          <w:color w:val="000000" w:themeColor="text1"/>
          <w:szCs w:val="21"/>
        </w:rPr>
      </w:pPr>
      <w:r>
        <w:rPr>
          <w:b/>
          <w:color w:val="000000" w:themeColor="text1"/>
          <w:szCs w:val="21"/>
        </w:rPr>
        <w:t>1.本项目的评审办法采用：综合评分法。</w:t>
      </w:r>
      <w:r>
        <w:rPr>
          <w:rFonts w:hint="eastAsia"/>
          <w:b/>
          <w:color w:val="000000" w:themeColor="text1"/>
          <w:szCs w:val="21"/>
        </w:rPr>
        <w:t>本招标文件所述评标方法和定标方法与招标文件《通用条款</w:t>
      </w:r>
      <w:r>
        <w:rPr>
          <w:b/>
          <w:color w:val="000000" w:themeColor="text1"/>
          <w:szCs w:val="21"/>
        </w:rPr>
        <w:t>》所述不一致之处，以以下方法为准。</w:t>
      </w:r>
    </w:p>
    <w:p>
      <w:pPr>
        <w:widowControl w:val="0"/>
        <w:shd w:val="clear" w:color="auto" w:fill="auto"/>
        <w:tabs>
          <w:tab w:val="clear" w:pos="426"/>
        </w:tabs>
        <w:adjustRightInd/>
        <w:snapToGrid/>
        <w:spacing w:line="300" w:lineRule="auto"/>
        <w:ind w:firstLine="420" w:firstLineChars="200"/>
        <w:rPr>
          <w:color w:val="000000" w:themeColor="text1"/>
          <w:szCs w:val="21"/>
        </w:rPr>
      </w:pPr>
      <w:r>
        <w:rPr>
          <w:color w:val="000000" w:themeColor="text1"/>
          <w:szCs w:val="21"/>
        </w:rPr>
        <w:t>中标人数量为：1家。</w:t>
      </w:r>
    </w:p>
    <w:p>
      <w:pPr>
        <w:widowControl w:val="0"/>
        <w:shd w:val="clear" w:color="auto" w:fill="auto"/>
        <w:tabs>
          <w:tab w:val="clear" w:pos="426"/>
        </w:tabs>
        <w:adjustRightInd/>
        <w:snapToGrid/>
        <w:spacing w:line="300" w:lineRule="auto"/>
        <w:ind w:firstLine="420" w:firstLineChars="200"/>
        <w:rPr>
          <w:color w:val="000000" w:themeColor="text1"/>
          <w:szCs w:val="21"/>
        </w:rPr>
      </w:pPr>
      <w:r>
        <w:rPr>
          <w:rFonts w:hint="eastAsia"/>
          <w:color w:val="000000" w:themeColor="text1"/>
          <w:szCs w:val="21"/>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color w:val="000000" w:themeColor="text1"/>
          <w:szCs w:val="21"/>
        </w:rPr>
      </w:pPr>
      <w:r>
        <w:rPr>
          <w:rFonts w:hint="eastAsia"/>
          <w:color w:val="000000" w:themeColor="text1"/>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color w:val="000000" w:themeColor="text1"/>
          <w:szCs w:val="21"/>
        </w:rPr>
        <w:t>。经采购人同意后，确定为中标人。</w:t>
      </w:r>
    </w:p>
    <w:p>
      <w:pPr>
        <w:tabs>
          <w:tab w:val="clear" w:pos="426"/>
        </w:tabs>
        <w:spacing w:line="300" w:lineRule="auto"/>
        <w:ind w:firstLine="420" w:firstLineChars="200"/>
        <w:rPr>
          <w:rFonts w:cs="Times New Roman"/>
          <w:b/>
          <w:bCs/>
          <w:color w:val="000000" w:themeColor="text1"/>
          <w:kern w:val="2"/>
          <w:szCs w:val="21"/>
        </w:rPr>
      </w:pPr>
      <w:r>
        <w:rPr>
          <w:rFonts w:hint="eastAsia"/>
          <w:color w:val="000000" w:themeColor="text1"/>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color w:val="000000" w:themeColor="text1"/>
          <w:kern w:val="2"/>
          <w:szCs w:val="21"/>
        </w:rPr>
        <w:t>采取随机抽取方式确定</w:t>
      </w:r>
      <w:r>
        <w:rPr>
          <w:rFonts w:hint="eastAsia" w:cs="Times New Roman"/>
          <w:bCs/>
          <w:color w:val="000000" w:themeColor="text1"/>
          <w:kern w:val="2"/>
          <w:szCs w:val="21"/>
        </w:rPr>
        <w:t>候选</w:t>
      </w:r>
      <w:r>
        <w:rPr>
          <w:rFonts w:cs="Times New Roman"/>
          <w:bCs/>
          <w:color w:val="000000" w:themeColor="text1"/>
          <w:kern w:val="2"/>
          <w:szCs w:val="21"/>
        </w:rPr>
        <w:t>中标人推荐资格</w:t>
      </w:r>
      <w:r>
        <w:rPr>
          <w:rFonts w:hint="eastAsia" w:cs="Times New Roman"/>
          <w:bCs/>
          <w:color w:val="000000" w:themeColor="text1"/>
          <w:kern w:val="2"/>
          <w:szCs w:val="21"/>
        </w:rPr>
        <w:t>。</w:t>
      </w:r>
    </w:p>
    <w:p>
      <w:pPr>
        <w:tabs>
          <w:tab w:val="clear" w:pos="426"/>
        </w:tabs>
        <w:spacing w:line="300" w:lineRule="auto"/>
        <w:ind w:firstLine="420" w:firstLineChars="200"/>
        <w:rPr>
          <w:color w:val="000000" w:themeColor="text1"/>
        </w:rPr>
      </w:pPr>
      <w:r>
        <w:rPr>
          <w:rFonts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2</w:t>
      </w:r>
      <w:r>
        <w:rPr>
          <w:szCs w:val="21"/>
        </w:rPr>
        <w:t>.价格分计算方法：</w:t>
      </w:r>
    </w:p>
    <w:p>
      <w:pPr>
        <w:tabs>
          <w:tab w:val="clear" w:pos="426"/>
        </w:tabs>
        <w:spacing w:line="300" w:lineRule="auto"/>
        <w:ind w:firstLine="420" w:firstLineChars="20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szCs w:val="21"/>
        </w:rPr>
      </w:pPr>
      <w:r>
        <w:rPr>
          <w:rFonts w:hint="eastAsia"/>
          <w:szCs w:val="21"/>
        </w:rPr>
        <w:t>投标报价得分</w:t>
      </w:r>
      <w:r>
        <w:rPr>
          <w:szCs w:val="21"/>
        </w:rPr>
        <w:t>=(评标基准价／投标报价)×100</w:t>
      </w:r>
    </w:p>
    <w:p>
      <w:pPr>
        <w:tabs>
          <w:tab w:val="clear" w:pos="426"/>
        </w:tabs>
        <w:spacing w:line="300" w:lineRule="auto"/>
        <w:ind w:firstLine="420" w:firstLineChars="200"/>
        <w:rPr>
          <w:szCs w:val="21"/>
        </w:rPr>
      </w:pPr>
      <w:r>
        <w:rPr>
          <w:rFonts w:hint="eastAsia"/>
          <w:szCs w:val="21"/>
        </w:rPr>
        <w:t>评标总得分＝</w:t>
      </w:r>
      <w:r>
        <w:rPr>
          <w:szCs w:val="21"/>
        </w:rPr>
        <w:t>F1×A1＋F2×A2＋……＋Fn×An</w:t>
      </w:r>
    </w:p>
    <w:p>
      <w:pPr>
        <w:tabs>
          <w:tab w:val="clear" w:pos="426"/>
        </w:tabs>
        <w:spacing w:line="300" w:lineRule="auto"/>
        <w:ind w:firstLine="420" w:firstLineChars="200"/>
        <w:rPr>
          <w:szCs w:val="21"/>
        </w:rPr>
      </w:pPr>
      <w:r>
        <w:rPr>
          <w:szCs w:val="21"/>
        </w:rPr>
        <w:t>F1、F2……Fn分别为各项评审因素的得分；</w:t>
      </w:r>
    </w:p>
    <w:p>
      <w:pPr>
        <w:tabs>
          <w:tab w:val="clear" w:pos="426"/>
        </w:tabs>
        <w:spacing w:line="300" w:lineRule="auto"/>
        <w:ind w:firstLine="420" w:firstLineChars="200"/>
        <w:rPr>
          <w:szCs w:val="21"/>
        </w:rPr>
      </w:pPr>
      <w:r>
        <w:rPr>
          <w:szCs w:val="21"/>
        </w:rPr>
        <w:t>A1、A2、……An 分别为各项评审因素所占的权重(A1＋A2＋……＋An＝1)。</w:t>
      </w:r>
    </w:p>
    <w:p>
      <w:pPr>
        <w:tabs>
          <w:tab w:val="clear" w:pos="426"/>
        </w:tabs>
        <w:spacing w:line="300" w:lineRule="auto"/>
        <w:ind w:firstLine="420" w:firstLineChars="200"/>
        <w:rPr>
          <w:szCs w:val="21"/>
        </w:rPr>
      </w:pPr>
      <w:r>
        <w:rPr>
          <w:rFonts w:hint="eastAsia"/>
          <w:szCs w:val="21"/>
        </w:rPr>
        <w:t>评标过程中，不得去掉报价中的最高报价和最低报价。</w:t>
      </w:r>
    </w:p>
    <w:p>
      <w:pPr>
        <w:tabs>
          <w:tab w:val="clear" w:pos="426"/>
        </w:tabs>
        <w:spacing w:line="300" w:lineRule="auto"/>
        <w:ind w:firstLine="420" w:firstLineChars="200"/>
        <w:rPr>
          <w:szCs w:val="21"/>
        </w:rPr>
      </w:pPr>
      <w:r>
        <w:rPr>
          <w:rFonts w:hint="eastAsia"/>
          <w:szCs w:val="21"/>
        </w:rPr>
        <w:t>因落实政府采购政策进行价格调整的，以调整后的价格计算评标基准价和投标报价。</w:t>
      </w:r>
    </w:p>
    <w:p>
      <w:pPr>
        <w:tabs>
          <w:tab w:val="clear" w:pos="426"/>
        </w:tabs>
        <w:spacing w:line="300" w:lineRule="auto"/>
        <w:ind w:firstLine="420" w:firstLineChars="20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pPr>
        <w:tabs>
          <w:tab w:val="clear" w:pos="426"/>
        </w:tabs>
        <w:spacing w:line="300" w:lineRule="auto"/>
        <w:ind w:firstLine="420" w:firstLineChars="200"/>
        <w:rPr>
          <w:szCs w:val="21"/>
        </w:rPr>
      </w:pPr>
      <w:r>
        <w:rPr>
          <w:szCs w:val="21"/>
        </w:rPr>
        <w:t>3.</w:t>
      </w:r>
      <w:r>
        <w:rPr>
          <w:rFonts w:hint="eastAsia"/>
          <w:szCs w:val="21"/>
        </w:rPr>
        <w:t>评标优惠政策</w:t>
      </w:r>
    </w:p>
    <w:p>
      <w:pPr>
        <w:tabs>
          <w:tab w:val="clear" w:pos="426"/>
        </w:tabs>
        <w:spacing w:line="300" w:lineRule="auto"/>
        <w:ind w:firstLine="420" w:firstLineChars="200"/>
        <w:rPr>
          <w:szCs w:val="21"/>
        </w:rPr>
      </w:pPr>
      <w:r>
        <w:rPr>
          <w:szCs w:val="21"/>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w:t>
      </w:r>
      <w:bookmarkStart w:id="7" w:name="_Hlk4679707"/>
      <w:r>
        <w:rPr>
          <w:szCs w:val="21"/>
        </w:rPr>
        <w:t>《投标人企业类型声明函》《残疾人福利性单位声明函》或省级以上监狱管理局、戒毒管理局（含新疆生产建设兵团）出具的属于监狱企业的证明文件</w:t>
      </w:r>
      <w:bookmarkEnd w:id="7"/>
      <w:r>
        <w:rPr>
          <w:szCs w:val="21"/>
        </w:rPr>
        <w:t>的投标人，其投标报价扣除</w:t>
      </w:r>
      <w:r>
        <w:rPr>
          <w:szCs w:val="21"/>
          <w:u w:val="single"/>
        </w:rPr>
        <w:t xml:space="preserve"> 6 </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szCs w:val="21"/>
        </w:rPr>
      </w:pPr>
      <w:bookmarkStart w:id="8" w:name="_Hlk4679184"/>
      <w:r>
        <w:rPr>
          <w:szCs w:val="21"/>
        </w:rPr>
        <w:t>3.2.联合协议中约定，小型、微型企业、残疾人福利性单位和监狱企业的协议合同金额占到联合体协议合同总金额30%以上的，可给予联合体</w:t>
      </w:r>
      <w:r>
        <w:rPr>
          <w:szCs w:val="21"/>
          <w:u w:val="single"/>
        </w:rPr>
        <w:t xml:space="preserve"> 2 </w:t>
      </w:r>
      <w:r>
        <w:rPr>
          <w:szCs w:val="21"/>
        </w:rPr>
        <w:t>% （请在2%-3%范围内选择）的价格扣除。</w:t>
      </w:r>
    </w:p>
    <w:p>
      <w:pPr>
        <w:tabs>
          <w:tab w:val="clear" w:pos="426"/>
        </w:tabs>
        <w:spacing w:line="300" w:lineRule="auto"/>
        <w:ind w:firstLine="420" w:firstLineChars="200"/>
        <w:rPr>
          <w:szCs w:val="21"/>
        </w:rPr>
      </w:pPr>
      <w:r>
        <w:rPr>
          <w:rFonts w:hint="eastAsia"/>
          <w:szCs w:val="21"/>
        </w:rPr>
        <w:t>联合体各方均为小型、微型企业和监狱企业的，联合体视同为小型、微型企业和监狱企业，均享受</w:t>
      </w:r>
      <w:r>
        <w:rPr>
          <w:rFonts w:hint="eastAsia"/>
          <w:b/>
          <w:color w:val="FF0000"/>
          <w:szCs w:val="21"/>
        </w:rPr>
        <w:t>评标优惠政策</w:t>
      </w:r>
      <w:r>
        <w:rPr>
          <w:rFonts w:hint="eastAsia"/>
          <w:szCs w:val="21"/>
        </w:rPr>
        <w:t>第一款的优惠政策。</w:t>
      </w:r>
      <w:bookmarkEnd w:id="8"/>
    </w:p>
    <w:p>
      <w:pPr>
        <w:tabs>
          <w:tab w:val="clear" w:pos="426"/>
        </w:tabs>
        <w:spacing w:line="300" w:lineRule="auto"/>
        <w:ind w:firstLine="420" w:firstLineChars="200"/>
        <w:rPr>
          <w:szCs w:val="21"/>
        </w:rPr>
      </w:pPr>
      <w:r>
        <w:rPr>
          <w:szCs w:val="21"/>
        </w:rPr>
        <w:t>4.评标专家应对通过投标文件初审进入评标程序的投标文件先评技术标、再评商务标；</w:t>
      </w:r>
    </w:p>
    <w:p>
      <w:pPr>
        <w:tabs>
          <w:tab w:val="clear" w:pos="426"/>
        </w:tabs>
        <w:spacing w:line="300" w:lineRule="auto"/>
        <w:ind w:firstLine="420" w:firstLineChars="20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pPr>
        <w:widowControl w:val="0"/>
        <w:shd w:val="clear" w:color="auto" w:fill="auto"/>
        <w:tabs>
          <w:tab w:val="clear" w:pos="426"/>
        </w:tabs>
        <w:adjustRightInd/>
        <w:snapToGrid/>
        <w:ind w:left="420"/>
        <w:rPr>
          <w:szCs w:val="21"/>
        </w:rPr>
      </w:pPr>
      <w:r>
        <w:rPr>
          <w:szCs w:val="21"/>
        </w:rPr>
        <w:t>6.</w:t>
      </w:r>
      <w:r>
        <w:rPr>
          <w:rFonts w:hint="eastAsia"/>
          <w:szCs w:val="21"/>
        </w:rPr>
        <w:t>评标委员会在评标时，应按照以下量化的评审因素，对各投标文件进行分析和比较：</w:t>
      </w:r>
    </w:p>
    <w:bookmarkEnd w:id="6"/>
    <w:p>
      <w:pPr>
        <w:pStyle w:val="33"/>
        <w:widowControl w:val="0"/>
        <w:shd w:val="clear" w:color="auto" w:fill="auto"/>
        <w:tabs>
          <w:tab w:val="clear" w:pos="426"/>
        </w:tabs>
        <w:adjustRightInd/>
        <w:snapToGrid/>
        <w:outlineLvl w:val="9"/>
        <w:rPr>
          <w:rFonts w:ascii="宋体" w:hAnsi="宋体"/>
          <w:bCs w:val="0"/>
          <w:sz w:val="24"/>
          <w:szCs w:val="24"/>
        </w:rPr>
      </w:pPr>
      <w:r>
        <w:rPr>
          <w:rFonts w:hint="eastAsia" w:ascii="宋体" w:hAnsi="宋体"/>
          <w:bCs w:val="0"/>
          <w:sz w:val="24"/>
          <w:szCs w:val="24"/>
        </w:rPr>
        <w:t>评分细则表</w:t>
      </w:r>
    </w:p>
    <w:tbl>
      <w:tblPr>
        <w:tblStyle w:val="44"/>
        <w:tblW w:w="10196" w:type="dxa"/>
        <w:jc w:val="center"/>
        <w:tblInd w:w="17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3"/>
        <w:gridCol w:w="1020"/>
        <w:gridCol w:w="780"/>
        <w:gridCol w:w="7140"/>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9433" w:type="dxa"/>
            <w:gridSpan w:val="4"/>
            <w:vAlign w:val="center"/>
          </w:tcPr>
          <w:p>
            <w:pPr>
              <w:autoSpaceDE w:val="0"/>
              <w:autoSpaceDN w:val="0"/>
              <w:jc w:val="center"/>
              <w:rPr>
                <w:b/>
                <w:szCs w:val="21"/>
                <w:lang w:val="zh-CN"/>
              </w:rPr>
            </w:pPr>
            <w:bookmarkStart w:id="9" w:name="bt本工程承诺书"/>
            <w:bookmarkEnd w:id="9"/>
            <w:bookmarkStart w:id="10" w:name="合同格式"/>
            <w:bookmarkEnd w:id="10"/>
            <w:bookmarkStart w:id="11" w:name="bt投标人情况介绍"/>
            <w:bookmarkEnd w:id="11"/>
            <w:bookmarkStart w:id="12" w:name="bt投标函"/>
            <w:bookmarkEnd w:id="12"/>
            <w:bookmarkStart w:id="13" w:name="bt投标报价汇总表"/>
            <w:bookmarkEnd w:id="13"/>
            <w:bookmarkStart w:id="14" w:name="bt其他资料由投标人自定"/>
            <w:bookmarkEnd w:id="14"/>
            <w:bookmarkStart w:id="15" w:name="bt项目管理班子配备情况"/>
            <w:bookmarkEnd w:id="15"/>
            <w:bookmarkStart w:id="16" w:name="bt商务标投标文件格式"/>
            <w:bookmarkEnd w:id="16"/>
            <w:bookmarkStart w:id="17" w:name="bt开标一览表"/>
            <w:bookmarkEnd w:id="17"/>
            <w:bookmarkStart w:id="18" w:name="bt说明"/>
            <w:bookmarkEnd w:id="18"/>
            <w:bookmarkStart w:id="19" w:name="bt投标人须知"/>
            <w:bookmarkEnd w:id="19"/>
            <w:bookmarkStart w:id="20" w:name="bt其他资料2"/>
            <w:bookmarkEnd w:id="20"/>
            <w:bookmarkStart w:id="21" w:name="bt技术标投标文件格式"/>
            <w:bookmarkEnd w:id="21"/>
            <w:bookmarkStart w:id="22" w:name="bt合同条款"/>
            <w:bookmarkEnd w:id="22"/>
            <w:bookmarkStart w:id="23" w:name="bt合同条款及格式"/>
            <w:bookmarkEnd w:id="23"/>
            <w:bookmarkStart w:id="24" w:name="bt投标文件签署授权委托书"/>
            <w:bookmarkEnd w:id="24"/>
            <w:bookmarkStart w:id="25" w:name="bt合同格式"/>
            <w:bookmarkEnd w:id="25"/>
            <w:bookmarkStart w:id="26" w:name="_Toc432592812"/>
            <w:r>
              <w:rPr>
                <w:rFonts w:hint="eastAsia"/>
                <w:b/>
                <w:szCs w:val="21"/>
                <w:lang w:val="zh-CN"/>
              </w:rPr>
              <w:t>评分项及评分规则</w:t>
            </w:r>
          </w:p>
        </w:tc>
        <w:tc>
          <w:tcPr>
            <w:tcW w:w="763" w:type="dxa"/>
            <w:vAlign w:val="center"/>
          </w:tcPr>
          <w:p>
            <w:pPr>
              <w:autoSpaceDE w:val="0"/>
              <w:autoSpaceDN w:val="0"/>
              <w:jc w:val="center"/>
              <w:rPr>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jc w:val="center"/>
        </w:trPr>
        <w:tc>
          <w:tcPr>
            <w:tcW w:w="9433" w:type="dxa"/>
            <w:gridSpan w:val="4"/>
            <w:vAlign w:val="center"/>
          </w:tcPr>
          <w:p>
            <w:pPr>
              <w:autoSpaceDE w:val="0"/>
              <w:autoSpaceDN w:val="0"/>
              <w:jc w:val="center"/>
              <w:rPr>
                <w:b/>
                <w:szCs w:val="21"/>
                <w:lang w:val="zh-CN"/>
              </w:rPr>
            </w:pPr>
            <w:r>
              <w:rPr>
                <w:rFonts w:hint="eastAsia"/>
                <w:b/>
                <w:szCs w:val="21"/>
                <w:lang w:val="zh-CN"/>
              </w:rPr>
              <w:t>一、价格部分</w:t>
            </w:r>
          </w:p>
        </w:tc>
        <w:tc>
          <w:tcPr>
            <w:tcW w:w="763" w:type="dxa"/>
            <w:vAlign w:val="center"/>
          </w:tcPr>
          <w:p>
            <w:pPr>
              <w:autoSpaceDE w:val="0"/>
              <w:autoSpaceDN w:val="0"/>
              <w:jc w:val="center"/>
              <w:rPr>
                <w:szCs w:val="21"/>
              </w:rPr>
            </w:pPr>
            <w:r>
              <w:rPr>
                <w:rFonts w:hint="eastAsia"/>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9433" w:type="dxa"/>
            <w:gridSpan w:val="4"/>
            <w:vAlign w:val="center"/>
          </w:tcPr>
          <w:p>
            <w:pPr>
              <w:autoSpaceDE w:val="0"/>
              <w:autoSpaceDN w:val="0"/>
              <w:jc w:val="center"/>
              <w:rPr>
                <w:b/>
                <w:szCs w:val="21"/>
              </w:rPr>
            </w:pPr>
            <w:r>
              <w:rPr>
                <w:rFonts w:hint="eastAsia"/>
                <w:b/>
                <w:szCs w:val="21"/>
                <w:lang w:val="zh-CN"/>
              </w:rPr>
              <w:t>二、商务部分</w:t>
            </w:r>
          </w:p>
        </w:tc>
        <w:tc>
          <w:tcPr>
            <w:tcW w:w="763" w:type="dxa"/>
            <w:vAlign w:val="center"/>
          </w:tcPr>
          <w:p>
            <w:pPr>
              <w:autoSpaceDE w:val="0"/>
              <w:autoSpaceDN w:val="0"/>
              <w:jc w:val="center"/>
              <w:rPr>
                <w:szCs w:val="21"/>
              </w:rPr>
            </w:pPr>
            <w:r>
              <w:rPr>
                <w:szCs w:val="21"/>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493" w:type="dxa"/>
            <w:vAlign w:val="center"/>
          </w:tcPr>
          <w:p>
            <w:pPr>
              <w:autoSpaceDE w:val="0"/>
              <w:autoSpaceDN w:val="0"/>
              <w:jc w:val="center"/>
              <w:rPr>
                <w:szCs w:val="21"/>
              </w:rPr>
            </w:pPr>
            <w:r>
              <w:rPr>
                <w:rFonts w:hint="eastAsia"/>
                <w:szCs w:val="21"/>
                <w:lang w:val="zh-CN"/>
              </w:rPr>
              <w:t>序号</w:t>
            </w:r>
          </w:p>
        </w:tc>
        <w:tc>
          <w:tcPr>
            <w:tcW w:w="1020" w:type="dxa"/>
            <w:vAlign w:val="center"/>
          </w:tcPr>
          <w:p>
            <w:pPr>
              <w:autoSpaceDE w:val="0"/>
              <w:autoSpaceDN w:val="0"/>
              <w:jc w:val="center"/>
              <w:rPr>
                <w:szCs w:val="21"/>
              </w:rPr>
            </w:pPr>
            <w:r>
              <w:rPr>
                <w:rFonts w:hint="eastAsia"/>
                <w:szCs w:val="21"/>
                <w:lang w:val="zh-CN"/>
              </w:rPr>
              <w:t>内容</w:t>
            </w:r>
          </w:p>
        </w:tc>
        <w:tc>
          <w:tcPr>
            <w:tcW w:w="780" w:type="dxa"/>
            <w:vAlign w:val="center"/>
          </w:tcPr>
          <w:p>
            <w:pPr>
              <w:autoSpaceDE w:val="0"/>
              <w:autoSpaceDN w:val="0"/>
              <w:jc w:val="center"/>
              <w:rPr>
                <w:szCs w:val="21"/>
              </w:rPr>
            </w:pPr>
            <w:r>
              <w:rPr>
                <w:rFonts w:hint="eastAsia"/>
                <w:szCs w:val="21"/>
                <w:lang w:val="zh-CN"/>
              </w:rPr>
              <w:t>权重</w:t>
            </w:r>
          </w:p>
        </w:tc>
        <w:tc>
          <w:tcPr>
            <w:tcW w:w="7140" w:type="dxa"/>
            <w:vAlign w:val="center"/>
          </w:tcPr>
          <w:p>
            <w:pPr>
              <w:autoSpaceDE w:val="0"/>
              <w:autoSpaceDN w:val="0"/>
              <w:jc w:val="center"/>
              <w:rPr>
                <w:szCs w:val="21"/>
              </w:rPr>
            </w:pPr>
            <w:r>
              <w:rPr>
                <w:rFonts w:hint="eastAsia"/>
                <w:szCs w:val="21"/>
                <w:lang w:val="zh-CN"/>
              </w:rPr>
              <w:t>评分规则</w:t>
            </w:r>
          </w:p>
        </w:tc>
        <w:tc>
          <w:tcPr>
            <w:tcW w:w="763" w:type="dxa"/>
            <w:vAlign w:val="center"/>
          </w:tcPr>
          <w:p>
            <w:pPr>
              <w:autoSpaceDE w:val="0"/>
              <w:autoSpaceDN w:val="0"/>
              <w:jc w:val="center"/>
              <w:rPr>
                <w:szCs w:val="21"/>
              </w:rPr>
            </w:pPr>
            <w:r>
              <w:rPr>
                <w:rFonts w:hint="eastAsia"/>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493" w:type="dxa"/>
            <w:vAlign w:val="center"/>
          </w:tcPr>
          <w:p>
            <w:pPr>
              <w:autoSpaceDE w:val="0"/>
              <w:autoSpaceDN w:val="0"/>
              <w:jc w:val="left"/>
              <w:rPr>
                <w:szCs w:val="21"/>
                <w:lang w:val="zh-CN"/>
              </w:rPr>
            </w:pPr>
            <w:r>
              <w:rPr>
                <w:szCs w:val="21"/>
                <w:lang w:val="zh-CN"/>
              </w:rPr>
              <w:t>1</w:t>
            </w:r>
          </w:p>
        </w:tc>
        <w:tc>
          <w:tcPr>
            <w:tcW w:w="1020" w:type="dxa"/>
            <w:vAlign w:val="center"/>
          </w:tcPr>
          <w:p>
            <w:pPr>
              <w:jc w:val="center"/>
              <w:rPr>
                <w:szCs w:val="21"/>
              </w:rPr>
            </w:pPr>
            <w:r>
              <w:rPr>
                <w:rFonts w:hint="eastAsia"/>
                <w:szCs w:val="21"/>
              </w:rPr>
              <w:t>产品授权或代理情况</w:t>
            </w:r>
          </w:p>
        </w:tc>
        <w:tc>
          <w:tcPr>
            <w:tcW w:w="780" w:type="dxa"/>
            <w:vAlign w:val="center"/>
          </w:tcPr>
          <w:p>
            <w:pPr>
              <w:jc w:val="center"/>
              <w:rPr>
                <w:szCs w:val="21"/>
              </w:rPr>
            </w:pPr>
            <w:r>
              <w:rPr>
                <w:szCs w:val="21"/>
              </w:rPr>
              <w:t>5</w:t>
            </w:r>
          </w:p>
        </w:tc>
        <w:tc>
          <w:tcPr>
            <w:tcW w:w="7140" w:type="dxa"/>
            <w:vAlign w:val="center"/>
          </w:tcPr>
          <w:p>
            <w:pPr>
              <w:jc w:val="left"/>
              <w:rPr>
                <w:b/>
                <w:szCs w:val="21"/>
                <w:lang w:val="zh-CN"/>
              </w:rPr>
            </w:pPr>
            <w:r>
              <w:rPr>
                <w:rFonts w:hint="eastAsia"/>
                <w:b/>
                <w:szCs w:val="21"/>
              </w:rPr>
              <w:t>1.</w:t>
            </w:r>
            <w:r>
              <w:rPr>
                <w:rFonts w:hint="eastAsia"/>
                <w:b/>
                <w:szCs w:val="21"/>
                <w:lang w:val="zh-CN"/>
              </w:rPr>
              <w:t>评分标准：</w:t>
            </w:r>
          </w:p>
          <w:p>
            <w:pPr>
              <w:rPr>
                <w:szCs w:val="21"/>
              </w:rPr>
            </w:pPr>
            <w:r>
              <w:rPr>
                <w:rFonts w:hint="eastAsia"/>
                <w:szCs w:val="21"/>
              </w:rPr>
              <w:t>投标人为所投产品（仅限带“</w:t>
            </w:r>
            <w:r>
              <w:rPr>
                <w:rFonts w:hint="eastAsia"/>
                <w:szCs w:val="21"/>
                <w:lang w:val="zh-CN"/>
              </w:rPr>
              <w:t>▲</w:t>
            </w:r>
            <w:r>
              <w:rPr>
                <w:rFonts w:hint="eastAsia"/>
                <w:szCs w:val="21"/>
              </w:rPr>
              <w:t>”</w:t>
            </w:r>
            <w:r>
              <w:rPr>
                <w:rFonts w:hint="eastAsia"/>
                <w:szCs w:val="21"/>
                <w:lang w:val="zh-CN"/>
              </w:rPr>
              <w:t>参数的</w:t>
            </w:r>
            <w:r>
              <w:rPr>
                <w:rFonts w:hint="eastAsia"/>
                <w:szCs w:val="21"/>
              </w:rPr>
              <w:t>产品）的制造商或者合法代理商或合法授权商，得</w:t>
            </w:r>
            <w:r>
              <w:rPr>
                <w:szCs w:val="21"/>
              </w:rPr>
              <w:t>5</w:t>
            </w:r>
            <w:r>
              <w:rPr>
                <w:rFonts w:hint="eastAsia"/>
                <w:szCs w:val="21"/>
              </w:rPr>
              <w:t>分。未提供或提供不完全不得分。</w:t>
            </w:r>
          </w:p>
          <w:p>
            <w:pPr>
              <w:jc w:val="left"/>
              <w:rPr>
                <w:b/>
                <w:szCs w:val="21"/>
              </w:rPr>
            </w:pPr>
            <w:r>
              <w:rPr>
                <w:rFonts w:hint="eastAsia"/>
                <w:b/>
                <w:szCs w:val="21"/>
              </w:rPr>
              <w:t>2.</w:t>
            </w:r>
            <w:r>
              <w:rPr>
                <w:rFonts w:hint="eastAsia"/>
                <w:b/>
                <w:szCs w:val="21"/>
                <w:lang w:val="zh-CN"/>
              </w:rPr>
              <w:t>证明文件：</w:t>
            </w:r>
          </w:p>
          <w:p>
            <w:pPr>
              <w:jc w:val="left"/>
              <w:rPr>
                <w:szCs w:val="21"/>
                <w:lang w:val="zh-CN"/>
              </w:rPr>
            </w:pPr>
            <w:r>
              <w:rPr>
                <w:rFonts w:hint="eastAsia"/>
                <w:szCs w:val="21"/>
              </w:rPr>
              <w:t>1）</w:t>
            </w:r>
            <w:r>
              <w:rPr>
                <w:rFonts w:hint="eastAsia"/>
                <w:szCs w:val="21"/>
                <w:lang w:val="zh-CN"/>
              </w:rPr>
              <w:t>投标人若为制造商，须提供制造商</w:t>
            </w:r>
            <w:r>
              <w:rPr>
                <w:rFonts w:hint="eastAsia"/>
                <w:szCs w:val="21"/>
              </w:rPr>
              <w:t>声明复印件或</w:t>
            </w:r>
            <w:r>
              <w:rPr>
                <w:rFonts w:hint="eastAsia"/>
                <w:szCs w:val="21"/>
                <w:lang w:val="zh-CN"/>
              </w:rPr>
              <w:t>扫描件（</w:t>
            </w:r>
            <w:r>
              <w:rPr>
                <w:rFonts w:hint="eastAsia"/>
                <w:szCs w:val="21"/>
              </w:rPr>
              <w:t>加盖投标人公章</w:t>
            </w:r>
            <w:r>
              <w:rPr>
                <w:rFonts w:hint="eastAsia"/>
                <w:szCs w:val="21"/>
                <w:lang w:val="zh-CN"/>
              </w:rPr>
              <w:t>）；投标人若为代理商，须提供有效的代理经销商证明文件复印件或扫描件（</w:t>
            </w:r>
            <w:r>
              <w:rPr>
                <w:rFonts w:hint="eastAsia"/>
                <w:szCs w:val="21"/>
              </w:rPr>
              <w:t>加盖委托代理方公章</w:t>
            </w:r>
            <w:r>
              <w:rPr>
                <w:rFonts w:hint="eastAsia"/>
                <w:szCs w:val="21"/>
                <w:lang w:val="zh-CN"/>
              </w:rPr>
              <w:t>）；投标人若为授权商，须提供有效的授权证明文件复印件或扫描件（</w:t>
            </w:r>
            <w:r>
              <w:rPr>
                <w:rFonts w:hint="eastAsia"/>
                <w:szCs w:val="21"/>
              </w:rPr>
              <w:t>加盖授权方公章</w:t>
            </w:r>
            <w:r>
              <w:rPr>
                <w:rFonts w:hint="eastAsia"/>
                <w:szCs w:val="21"/>
                <w:lang w:val="zh-CN"/>
              </w:rPr>
              <w:t>）；原件备查。</w:t>
            </w:r>
          </w:p>
          <w:p>
            <w:pPr>
              <w:jc w:val="left"/>
              <w:rPr>
                <w:szCs w:val="21"/>
                <w:lang w:val="zh-CN"/>
              </w:rPr>
            </w:pPr>
            <w:r>
              <w:rPr>
                <w:rFonts w:hint="eastAsia"/>
                <w:szCs w:val="21"/>
              </w:rPr>
              <w:t>2）</w:t>
            </w:r>
            <w:r>
              <w:rPr>
                <w:rFonts w:hint="eastAsia"/>
                <w:szCs w:val="21"/>
                <w:lang w:val="zh-CN"/>
              </w:rPr>
              <w:t>不满足、提供不全或未提供有效证明文件，不得分。</w:t>
            </w:r>
          </w:p>
        </w:tc>
        <w:tc>
          <w:tcPr>
            <w:tcW w:w="763" w:type="dxa"/>
            <w:vAlign w:val="center"/>
          </w:tcPr>
          <w:p>
            <w:pPr>
              <w:autoSpaceDE w:val="0"/>
              <w:autoSpaceDN w:val="0"/>
              <w:jc w:val="center"/>
              <w:rPr>
                <w:szCs w:val="21"/>
                <w:lang w:val="zh-CN"/>
              </w:rPr>
            </w:pPr>
            <w:r>
              <w:rPr>
                <w:rFonts w:hint="eastAsia"/>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493" w:type="dxa"/>
            <w:vAlign w:val="center"/>
          </w:tcPr>
          <w:p>
            <w:pPr>
              <w:autoSpaceDE w:val="0"/>
              <w:autoSpaceDN w:val="0"/>
              <w:jc w:val="left"/>
              <w:rPr>
                <w:szCs w:val="21"/>
                <w:lang w:val="zh-CN"/>
              </w:rPr>
            </w:pPr>
            <w:r>
              <w:rPr>
                <w:rFonts w:hint="eastAsia"/>
                <w:szCs w:val="21"/>
                <w:lang w:val="zh-CN"/>
              </w:rPr>
              <w:t>2</w:t>
            </w:r>
          </w:p>
        </w:tc>
        <w:tc>
          <w:tcPr>
            <w:tcW w:w="1020" w:type="dxa"/>
            <w:vAlign w:val="center"/>
          </w:tcPr>
          <w:p>
            <w:pPr>
              <w:autoSpaceDE w:val="0"/>
              <w:autoSpaceDN w:val="0"/>
              <w:jc w:val="center"/>
              <w:rPr>
                <w:szCs w:val="21"/>
              </w:rPr>
            </w:pPr>
            <w:r>
              <w:rPr>
                <w:rFonts w:hint="eastAsia"/>
                <w:szCs w:val="21"/>
              </w:rPr>
              <w:t>项目业绩</w:t>
            </w:r>
          </w:p>
        </w:tc>
        <w:tc>
          <w:tcPr>
            <w:tcW w:w="780" w:type="dxa"/>
            <w:vAlign w:val="center"/>
          </w:tcPr>
          <w:p>
            <w:pPr>
              <w:autoSpaceDE w:val="0"/>
              <w:autoSpaceDN w:val="0"/>
              <w:jc w:val="center"/>
              <w:rPr>
                <w:szCs w:val="21"/>
              </w:rPr>
            </w:pPr>
            <w:r>
              <w:rPr>
                <w:szCs w:val="21"/>
              </w:rPr>
              <w:t>5</w:t>
            </w:r>
          </w:p>
        </w:tc>
        <w:tc>
          <w:tcPr>
            <w:tcW w:w="7140" w:type="dxa"/>
            <w:vAlign w:val="center"/>
          </w:tcPr>
          <w:p>
            <w:pPr>
              <w:numPr>
                <w:ilvl w:val="0"/>
                <w:numId w:val="22"/>
              </w:numPr>
              <w:jc w:val="left"/>
              <w:rPr>
                <w:szCs w:val="21"/>
              </w:rPr>
            </w:pPr>
            <w:r>
              <w:rPr>
                <w:rFonts w:hint="eastAsia"/>
                <w:b/>
                <w:szCs w:val="21"/>
              </w:rPr>
              <w:t>评审标准</w:t>
            </w:r>
            <w:r>
              <w:rPr>
                <w:rFonts w:hint="eastAsia"/>
                <w:szCs w:val="21"/>
              </w:rPr>
              <w:t>：</w:t>
            </w:r>
          </w:p>
          <w:p>
            <w:pPr>
              <w:pStyle w:val="2"/>
              <w:rPr>
                <w:szCs w:val="21"/>
              </w:rPr>
            </w:pPr>
            <w:r>
              <w:rPr>
                <w:rFonts w:hint="eastAsia"/>
                <w:b w:val="0"/>
                <w:bCs w:val="0"/>
                <w:sz w:val="21"/>
                <w:szCs w:val="21"/>
              </w:rPr>
              <w:t>投标人近三年（2016年1月1日至本项目开标日）学校乐器类项目业绩得1分，最高得5分。</w:t>
            </w:r>
          </w:p>
          <w:p>
            <w:pPr>
              <w:jc w:val="left"/>
              <w:rPr>
                <w:b/>
                <w:szCs w:val="21"/>
              </w:rPr>
            </w:pPr>
            <w:r>
              <w:rPr>
                <w:rFonts w:hint="eastAsia"/>
                <w:b/>
                <w:szCs w:val="21"/>
              </w:rPr>
              <w:t>2.证明文件：</w:t>
            </w:r>
          </w:p>
          <w:p>
            <w:pPr>
              <w:jc w:val="left"/>
              <w:rPr>
                <w:szCs w:val="21"/>
              </w:rPr>
            </w:pPr>
            <w:r>
              <w:rPr>
                <w:rFonts w:hint="eastAsia"/>
                <w:szCs w:val="21"/>
              </w:rPr>
              <w:t>须中标通知书或签订的合同关键页复印件，加盖投标人公章，未提供或未提供有效证明文件，不得分。</w:t>
            </w:r>
          </w:p>
        </w:tc>
        <w:tc>
          <w:tcPr>
            <w:tcW w:w="763" w:type="dxa"/>
            <w:vAlign w:val="center"/>
          </w:tcPr>
          <w:p>
            <w:pPr>
              <w:autoSpaceDE w:val="0"/>
              <w:autoSpaceDN w:val="0"/>
              <w:jc w:val="center"/>
              <w:rPr>
                <w:szCs w:val="21"/>
                <w:lang w:val="zh-CN"/>
              </w:rPr>
            </w:pPr>
            <w:r>
              <w:rPr>
                <w:rFonts w:hint="eastAsia"/>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3" w:type="dxa"/>
            <w:vAlign w:val="center"/>
          </w:tcPr>
          <w:p>
            <w:pPr>
              <w:autoSpaceDE w:val="0"/>
              <w:autoSpaceDN w:val="0"/>
              <w:jc w:val="left"/>
              <w:rPr>
                <w:szCs w:val="21"/>
                <w:lang w:val="zh-CN"/>
              </w:rPr>
            </w:pPr>
            <w:r>
              <w:rPr>
                <w:szCs w:val="21"/>
                <w:lang w:val="zh-CN"/>
              </w:rPr>
              <w:t>3</w:t>
            </w:r>
          </w:p>
        </w:tc>
        <w:tc>
          <w:tcPr>
            <w:tcW w:w="1020" w:type="dxa"/>
            <w:vAlign w:val="center"/>
          </w:tcPr>
          <w:p>
            <w:pPr>
              <w:autoSpaceDE w:val="0"/>
              <w:autoSpaceDN w:val="0"/>
              <w:jc w:val="center"/>
              <w:rPr>
                <w:szCs w:val="21"/>
              </w:rPr>
            </w:pPr>
            <w:r>
              <w:rPr>
                <w:rFonts w:hint="eastAsia"/>
                <w:szCs w:val="21"/>
              </w:rPr>
              <w:t>诚信档案</w:t>
            </w:r>
          </w:p>
        </w:tc>
        <w:tc>
          <w:tcPr>
            <w:tcW w:w="780" w:type="dxa"/>
            <w:vAlign w:val="center"/>
          </w:tcPr>
          <w:p>
            <w:pPr>
              <w:autoSpaceDE w:val="0"/>
              <w:autoSpaceDN w:val="0"/>
              <w:jc w:val="center"/>
              <w:rPr>
                <w:szCs w:val="21"/>
              </w:rPr>
            </w:pPr>
            <w:r>
              <w:rPr>
                <w:rFonts w:hint="eastAsia"/>
                <w:szCs w:val="21"/>
              </w:rPr>
              <w:t>5</w:t>
            </w:r>
          </w:p>
        </w:tc>
        <w:tc>
          <w:tcPr>
            <w:tcW w:w="7140" w:type="dxa"/>
            <w:vAlign w:val="center"/>
          </w:tcPr>
          <w:p>
            <w:pPr>
              <w:autoSpaceDE w:val="0"/>
              <w:autoSpaceDN w:val="0"/>
              <w:rPr>
                <w:b/>
                <w:bCs/>
                <w:szCs w:val="21"/>
              </w:rPr>
            </w:pPr>
            <w:r>
              <w:rPr>
                <w:rFonts w:hint="eastAsia"/>
                <w:b/>
                <w:bCs/>
                <w:szCs w:val="21"/>
              </w:rPr>
              <w:t>1.评审标准：</w:t>
            </w:r>
          </w:p>
          <w:p>
            <w:pPr>
              <w:autoSpaceDE w:val="0"/>
              <w:autoSpaceDN w:val="0"/>
              <w:rPr>
                <w:szCs w:val="21"/>
              </w:rPr>
            </w:pPr>
            <w:r>
              <w:rPr>
                <w:rFonts w:hint="eastAsia"/>
                <w:szCs w:val="21"/>
              </w:rPr>
              <w:t>根据深圳市财政委员会政府采购诚信管理相关规定，对投标人被记录诚信档案的情况进行评审（对于受过行政处罚供应商，行政处罚期满后，可参与政府采购活动，其诚信分不再扣减。）</w:t>
            </w:r>
          </w:p>
          <w:p>
            <w:pPr>
              <w:autoSpaceDE w:val="0"/>
              <w:autoSpaceDN w:val="0"/>
              <w:rPr>
                <w:b/>
                <w:bCs/>
                <w:szCs w:val="21"/>
              </w:rPr>
            </w:pPr>
            <w:r>
              <w:rPr>
                <w:rFonts w:hint="eastAsia"/>
                <w:b/>
                <w:bCs/>
                <w:szCs w:val="21"/>
              </w:rPr>
              <w:t>2.证明文件：</w:t>
            </w:r>
          </w:p>
          <w:p>
            <w:pPr>
              <w:autoSpaceDE w:val="0"/>
              <w:autoSpaceDN w:val="0"/>
              <w:rPr>
                <w:szCs w:val="21"/>
              </w:rPr>
            </w:pPr>
            <w:r>
              <w:rPr>
                <w:rFonts w:hint="eastAsia"/>
                <w:szCs w:val="21"/>
              </w:rPr>
              <w:t>须提供《诚信承诺函》，如若投标人承诺与实际情况不相符，将按照虚假投标的情况报相关主管部门处理，承诺函应按招标文件格式填写原件加盖投标人公章。</w:t>
            </w:r>
          </w:p>
        </w:tc>
        <w:tc>
          <w:tcPr>
            <w:tcW w:w="763" w:type="dxa"/>
            <w:vAlign w:val="center"/>
          </w:tcPr>
          <w:p>
            <w:pPr>
              <w:autoSpaceDE w:val="0"/>
              <w:autoSpaceDN w:val="0"/>
              <w:jc w:val="center"/>
              <w:rPr>
                <w:szCs w:val="21"/>
              </w:rPr>
            </w:pPr>
            <w:r>
              <w:rPr>
                <w:rFonts w:hint="eastAsia"/>
                <w:szCs w:val="21"/>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jc w:val="center"/>
        </w:trPr>
        <w:tc>
          <w:tcPr>
            <w:tcW w:w="9433" w:type="dxa"/>
            <w:gridSpan w:val="4"/>
            <w:vAlign w:val="center"/>
          </w:tcPr>
          <w:p>
            <w:pPr>
              <w:autoSpaceDE w:val="0"/>
              <w:autoSpaceDN w:val="0"/>
              <w:jc w:val="center"/>
              <w:rPr>
                <w:b/>
                <w:szCs w:val="21"/>
                <w:lang w:val="zh-CN"/>
              </w:rPr>
            </w:pPr>
            <w:r>
              <w:rPr>
                <w:rFonts w:hint="eastAsia"/>
                <w:b/>
                <w:szCs w:val="21"/>
                <w:lang w:val="zh-CN"/>
              </w:rPr>
              <w:t>三、技术部分</w:t>
            </w:r>
          </w:p>
        </w:tc>
        <w:tc>
          <w:tcPr>
            <w:tcW w:w="763" w:type="dxa"/>
            <w:vAlign w:val="center"/>
          </w:tcPr>
          <w:p>
            <w:pPr>
              <w:autoSpaceDE w:val="0"/>
              <w:autoSpaceDN w:val="0"/>
              <w:jc w:val="center"/>
              <w:rPr>
                <w:szCs w:val="21"/>
                <w:lang w:val="zh-CN"/>
              </w:rPr>
            </w:pPr>
            <w:r>
              <w:rPr>
                <w:rFonts w:hint="eastAsia"/>
                <w:szCs w:val="21"/>
                <w:lang w:val="zh-CN"/>
              </w:rPr>
              <w:t>5</w:t>
            </w:r>
            <w:r>
              <w:rPr>
                <w:szCs w:val="21"/>
                <w:lang w:val="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493" w:type="dxa"/>
            <w:vAlign w:val="center"/>
          </w:tcPr>
          <w:p>
            <w:pPr>
              <w:autoSpaceDE w:val="0"/>
              <w:autoSpaceDN w:val="0"/>
              <w:jc w:val="center"/>
              <w:rPr>
                <w:szCs w:val="21"/>
              </w:rPr>
            </w:pPr>
            <w:r>
              <w:rPr>
                <w:rFonts w:hint="eastAsia"/>
                <w:szCs w:val="21"/>
                <w:lang w:val="zh-CN"/>
              </w:rPr>
              <w:t>序号</w:t>
            </w:r>
          </w:p>
        </w:tc>
        <w:tc>
          <w:tcPr>
            <w:tcW w:w="1020" w:type="dxa"/>
            <w:vAlign w:val="center"/>
          </w:tcPr>
          <w:p>
            <w:pPr>
              <w:autoSpaceDE w:val="0"/>
              <w:autoSpaceDN w:val="0"/>
              <w:jc w:val="center"/>
              <w:rPr>
                <w:szCs w:val="21"/>
              </w:rPr>
            </w:pPr>
            <w:r>
              <w:rPr>
                <w:rFonts w:hint="eastAsia"/>
                <w:szCs w:val="21"/>
                <w:lang w:val="zh-CN"/>
              </w:rPr>
              <w:t>内容</w:t>
            </w:r>
          </w:p>
        </w:tc>
        <w:tc>
          <w:tcPr>
            <w:tcW w:w="780" w:type="dxa"/>
            <w:vAlign w:val="center"/>
          </w:tcPr>
          <w:p>
            <w:pPr>
              <w:autoSpaceDE w:val="0"/>
              <w:autoSpaceDN w:val="0"/>
              <w:jc w:val="center"/>
              <w:rPr>
                <w:szCs w:val="21"/>
              </w:rPr>
            </w:pPr>
            <w:r>
              <w:rPr>
                <w:rFonts w:hint="eastAsia"/>
                <w:szCs w:val="21"/>
                <w:lang w:val="zh-CN"/>
              </w:rPr>
              <w:t>权重</w:t>
            </w:r>
          </w:p>
        </w:tc>
        <w:tc>
          <w:tcPr>
            <w:tcW w:w="7140" w:type="dxa"/>
            <w:vAlign w:val="center"/>
          </w:tcPr>
          <w:p>
            <w:pPr>
              <w:autoSpaceDE w:val="0"/>
              <w:autoSpaceDN w:val="0"/>
              <w:jc w:val="center"/>
              <w:rPr>
                <w:szCs w:val="21"/>
                <w:lang w:val="zh-CN"/>
              </w:rPr>
            </w:pPr>
            <w:r>
              <w:rPr>
                <w:rFonts w:hint="eastAsia"/>
                <w:szCs w:val="21"/>
                <w:lang w:val="zh-CN"/>
              </w:rPr>
              <w:t>评分规则</w:t>
            </w:r>
          </w:p>
        </w:tc>
        <w:tc>
          <w:tcPr>
            <w:tcW w:w="763" w:type="dxa"/>
            <w:vAlign w:val="center"/>
          </w:tcPr>
          <w:p>
            <w:pPr>
              <w:autoSpaceDE w:val="0"/>
              <w:autoSpaceDN w:val="0"/>
              <w:jc w:val="center"/>
              <w:rPr>
                <w:szCs w:val="21"/>
                <w:lang w:val="zh-CN"/>
              </w:rPr>
            </w:pPr>
            <w:r>
              <w:rPr>
                <w:rFonts w:hint="eastAsia"/>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493" w:type="dxa"/>
            <w:vAlign w:val="center"/>
          </w:tcPr>
          <w:p>
            <w:pPr>
              <w:autoSpaceDE w:val="0"/>
              <w:autoSpaceDN w:val="0"/>
              <w:jc w:val="left"/>
              <w:rPr>
                <w:szCs w:val="21"/>
                <w:lang w:val="zh-CN"/>
              </w:rPr>
            </w:pPr>
            <w:r>
              <w:rPr>
                <w:szCs w:val="21"/>
                <w:lang w:val="zh-CN"/>
              </w:rPr>
              <w:t>1</w:t>
            </w:r>
          </w:p>
        </w:tc>
        <w:tc>
          <w:tcPr>
            <w:tcW w:w="1020" w:type="dxa"/>
            <w:vAlign w:val="center"/>
          </w:tcPr>
          <w:p>
            <w:pPr>
              <w:jc w:val="center"/>
              <w:rPr>
                <w:szCs w:val="21"/>
              </w:rPr>
            </w:pPr>
            <w:r>
              <w:rPr>
                <w:rFonts w:hint="eastAsia"/>
                <w:szCs w:val="21"/>
              </w:rPr>
              <w:t>技术参数响应</w:t>
            </w:r>
          </w:p>
        </w:tc>
        <w:tc>
          <w:tcPr>
            <w:tcW w:w="780" w:type="dxa"/>
            <w:vAlign w:val="center"/>
          </w:tcPr>
          <w:p>
            <w:pPr>
              <w:autoSpaceDE w:val="0"/>
              <w:autoSpaceDN w:val="0"/>
              <w:jc w:val="center"/>
              <w:rPr>
                <w:szCs w:val="21"/>
              </w:rPr>
            </w:pPr>
            <w:r>
              <w:rPr>
                <w:rFonts w:hint="eastAsia"/>
                <w:szCs w:val="21"/>
              </w:rPr>
              <w:t>4</w:t>
            </w:r>
            <w:r>
              <w:rPr>
                <w:szCs w:val="21"/>
              </w:rPr>
              <w:t>6</w:t>
            </w:r>
          </w:p>
        </w:tc>
        <w:tc>
          <w:tcPr>
            <w:tcW w:w="7140" w:type="dxa"/>
            <w:vAlign w:val="center"/>
          </w:tcPr>
          <w:p>
            <w:pPr>
              <w:autoSpaceDE w:val="0"/>
              <w:autoSpaceDN w:val="0"/>
              <w:rPr>
                <w:b/>
                <w:bCs/>
                <w:szCs w:val="21"/>
              </w:rPr>
            </w:pPr>
            <w:r>
              <w:rPr>
                <w:rFonts w:hint="eastAsia"/>
                <w:b/>
                <w:bCs/>
                <w:szCs w:val="21"/>
              </w:rPr>
              <w:t>1.评审标准：</w:t>
            </w:r>
          </w:p>
          <w:p>
            <w:pPr>
              <w:pStyle w:val="8"/>
              <w:ind w:firstLine="0"/>
              <w:rPr>
                <w:rFonts w:ascii="宋体" w:hAnsi="宋体"/>
                <w:szCs w:val="21"/>
              </w:rPr>
            </w:pPr>
            <w:r>
              <w:rPr>
                <w:rFonts w:ascii="宋体" w:hAnsi="宋体"/>
                <w:szCs w:val="21"/>
              </w:rPr>
              <w:t>评审委员会根据技术需求参数响应情况进行打分。各项技术参数指标及要求全部满足的得4</w:t>
            </w:r>
            <w:r>
              <w:rPr>
                <w:rFonts w:hint="eastAsia" w:ascii="宋体" w:hAnsi="宋体"/>
                <w:szCs w:val="21"/>
              </w:rPr>
              <w:t>6</w:t>
            </w:r>
            <w:r>
              <w:rPr>
                <w:rFonts w:ascii="宋体" w:hAnsi="宋体"/>
                <w:szCs w:val="21"/>
              </w:rPr>
              <w:t>分</w:t>
            </w:r>
            <w:r>
              <w:rPr>
                <w:rFonts w:hint="eastAsia" w:ascii="宋体" w:hAnsi="宋体"/>
                <w:szCs w:val="21"/>
              </w:rPr>
              <w:t>：</w:t>
            </w:r>
          </w:p>
          <w:p>
            <w:pPr>
              <w:pStyle w:val="8"/>
              <w:numPr>
                <w:ilvl w:val="0"/>
                <w:numId w:val="23"/>
              </w:numPr>
              <w:ind w:firstLine="0"/>
              <w:rPr>
                <w:rFonts w:ascii="宋体" w:hAnsi="宋体"/>
                <w:szCs w:val="21"/>
              </w:rPr>
            </w:pPr>
            <w:r>
              <w:rPr>
                <w:rFonts w:ascii="宋体" w:hAnsi="宋体"/>
                <w:szCs w:val="21"/>
              </w:rPr>
              <w:t>带“▲”重要参数的，每负偏离一项扣</w:t>
            </w:r>
            <w:r>
              <w:rPr>
                <w:rFonts w:hint="eastAsia" w:ascii="宋体" w:hAnsi="宋体"/>
                <w:szCs w:val="21"/>
              </w:rPr>
              <w:t>2.5</w:t>
            </w:r>
            <w:r>
              <w:rPr>
                <w:rFonts w:ascii="宋体" w:hAnsi="宋体"/>
                <w:szCs w:val="21"/>
              </w:rPr>
              <w:t>分</w:t>
            </w:r>
            <w:r>
              <w:rPr>
                <w:rFonts w:hint="eastAsia" w:ascii="宋体" w:hAnsi="宋体"/>
                <w:szCs w:val="21"/>
              </w:rPr>
              <w:t>；</w:t>
            </w:r>
          </w:p>
          <w:p>
            <w:pPr>
              <w:pStyle w:val="8"/>
              <w:numPr>
                <w:ilvl w:val="0"/>
                <w:numId w:val="23"/>
              </w:numPr>
              <w:ind w:firstLine="0"/>
              <w:rPr>
                <w:rFonts w:ascii="宋体" w:hAnsi="宋体"/>
                <w:szCs w:val="21"/>
              </w:rPr>
            </w:pPr>
            <w:r>
              <w:rPr>
                <w:rFonts w:hint="eastAsia" w:ascii="宋体" w:hAnsi="宋体"/>
                <w:szCs w:val="21"/>
              </w:rPr>
              <w:t>一般</w:t>
            </w:r>
            <w:r>
              <w:rPr>
                <w:rFonts w:ascii="宋体" w:hAnsi="宋体"/>
                <w:szCs w:val="21"/>
              </w:rPr>
              <w:t>参数的，每负偏离一项扣</w:t>
            </w:r>
            <w:r>
              <w:rPr>
                <w:rFonts w:hint="eastAsia" w:ascii="宋体" w:hAnsi="宋体"/>
                <w:szCs w:val="21"/>
              </w:rPr>
              <w:t>1</w:t>
            </w:r>
            <w:r>
              <w:rPr>
                <w:rFonts w:ascii="宋体" w:hAnsi="宋体"/>
                <w:szCs w:val="21"/>
              </w:rPr>
              <w:t>分</w:t>
            </w:r>
            <w:r>
              <w:rPr>
                <w:rFonts w:hint="eastAsia" w:ascii="宋体" w:hAnsi="宋体"/>
                <w:szCs w:val="21"/>
              </w:rPr>
              <w:t>；</w:t>
            </w:r>
          </w:p>
          <w:p>
            <w:pPr>
              <w:pStyle w:val="8"/>
              <w:ind w:firstLine="0"/>
              <w:rPr>
                <w:rFonts w:ascii="宋体" w:hAnsi="宋体"/>
                <w:szCs w:val="21"/>
              </w:rPr>
            </w:pPr>
            <w:r>
              <w:rPr>
                <w:rFonts w:ascii="宋体" w:hAnsi="宋体"/>
                <w:szCs w:val="21"/>
              </w:rPr>
              <w:t>扣完为止。</w:t>
            </w:r>
          </w:p>
          <w:p>
            <w:pPr>
              <w:autoSpaceDE w:val="0"/>
              <w:autoSpaceDN w:val="0"/>
              <w:rPr>
                <w:b/>
                <w:bCs/>
                <w:szCs w:val="21"/>
              </w:rPr>
            </w:pPr>
            <w:r>
              <w:rPr>
                <w:rFonts w:hint="eastAsia"/>
                <w:b/>
                <w:bCs/>
                <w:szCs w:val="21"/>
              </w:rPr>
              <w:t>2.证明文件：</w:t>
            </w:r>
          </w:p>
          <w:p>
            <w:pPr>
              <w:pStyle w:val="8"/>
              <w:ind w:firstLine="0"/>
              <w:rPr>
                <w:rFonts w:ascii="宋体" w:hAnsi="宋体"/>
                <w:szCs w:val="21"/>
              </w:rPr>
            </w:pPr>
            <w:r>
              <w:rPr>
                <w:rFonts w:hint="eastAsia" w:ascii="宋体" w:hAnsi="宋体"/>
                <w:szCs w:val="21"/>
              </w:rPr>
              <w:t>根据投标人提供的《技术规格偏离表》。其中标注“▲”的重点参数应当提供相应证明文件（证明文件可以是产品彩页说明书或宣传资料或官网载图等，未提供相关证明文件的，则认为对应参数负偏离，不得分），非“▲”参数无需提供证明文件，以《技术规格偏离表》响应情况为准（项目需求中有证明文件要求的,按要求提供相应证明材料,否则视为该项参数不满足,做扣分处理）。</w:t>
            </w:r>
          </w:p>
        </w:tc>
        <w:tc>
          <w:tcPr>
            <w:tcW w:w="763" w:type="dxa"/>
            <w:vAlign w:val="center"/>
          </w:tcPr>
          <w:p>
            <w:pPr>
              <w:autoSpaceDE w:val="0"/>
              <w:autoSpaceDN w:val="0"/>
              <w:jc w:val="center"/>
              <w:rPr>
                <w:szCs w:val="21"/>
                <w:lang w:val="zh-CN"/>
              </w:rPr>
            </w:pPr>
            <w:r>
              <w:rPr>
                <w:rFonts w:hint="eastAsia"/>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493" w:type="dxa"/>
            <w:vAlign w:val="center"/>
          </w:tcPr>
          <w:p>
            <w:pPr>
              <w:autoSpaceDE w:val="0"/>
              <w:autoSpaceDN w:val="0"/>
              <w:jc w:val="left"/>
              <w:rPr>
                <w:szCs w:val="21"/>
                <w:lang w:val="zh-CN"/>
              </w:rPr>
            </w:pPr>
            <w:r>
              <w:rPr>
                <w:rFonts w:hint="eastAsia"/>
                <w:szCs w:val="21"/>
                <w:lang w:val="zh-CN"/>
              </w:rPr>
              <w:t>2</w:t>
            </w:r>
          </w:p>
        </w:tc>
        <w:tc>
          <w:tcPr>
            <w:tcW w:w="1020" w:type="dxa"/>
            <w:vAlign w:val="center"/>
          </w:tcPr>
          <w:p>
            <w:pPr>
              <w:autoSpaceDE w:val="0"/>
              <w:autoSpaceDN w:val="0"/>
              <w:jc w:val="center"/>
              <w:rPr>
                <w:szCs w:val="21"/>
              </w:rPr>
            </w:pPr>
            <w:r>
              <w:rPr>
                <w:rFonts w:hint="eastAsia"/>
                <w:szCs w:val="21"/>
              </w:rPr>
              <w:t>项目实施方案</w:t>
            </w:r>
          </w:p>
        </w:tc>
        <w:tc>
          <w:tcPr>
            <w:tcW w:w="780" w:type="dxa"/>
            <w:vAlign w:val="center"/>
          </w:tcPr>
          <w:p>
            <w:pPr>
              <w:autoSpaceDE w:val="0"/>
              <w:autoSpaceDN w:val="0"/>
              <w:jc w:val="center"/>
              <w:rPr>
                <w:szCs w:val="21"/>
              </w:rPr>
            </w:pPr>
            <w:r>
              <w:rPr>
                <w:szCs w:val="21"/>
              </w:rPr>
              <w:t>3</w:t>
            </w:r>
          </w:p>
        </w:tc>
        <w:tc>
          <w:tcPr>
            <w:tcW w:w="7140" w:type="dxa"/>
          </w:tcPr>
          <w:p>
            <w:pPr>
              <w:jc w:val="left"/>
              <w:rPr>
                <w:szCs w:val="21"/>
              </w:rPr>
            </w:pPr>
            <w:r>
              <w:rPr>
                <w:rFonts w:hint="eastAsia"/>
                <w:szCs w:val="21"/>
              </w:rPr>
              <w:t>1.</w:t>
            </w:r>
            <w:r>
              <w:rPr>
                <w:rFonts w:hint="eastAsia"/>
                <w:b/>
                <w:bCs/>
                <w:szCs w:val="21"/>
              </w:rPr>
              <w:t>评审内容：</w:t>
            </w:r>
          </w:p>
          <w:p>
            <w:pPr>
              <w:jc w:val="left"/>
              <w:rPr>
                <w:szCs w:val="21"/>
              </w:rPr>
            </w:pPr>
            <w:r>
              <w:rPr>
                <w:rFonts w:hint="eastAsia"/>
                <w:szCs w:val="21"/>
              </w:rPr>
              <w:t>根据投标人提供的实施措施方案、质量保证措施方案、安装调试方案、验收安排等方面横向比较评比。</w:t>
            </w:r>
          </w:p>
          <w:p>
            <w:pPr>
              <w:numPr>
                <w:ilvl w:val="0"/>
                <w:numId w:val="24"/>
              </w:numPr>
              <w:jc w:val="left"/>
              <w:rPr>
                <w:b/>
                <w:bCs/>
                <w:szCs w:val="21"/>
              </w:rPr>
            </w:pPr>
            <w:r>
              <w:rPr>
                <w:rFonts w:hint="eastAsia"/>
                <w:b/>
                <w:bCs/>
                <w:szCs w:val="21"/>
              </w:rPr>
              <w:t>评分标准：</w:t>
            </w:r>
          </w:p>
          <w:p>
            <w:pPr>
              <w:jc w:val="left"/>
              <w:rPr>
                <w:szCs w:val="21"/>
              </w:rPr>
            </w:pPr>
            <w:r>
              <w:rPr>
                <w:rFonts w:hint="eastAsia"/>
                <w:szCs w:val="21"/>
              </w:rPr>
              <w:t>根据优劣情况评分：优得</w:t>
            </w:r>
            <w:r>
              <w:rPr>
                <w:szCs w:val="21"/>
              </w:rPr>
              <w:t>3</w:t>
            </w:r>
            <w:r>
              <w:rPr>
                <w:rFonts w:hint="eastAsia"/>
                <w:szCs w:val="21"/>
              </w:rPr>
              <w:t>分；良得</w:t>
            </w:r>
            <w:r>
              <w:rPr>
                <w:szCs w:val="21"/>
              </w:rPr>
              <w:t>2</w:t>
            </w:r>
            <w:r>
              <w:rPr>
                <w:rFonts w:hint="eastAsia"/>
                <w:szCs w:val="21"/>
              </w:rPr>
              <w:t>分；中得</w:t>
            </w:r>
            <w:r>
              <w:rPr>
                <w:szCs w:val="21"/>
              </w:rPr>
              <w:t>1</w:t>
            </w:r>
            <w:r>
              <w:rPr>
                <w:rFonts w:hint="eastAsia"/>
                <w:szCs w:val="21"/>
              </w:rPr>
              <w:t>分；差或不满足招标文件要求不得分。</w:t>
            </w:r>
          </w:p>
          <w:p>
            <w:pPr>
              <w:pStyle w:val="8"/>
              <w:jc w:val="left"/>
              <w:rPr>
                <w:rFonts w:ascii="宋体" w:hAnsi="宋体"/>
                <w:szCs w:val="21"/>
                <w:lang w:val="zh-CN"/>
              </w:rPr>
            </w:pPr>
            <w:r>
              <w:rPr>
                <w:rFonts w:hint="eastAsia" w:ascii="宋体" w:hAnsi="宋体"/>
                <w:szCs w:val="21"/>
                <w:lang w:val="zh-CN"/>
              </w:rPr>
              <w:t>优：从</w:t>
            </w:r>
            <w:r>
              <w:rPr>
                <w:rFonts w:hint="eastAsia" w:ascii="宋体" w:hAnsi="宋体"/>
                <w:szCs w:val="21"/>
              </w:rPr>
              <w:t>实施措施方案、质量保证措施方案、安装调试方案、验收安排等</w:t>
            </w:r>
            <w:r>
              <w:rPr>
                <w:rFonts w:hint="eastAsia" w:ascii="宋体" w:hAnsi="宋体"/>
                <w:szCs w:val="21"/>
                <w:lang w:val="zh-CN"/>
              </w:rPr>
              <w:t>做出全面、具体而又有明确安排的实施方案。</w:t>
            </w:r>
          </w:p>
          <w:p>
            <w:pPr>
              <w:pStyle w:val="8"/>
              <w:jc w:val="left"/>
              <w:rPr>
                <w:rFonts w:ascii="宋体" w:hAnsi="宋体"/>
                <w:szCs w:val="21"/>
                <w:lang w:val="zh-CN"/>
              </w:rPr>
            </w:pPr>
            <w:r>
              <w:rPr>
                <w:rFonts w:hint="eastAsia" w:ascii="宋体" w:hAnsi="宋体"/>
                <w:szCs w:val="21"/>
                <w:lang w:val="zh-CN"/>
              </w:rPr>
              <w:t>良：</w:t>
            </w:r>
            <w:r>
              <w:rPr>
                <w:rFonts w:hint="eastAsia" w:ascii="宋体" w:hAnsi="宋体"/>
                <w:szCs w:val="21"/>
              </w:rPr>
              <w:t>实施措施方案、质量保证措施方案、安装调试方案、验收安排等</w:t>
            </w:r>
            <w:r>
              <w:rPr>
                <w:rFonts w:hint="eastAsia" w:ascii="宋体" w:hAnsi="宋体"/>
                <w:szCs w:val="21"/>
                <w:lang w:val="zh-CN"/>
              </w:rPr>
              <w:t>不全面，安排不合理的实施方案。</w:t>
            </w:r>
          </w:p>
          <w:p>
            <w:pPr>
              <w:pStyle w:val="8"/>
              <w:jc w:val="left"/>
              <w:rPr>
                <w:rFonts w:ascii="宋体" w:hAnsi="宋体"/>
                <w:szCs w:val="21"/>
              </w:rPr>
            </w:pPr>
            <w:r>
              <w:rPr>
                <w:rFonts w:hint="eastAsia" w:ascii="宋体" w:hAnsi="宋体"/>
                <w:szCs w:val="21"/>
              </w:rPr>
              <w:t>中：</w:t>
            </w:r>
            <w:r>
              <w:rPr>
                <w:rFonts w:hint="eastAsia" w:ascii="宋体" w:hAnsi="宋体"/>
                <w:szCs w:val="21"/>
                <w:lang w:val="zh-CN"/>
              </w:rPr>
              <w:t>未明确</w:t>
            </w:r>
            <w:r>
              <w:rPr>
                <w:rFonts w:hint="eastAsia" w:ascii="宋体" w:hAnsi="宋体"/>
                <w:szCs w:val="21"/>
              </w:rPr>
              <w:t>实施措施方案、质量保证措施方案、安装调试方案、验收安排等</w:t>
            </w:r>
            <w:r>
              <w:rPr>
                <w:rFonts w:hint="eastAsia" w:ascii="宋体" w:hAnsi="宋体"/>
                <w:szCs w:val="21"/>
                <w:lang w:val="zh-CN"/>
              </w:rPr>
              <w:t>，或实施方案不合理</w:t>
            </w:r>
          </w:p>
          <w:p>
            <w:pPr>
              <w:pStyle w:val="8"/>
              <w:jc w:val="left"/>
              <w:rPr>
                <w:rFonts w:ascii="宋体" w:hAnsi="宋体"/>
                <w:szCs w:val="21"/>
              </w:rPr>
            </w:pPr>
            <w:r>
              <w:rPr>
                <w:rFonts w:hint="eastAsia" w:ascii="宋体" w:hAnsi="宋体"/>
                <w:szCs w:val="21"/>
                <w:lang w:val="zh-CN"/>
              </w:rPr>
              <w:t>差：未提供实施方案。</w:t>
            </w:r>
          </w:p>
        </w:tc>
        <w:tc>
          <w:tcPr>
            <w:tcW w:w="763" w:type="dxa"/>
            <w:vAlign w:val="center"/>
          </w:tcPr>
          <w:p>
            <w:pPr>
              <w:autoSpaceDE w:val="0"/>
              <w:autoSpaceDN w:val="0"/>
              <w:jc w:val="center"/>
              <w:rPr>
                <w:szCs w:val="21"/>
                <w:lang w:val="zh-CN"/>
              </w:rPr>
            </w:pPr>
            <w:r>
              <w:rPr>
                <w:rFonts w:hint="eastAsia"/>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493" w:type="dxa"/>
            <w:vAlign w:val="center"/>
          </w:tcPr>
          <w:p>
            <w:pPr>
              <w:autoSpaceDE w:val="0"/>
              <w:autoSpaceDN w:val="0"/>
              <w:jc w:val="left"/>
              <w:rPr>
                <w:szCs w:val="21"/>
                <w:lang w:val="zh-CN"/>
              </w:rPr>
            </w:pPr>
            <w:r>
              <w:rPr>
                <w:rFonts w:hint="eastAsia"/>
                <w:szCs w:val="21"/>
                <w:lang w:val="zh-CN"/>
              </w:rPr>
              <w:t>3</w:t>
            </w:r>
          </w:p>
        </w:tc>
        <w:tc>
          <w:tcPr>
            <w:tcW w:w="1020" w:type="dxa"/>
            <w:vAlign w:val="center"/>
          </w:tcPr>
          <w:p>
            <w:pPr>
              <w:jc w:val="center"/>
              <w:rPr>
                <w:szCs w:val="21"/>
              </w:rPr>
            </w:pPr>
            <w:r>
              <w:rPr>
                <w:rFonts w:hint="eastAsia"/>
                <w:szCs w:val="21"/>
              </w:rPr>
              <w:t>售后服务</w:t>
            </w:r>
          </w:p>
        </w:tc>
        <w:tc>
          <w:tcPr>
            <w:tcW w:w="780" w:type="dxa"/>
            <w:vAlign w:val="center"/>
          </w:tcPr>
          <w:p>
            <w:pPr>
              <w:jc w:val="center"/>
              <w:rPr>
                <w:szCs w:val="21"/>
              </w:rPr>
            </w:pPr>
            <w:r>
              <w:rPr>
                <w:szCs w:val="21"/>
              </w:rPr>
              <w:t>3</w:t>
            </w:r>
          </w:p>
        </w:tc>
        <w:tc>
          <w:tcPr>
            <w:tcW w:w="7140" w:type="dxa"/>
            <w:vAlign w:val="center"/>
          </w:tcPr>
          <w:p>
            <w:pPr>
              <w:numPr>
                <w:ilvl w:val="0"/>
                <w:numId w:val="25"/>
              </w:numPr>
              <w:jc w:val="left"/>
              <w:rPr>
                <w:b/>
                <w:szCs w:val="21"/>
              </w:rPr>
            </w:pPr>
            <w:r>
              <w:rPr>
                <w:rFonts w:hint="eastAsia"/>
                <w:b/>
                <w:szCs w:val="21"/>
              </w:rPr>
              <w:t>评审内容：</w:t>
            </w:r>
          </w:p>
          <w:p>
            <w:pPr>
              <w:jc w:val="left"/>
              <w:rPr>
                <w:b/>
                <w:szCs w:val="21"/>
              </w:rPr>
            </w:pPr>
            <w:r>
              <w:rPr>
                <w:rFonts w:hint="eastAsia"/>
                <w:szCs w:val="21"/>
              </w:rPr>
              <w:t>在满足招标文件要求的基础上，根据交货期、免费质保期、维修服务、备品备件供应及价格优惠情况、培训方案和人员安排等方面进行横向比较</w:t>
            </w:r>
            <w:r>
              <w:rPr>
                <w:rFonts w:hint="eastAsia"/>
                <w:color w:val="000000"/>
                <w:szCs w:val="21"/>
              </w:rPr>
              <w:t>：优得</w:t>
            </w:r>
            <w:r>
              <w:rPr>
                <w:color w:val="000000"/>
                <w:szCs w:val="21"/>
              </w:rPr>
              <w:t>3</w:t>
            </w:r>
            <w:r>
              <w:rPr>
                <w:rFonts w:hint="eastAsia"/>
                <w:color w:val="000000"/>
                <w:szCs w:val="21"/>
              </w:rPr>
              <w:t>分；良2分；中得</w:t>
            </w:r>
            <w:r>
              <w:rPr>
                <w:color w:val="000000"/>
                <w:szCs w:val="21"/>
              </w:rPr>
              <w:t>1</w:t>
            </w:r>
            <w:r>
              <w:rPr>
                <w:rFonts w:hint="eastAsia"/>
                <w:color w:val="000000"/>
                <w:szCs w:val="21"/>
              </w:rPr>
              <w:t>分；差或不满足招标文件要求不得分。</w:t>
            </w:r>
          </w:p>
          <w:p>
            <w:pPr>
              <w:numPr>
                <w:ilvl w:val="0"/>
                <w:numId w:val="25"/>
              </w:numPr>
              <w:jc w:val="left"/>
              <w:rPr>
                <w:b/>
                <w:color w:val="000000"/>
                <w:szCs w:val="21"/>
              </w:rPr>
            </w:pPr>
            <w:r>
              <w:rPr>
                <w:rFonts w:hint="eastAsia"/>
                <w:b/>
                <w:color w:val="000000"/>
                <w:szCs w:val="21"/>
              </w:rPr>
              <w:t>评分标准：</w:t>
            </w:r>
          </w:p>
          <w:p>
            <w:pPr>
              <w:ind w:firstLine="420" w:firstLineChars="200"/>
              <w:jc w:val="left"/>
              <w:rPr>
                <w:bCs/>
                <w:color w:val="000000"/>
                <w:szCs w:val="21"/>
              </w:rPr>
            </w:pPr>
            <w:r>
              <w:rPr>
                <w:rFonts w:hint="eastAsia"/>
                <w:bCs/>
                <w:color w:val="000000"/>
                <w:szCs w:val="21"/>
              </w:rPr>
              <w:t>优：明确的售后服务方案。包含交货期、免费质保期、维修服务、备品备件供应及价格优惠情况、培训方案、人员安排和售后服务体系。</w:t>
            </w:r>
          </w:p>
          <w:p>
            <w:pPr>
              <w:ind w:firstLine="420" w:firstLineChars="200"/>
              <w:jc w:val="left"/>
              <w:rPr>
                <w:bCs/>
                <w:color w:val="000000"/>
                <w:szCs w:val="21"/>
              </w:rPr>
            </w:pPr>
            <w:r>
              <w:rPr>
                <w:rFonts w:hint="eastAsia"/>
                <w:bCs/>
                <w:color w:val="000000"/>
                <w:szCs w:val="21"/>
              </w:rPr>
              <w:t>良：售后服务方案不全面。未全部包含交货期、免费质保期、维修服务、备品备件供应及价格优惠情况、培训方案、人员安排和售后服务体系。</w:t>
            </w:r>
          </w:p>
          <w:p>
            <w:pPr>
              <w:ind w:firstLine="420" w:firstLineChars="200"/>
              <w:jc w:val="left"/>
              <w:rPr>
                <w:bCs/>
                <w:color w:val="000000"/>
                <w:szCs w:val="21"/>
              </w:rPr>
            </w:pPr>
            <w:r>
              <w:rPr>
                <w:rFonts w:hint="eastAsia"/>
                <w:bCs/>
                <w:color w:val="000000"/>
                <w:szCs w:val="21"/>
              </w:rPr>
              <w:t>中：售后服务方案不合理。</w:t>
            </w:r>
          </w:p>
          <w:p>
            <w:pPr>
              <w:ind w:firstLine="420" w:firstLineChars="200"/>
              <w:jc w:val="left"/>
              <w:rPr>
                <w:bCs/>
                <w:color w:val="000000"/>
                <w:szCs w:val="21"/>
              </w:rPr>
            </w:pPr>
            <w:r>
              <w:rPr>
                <w:rFonts w:hint="eastAsia"/>
                <w:bCs/>
                <w:color w:val="000000"/>
                <w:szCs w:val="21"/>
              </w:rPr>
              <w:t>差：未提供售后服务方案。</w:t>
            </w:r>
          </w:p>
        </w:tc>
        <w:tc>
          <w:tcPr>
            <w:tcW w:w="763" w:type="dxa"/>
            <w:vAlign w:val="center"/>
          </w:tcPr>
          <w:p>
            <w:pPr>
              <w:autoSpaceDE w:val="0"/>
              <w:autoSpaceDN w:val="0"/>
              <w:jc w:val="center"/>
              <w:rPr>
                <w:szCs w:val="21"/>
                <w:lang w:val="zh-CN"/>
              </w:rPr>
            </w:pPr>
            <w:r>
              <w:rPr>
                <w:rFonts w:hint="eastAsia"/>
                <w:szCs w:val="21"/>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493" w:type="dxa"/>
            <w:vAlign w:val="center"/>
          </w:tcPr>
          <w:p>
            <w:pPr>
              <w:autoSpaceDE w:val="0"/>
              <w:autoSpaceDN w:val="0"/>
              <w:jc w:val="left"/>
              <w:rPr>
                <w:szCs w:val="21"/>
                <w:lang w:val="zh-CN"/>
              </w:rPr>
            </w:pPr>
            <w:r>
              <w:rPr>
                <w:szCs w:val="21"/>
                <w:lang w:val="zh-CN"/>
              </w:rPr>
              <w:t>4</w:t>
            </w:r>
          </w:p>
        </w:tc>
        <w:tc>
          <w:tcPr>
            <w:tcW w:w="1020" w:type="dxa"/>
            <w:vAlign w:val="center"/>
          </w:tcPr>
          <w:p>
            <w:pPr>
              <w:jc w:val="center"/>
              <w:rPr>
                <w:szCs w:val="21"/>
              </w:rPr>
            </w:pPr>
            <w:r>
              <w:rPr>
                <w:rFonts w:hint="eastAsia"/>
                <w:szCs w:val="21"/>
              </w:rPr>
              <w:t>本地化服务保障</w:t>
            </w:r>
          </w:p>
        </w:tc>
        <w:tc>
          <w:tcPr>
            <w:tcW w:w="780" w:type="dxa"/>
            <w:vAlign w:val="center"/>
          </w:tcPr>
          <w:p>
            <w:pPr>
              <w:jc w:val="center"/>
              <w:rPr>
                <w:szCs w:val="21"/>
              </w:rPr>
            </w:pPr>
            <w:r>
              <w:rPr>
                <w:szCs w:val="21"/>
              </w:rPr>
              <w:t>3</w:t>
            </w:r>
          </w:p>
        </w:tc>
        <w:tc>
          <w:tcPr>
            <w:tcW w:w="7140" w:type="dxa"/>
            <w:vAlign w:val="center"/>
          </w:tcPr>
          <w:p>
            <w:pPr>
              <w:jc w:val="left"/>
              <w:rPr>
                <w:szCs w:val="21"/>
              </w:rPr>
            </w:pPr>
            <w:r>
              <w:rPr>
                <w:rFonts w:hint="eastAsia"/>
                <w:szCs w:val="21"/>
              </w:rPr>
              <w:t>投标人常驻深圳市有售后服务机构且有固定的售后服务人员的得</w:t>
            </w:r>
            <w:r>
              <w:rPr>
                <w:szCs w:val="21"/>
              </w:rPr>
              <w:t>3</w:t>
            </w:r>
            <w:r>
              <w:rPr>
                <w:rFonts w:hint="eastAsia"/>
                <w:szCs w:val="21"/>
              </w:rPr>
              <w:t>分，否则不得分。</w:t>
            </w:r>
          </w:p>
          <w:p>
            <w:pPr>
              <w:jc w:val="left"/>
              <w:rPr>
                <w:b/>
                <w:szCs w:val="21"/>
              </w:rPr>
            </w:pPr>
            <w:r>
              <w:rPr>
                <w:szCs w:val="21"/>
              </w:rPr>
              <w:t>投标人须提供营业执照（具有注册地址）</w:t>
            </w:r>
            <w:r>
              <w:rPr>
                <w:rFonts w:hint="eastAsia"/>
                <w:szCs w:val="21"/>
              </w:rPr>
              <w:t>或房屋租赁合同（租赁场地）或房屋产权证（自有房屋）</w:t>
            </w:r>
            <w:r>
              <w:rPr>
                <w:rFonts w:hint="eastAsia"/>
                <w:b/>
                <w:bCs/>
                <w:szCs w:val="21"/>
              </w:rPr>
              <w:t>及</w:t>
            </w:r>
            <w:r>
              <w:rPr>
                <w:rFonts w:hint="eastAsia"/>
                <w:szCs w:val="21"/>
              </w:rPr>
              <w:t>投标人为售后服务人员缴纳的近三个月社保复印件</w:t>
            </w:r>
            <w:r>
              <w:rPr>
                <w:szCs w:val="21"/>
              </w:rPr>
              <w:t>作为证明材料；不按要求提供不得分。</w:t>
            </w:r>
          </w:p>
        </w:tc>
        <w:tc>
          <w:tcPr>
            <w:tcW w:w="763" w:type="dxa"/>
            <w:vAlign w:val="center"/>
          </w:tcPr>
          <w:p>
            <w:pPr>
              <w:autoSpaceDE w:val="0"/>
              <w:autoSpaceDN w:val="0"/>
              <w:jc w:val="center"/>
              <w:rPr>
                <w:szCs w:val="21"/>
                <w:lang w:val="zh-CN"/>
              </w:rPr>
            </w:pPr>
            <w:r>
              <w:rPr>
                <w:rFonts w:hint="eastAsia"/>
                <w:szCs w:val="21"/>
                <w:lang w:val="zh-CN"/>
              </w:rPr>
              <w:t>专家打分</w:t>
            </w:r>
          </w:p>
        </w:tc>
      </w:tr>
    </w:tbl>
    <w:p>
      <w:pPr>
        <w:tabs>
          <w:tab w:val="clear" w:pos="426"/>
        </w:tabs>
        <w:spacing w:line="240" w:lineRule="auto"/>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1.有取值范围的，含上限值不含下限值。每一项的得分均不能超过该项最高分值。</w:t>
      </w:r>
    </w:p>
    <w:p>
      <w:pPr>
        <w:tabs>
          <w:tab w:val="clear" w:pos="426"/>
        </w:tabs>
        <w:spacing w:line="240" w:lineRule="auto"/>
        <w:ind w:firstLine="424" w:firstLineChars="202"/>
      </w:pPr>
      <w:r>
        <w:rPr>
          <w:rFonts w:hint="eastAsia"/>
        </w:rPr>
        <w:t>2.缺项则该项为0分或不合格为0分。</w:t>
      </w:r>
    </w:p>
    <w:p>
      <w:pPr>
        <w:tabs>
          <w:tab w:val="clear" w:pos="426"/>
        </w:tabs>
        <w:spacing w:line="240" w:lineRule="auto"/>
        <w:ind w:firstLine="424" w:firstLineChars="202"/>
      </w:pPr>
      <w:r>
        <w:rPr>
          <w:rFonts w:hint="eastAsia"/>
        </w:rPr>
        <w:t>3.价格、技术、商务部分为针对项目具体情况设置项目，累加满分为100分，固定额外加分部分为固定设置项，对涉及政策导向优先采购产品进行额外加分。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rPr>
      </w:pPr>
      <w:r>
        <w:rPr>
          <w:rFonts w:hint="eastAsia"/>
        </w:rPr>
        <w:t>4.综合以上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rPr>
          <w:bCs/>
          <w:color w:val="000000"/>
        </w:rPr>
      </w:pPr>
      <w:r>
        <w:rPr>
          <w:rFonts w:hint="eastAsia"/>
          <w:bCs/>
          <w:color w:val="000000"/>
        </w:rPr>
        <w:t>5客观评分项，所有评审专家应当统一打分分值；主观评分项，评审专家应当按照打分标准独立打分，对于单项打分低于60%或者达到100%，评审专家需要做出书面合理说明。</w:t>
      </w:r>
    </w:p>
    <w:p>
      <w:pPr>
        <w:tabs>
          <w:tab w:val="clear" w:pos="426"/>
        </w:tabs>
        <w:spacing w:line="240" w:lineRule="auto"/>
        <w:ind w:firstLine="424" w:firstLineChars="202"/>
        <w:jc w:val="left"/>
        <w:rPr>
          <w:bCs/>
          <w:color w:val="000000"/>
        </w:rPr>
      </w:pPr>
      <w:r>
        <w:rPr>
          <w:rFonts w:hint="eastAsia"/>
          <w:bCs/>
          <w:color w:val="000000"/>
        </w:rPr>
        <w:t>6.根据财政部《关于在政府采购活动中查询及使用信用记录有关问题的通知》（财库</w:t>
      </w:r>
      <w:r>
        <w:rPr>
          <w:rFonts w:ascii="Arial" w:hAnsi="Arial" w:cs="Arial"/>
          <w:color w:val="333333"/>
          <w:sz w:val="20"/>
          <w:szCs w:val="20"/>
          <w:shd w:val="clear" w:color="auto" w:fill="FFFFFF"/>
        </w:rPr>
        <w:t>〔</w:t>
      </w:r>
      <w:r>
        <w:rPr>
          <w:rFonts w:hint="eastAsia" w:ascii="Arial" w:hAnsi="Arial" w:cs="Arial"/>
          <w:color w:val="333333"/>
          <w:sz w:val="20"/>
          <w:szCs w:val="20"/>
          <w:shd w:val="clear" w:color="auto" w:fill="FFFFFF"/>
        </w:rPr>
        <w:t>2016</w:t>
      </w:r>
      <w:r>
        <w:rPr>
          <w:rFonts w:ascii="Arial" w:hAnsi="Arial" w:cs="Arial"/>
          <w:color w:val="333333"/>
          <w:sz w:val="20"/>
          <w:szCs w:val="20"/>
          <w:shd w:val="clear" w:color="auto" w:fill="FFFFFF"/>
        </w:rPr>
        <w:t>〕</w:t>
      </w:r>
      <w:r>
        <w:rPr>
          <w:rFonts w:hint="eastAsia" w:ascii="Arial" w:hAnsi="Arial" w:cs="Arial"/>
          <w:color w:val="333333"/>
          <w:sz w:val="20"/>
          <w:szCs w:val="20"/>
          <w:shd w:val="clear" w:color="auto" w:fill="FFFFFF"/>
        </w:rPr>
        <w:t>125号</w:t>
      </w:r>
      <w:r>
        <w:rPr>
          <w:rFonts w:hint="eastAsia"/>
          <w:bCs/>
          <w:color w:val="000000"/>
        </w:rPr>
        <w:t>）、《深圳市政府采购供应商诚信管理暂行办法》（深财规〔</w:t>
      </w:r>
      <w:r>
        <w:rPr>
          <w:bCs/>
          <w:color w:val="000000"/>
        </w:rPr>
        <w:t>2017〕8号</w:t>
      </w:r>
      <w:r>
        <w:rPr>
          <w:rFonts w:hint="eastAsia"/>
          <w:bCs/>
          <w:color w:val="000000"/>
        </w:rPr>
        <w:t>），供应商信用信息的查询渠道为“信用中国（</w:t>
      </w:r>
      <w:r>
        <w:rPr>
          <w:bCs/>
          <w:color w:val="000000"/>
        </w:rPr>
        <w:t>https://www.creditchina.gov.cn/</w:t>
      </w:r>
      <w:r>
        <w:rPr>
          <w:rFonts w:hint="eastAsia"/>
          <w:bCs/>
          <w:color w:val="000000"/>
        </w:rPr>
        <w:t>）”、 “中国政府采购网（</w:t>
      </w:r>
      <w:r>
        <w:rPr>
          <w:bCs/>
          <w:color w:val="000000"/>
        </w:rPr>
        <w:t>http://www.ccgp.gov.cn/</w:t>
      </w:r>
      <w:r>
        <w:rPr>
          <w:rFonts w:hint="eastAsia"/>
          <w:bCs/>
          <w:color w:val="000000"/>
        </w:rPr>
        <w:t>）”、“深圳市政府采购监管网（</w:t>
      </w:r>
      <w:r>
        <w:rPr>
          <w:bCs/>
          <w:color w:val="000000"/>
        </w:rPr>
        <w:t>http://www.zfcg.sz.gov.cn/</w:t>
      </w:r>
      <w:r>
        <w:rPr>
          <w:rFonts w:hint="eastAsia"/>
          <w:bCs/>
          <w:color w:val="000000"/>
        </w:rPr>
        <w:t>）”，相关信息以中标通知书发出前的查询结果为准。</w:t>
      </w:r>
    </w:p>
    <w:p>
      <w:pPr>
        <w:tabs>
          <w:tab w:val="clear" w:pos="426"/>
        </w:tabs>
        <w:spacing w:line="240" w:lineRule="auto"/>
        <w:rPr>
          <w:bCs/>
          <w:color w:val="000000"/>
        </w:rPr>
      </w:pPr>
    </w:p>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widowControl w:val="0"/>
        <w:shd w:val="clear" w:color="auto" w:fill="auto"/>
        <w:tabs>
          <w:tab w:val="clear" w:pos="426"/>
        </w:tabs>
        <w:adjustRightInd/>
        <w:snapToGrid/>
        <w:spacing w:line="240" w:lineRule="auto"/>
        <w:jc w:val="left"/>
        <w:rPr>
          <w:rFonts w:ascii="Calibri" w:hAnsi="Calibri" w:cs="Times New Roman"/>
          <w:b/>
          <w:kern w:val="2"/>
          <w:szCs w:val="22"/>
        </w:rPr>
      </w:pPr>
    </w:p>
    <w:p>
      <w:pPr>
        <w:shd w:val="clear" w:color="auto" w:fill="auto"/>
        <w:tabs>
          <w:tab w:val="clear" w:pos="426"/>
        </w:tabs>
        <w:adjustRightInd/>
        <w:snapToGrid/>
        <w:spacing w:line="240" w:lineRule="auto"/>
        <w:jc w:val="left"/>
        <w:rPr>
          <w:rFonts w:ascii="Calibri" w:hAnsi="Calibri" w:cs="Times New Roman"/>
          <w:b/>
          <w:kern w:val="2"/>
          <w:szCs w:val="22"/>
        </w:rPr>
      </w:pPr>
    </w:p>
    <w:p>
      <w:pPr>
        <w:shd w:val="clear" w:color="auto" w:fill="auto"/>
        <w:tabs>
          <w:tab w:val="clear" w:pos="426"/>
        </w:tabs>
        <w:adjustRightInd/>
        <w:snapToGrid/>
        <w:spacing w:line="240" w:lineRule="auto"/>
        <w:jc w:val="left"/>
        <w:rPr>
          <w:rFonts w:ascii="Calibri" w:hAnsi="Calibri" w:cs="Times New Roman"/>
          <w:b/>
          <w:kern w:val="2"/>
          <w:szCs w:val="22"/>
        </w:rPr>
      </w:pPr>
      <w:r>
        <w:rPr>
          <w:rFonts w:ascii="Calibri" w:hAnsi="Calibri" w:cs="Times New Roman"/>
          <w:b/>
          <w:kern w:val="2"/>
          <w:szCs w:val="22"/>
        </w:rPr>
        <w:br w:type="page"/>
      </w:r>
    </w:p>
    <w:p>
      <w:pPr>
        <w:pStyle w:val="42"/>
        <w:tabs>
          <w:tab w:val="clear" w:pos="426"/>
        </w:tabs>
      </w:pPr>
      <w:bookmarkStart w:id="27" w:name="_Toc5875387"/>
      <w:r>
        <w:rPr>
          <w:rFonts w:hint="eastAsia"/>
        </w:rPr>
        <w:t>第一册  专用条款</w:t>
      </w:r>
      <w:bookmarkEnd w:id="26"/>
      <w:bookmarkEnd w:id="27"/>
    </w:p>
    <w:p>
      <w:pPr>
        <w:pStyle w:val="33"/>
        <w:tabs>
          <w:tab w:val="clear" w:pos="426"/>
        </w:tabs>
      </w:pPr>
      <w:bookmarkStart w:id="28" w:name="_Toc432592813"/>
      <w:bookmarkStart w:id="29" w:name="_Toc5875388"/>
      <w:bookmarkStart w:id="30" w:name="_Toc265483798"/>
      <w:r>
        <w:rPr>
          <w:rFonts w:hint="eastAsia"/>
        </w:rPr>
        <w:t>第一章 采购公告</w:t>
      </w:r>
      <w:bookmarkEnd w:id="28"/>
      <w:bookmarkEnd w:id="29"/>
      <w:bookmarkEnd w:id="30"/>
    </w:p>
    <w:p>
      <w:pPr>
        <w:tabs>
          <w:tab w:val="clear" w:pos="426"/>
        </w:tabs>
        <w:rPr>
          <w:b/>
        </w:rPr>
      </w:pPr>
      <w:r>
        <w:rPr>
          <w:rFonts w:hint="eastAsia"/>
          <w:b/>
        </w:rPr>
        <w:t>一、项目概况</w:t>
      </w:r>
    </w:p>
    <w:p>
      <w:pPr>
        <w:tabs>
          <w:tab w:val="clear" w:pos="426"/>
        </w:tabs>
        <w:ind w:firstLine="424" w:firstLineChars="202"/>
        <w:rPr>
          <w:kern w:val="2"/>
        </w:rPr>
      </w:pPr>
      <w:bookmarkStart w:id="31" w:name="项目概况2"/>
      <w:r>
        <w:rPr>
          <w:rFonts w:hint="eastAsia"/>
        </w:rPr>
        <w:t>1.招标项目编号：PSDL2019151678</w:t>
      </w:r>
    </w:p>
    <w:p>
      <w:pPr>
        <w:tabs>
          <w:tab w:val="clear" w:pos="426"/>
        </w:tabs>
        <w:ind w:firstLine="424" w:firstLineChars="202"/>
      </w:pPr>
      <w:r>
        <w:rPr>
          <w:rFonts w:hint="eastAsia"/>
        </w:rPr>
        <w:t>2.项目名称：钢琴、奥尔夫乐器</w:t>
      </w:r>
    </w:p>
    <w:p>
      <w:pPr>
        <w:tabs>
          <w:tab w:val="clear" w:pos="426"/>
        </w:tabs>
        <w:ind w:firstLine="424" w:firstLineChars="202"/>
      </w:pPr>
      <w:r>
        <w:rPr>
          <w:rFonts w:hint="eastAsia"/>
        </w:rPr>
        <w:t>3.采购人：深圳市坪山区第一幼教集团</w:t>
      </w:r>
    </w:p>
    <w:p>
      <w:pPr>
        <w:tabs>
          <w:tab w:val="clear" w:pos="426"/>
        </w:tabs>
        <w:ind w:firstLine="424" w:firstLineChars="202"/>
      </w:pPr>
      <w:r>
        <w:rPr>
          <w:rFonts w:hint="eastAsia"/>
        </w:rPr>
        <w:t>4.采购代理机构：深圳市深水水务咨询有限公司</w:t>
      </w:r>
    </w:p>
    <w:p>
      <w:pPr>
        <w:tabs>
          <w:tab w:val="clear" w:pos="426"/>
        </w:tabs>
        <w:ind w:firstLine="424" w:firstLineChars="202"/>
      </w:pPr>
      <w:r>
        <w:rPr>
          <w:rFonts w:hint="eastAsia"/>
        </w:rPr>
        <w:t>5.项目地点：深圳市</w:t>
      </w:r>
    </w:p>
    <w:p>
      <w:pPr>
        <w:tabs>
          <w:tab w:val="clear" w:pos="426"/>
        </w:tabs>
        <w:ind w:firstLine="424" w:firstLineChars="202"/>
      </w:pPr>
      <w:r>
        <w:rPr>
          <w:rFonts w:hint="eastAsia"/>
        </w:rPr>
        <w:t>6.项目规模及特征：详</w:t>
      </w:r>
      <w:r>
        <w:rPr>
          <w:rFonts w:hint="eastAsia"/>
          <w:kern w:val="2"/>
        </w:rPr>
        <w:t>见招标文件及采购需求</w:t>
      </w:r>
      <w:r>
        <w:rPr>
          <w:rFonts w:hint="eastAsia"/>
        </w:rPr>
        <w:t>。</w:t>
      </w:r>
    </w:p>
    <w:p>
      <w:pPr>
        <w:tabs>
          <w:tab w:val="clear" w:pos="426"/>
        </w:tabs>
        <w:ind w:firstLine="424" w:firstLineChars="202"/>
      </w:pPr>
      <w:r>
        <w:rPr>
          <w:rFonts w:hint="eastAsia"/>
        </w:rPr>
        <w:t>7.资金来源：财政资金100%</w:t>
      </w:r>
    </w:p>
    <w:p>
      <w:pPr>
        <w:tabs>
          <w:tab w:val="clear" w:pos="426"/>
        </w:tabs>
        <w:ind w:firstLine="424" w:firstLineChars="202"/>
      </w:pPr>
      <w:r>
        <w:rPr>
          <w:rFonts w:hint="eastAsia"/>
        </w:rPr>
        <w:t>8</w:t>
      </w:r>
      <w:r>
        <w:t>.</w:t>
      </w:r>
      <w:r>
        <w:rPr>
          <w:rFonts w:hint="eastAsia"/>
        </w:rPr>
        <w:t xml:space="preserve"> 采购计划编号：PLAN-2019-007071-000009</w:t>
      </w:r>
    </w:p>
    <w:p>
      <w:pPr>
        <w:tabs>
          <w:tab w:val="clear" w:pos="426"/>
        </w:tabs>
        <w:ind w:firstLine="424" w:firstLineChars="202"/>
      </w:pPr>
      <w:r>
        <w:rPr>
          <w:color w:val="000000"/>
        </w:rPr>
        <w:t>9</w:t>
      </w:r>
      <w:r>
        <w:rPr>
          <w:rFonts w:hint="eastAsia"/>
          <w:color w:val="000000"/>
        </w:rPr>
        <w:t>.采购内容</w:t>
      </w:r>
      <w:r>
        <w:rPr>
          <w:rFonts w:hint="eastAsia"/>
        </w:rPr>
        <w:t>：钢琴、奥尔夫乐器，详</w:t>
      </w:r>
      <w:r>
        <w:rPr>
          <w:rFonts w:hint="eastAsia"/>
          <w:kern w:val="2"/>
        </w:rPr>
        <w:t>见招标文件及采购需求</w:t>
      </w:r>
      <w:r>
        <w:rPr>
          <w:rFonts w:hint="eastAsia"/>
        </w:rPr>
        <w:t>。</w:t>
      </w:r>
    </w:p>
    <w:tbl>
      <w:tblPr>
        <w:tblStyle w:val="44"/>
        <w:tblW w:w="7475" w:type="dxa"/>
        <w:jc w:val="center"/>
        <w:tblInd w:w="-500" w:type="dxa"/>
        <w:tblLayout w:type="fixed"/>
        <w:tblCellMar>
          <w:top w:w="0" w:type="dxa"/>
          <w:left w:w="0" w:type="dxa"/>
          <w:bottom w:w="0" w:type="dxa"/>
          <w:right w:w="0" w:type="dxa"/>
        </w:tblCellMar>
      </w:tblPr>
      <w:tblGrid>
        <w:gridCol w:w="575"/>
        <w:gridCol w:w="1468"/>
        <w:gridCol w:w="977"/>
        <w:gridCol w:w="1166"/>
        <w:gridCol w:w="857"/>
        <w:gridCol w:w="1050"/>
        <w:gridCol w:w="690"/>
        <w:gridCol w:w="692"/>
      </w:tblGrid>
      <w:tr>
        <w:tblPrEx>
          <w:tblLayout w:type="fixed"/>
          <w:tblCellMar>
            <w:top w:w="0" w:type="dxa"/>
            <w:left w:w="0" w:type="dxa"/>
            <w:bottom w:w="0" w:type="dxa"/>
            <w:right w:w="0" w:type="dxa"/>
          </w:tblCellMar>
        </w:tblPrEx>
        <w:trPr>
          <w:trHeight w:val="810"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序号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设备名称</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滨河名苑园区数量</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心海城园区数量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亚迪园区数量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新城东方园区数量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总数</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立式钢琴</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18</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52</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2</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三角钢琴</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台</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3</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尤克里里</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160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4</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手鼓</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5</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铃鼓</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120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6</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加长鱼蛙</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ascii="微软雅黑" w:hAnsi="微软雅黑" w:eastAsia="微软雅黑" w:cs="微软雅黑"/>
                <w:color w:val="000000"/>
                <w:sz w:val="20"/>
                <w:szCs w:val="20"/>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7</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木制小沙球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8</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七铃手铃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9</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二十一铃大棒铃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10</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8音颗铃</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套</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11</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木制刮棒</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12</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儿童打棒</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13</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木质响板</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120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14</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加沟单响筒</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15</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双响筒</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16</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低音方梆子</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付</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17</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高音方梆子</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付</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18</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班戈鼓</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19</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非洲鼓</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16</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20</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高低梆子</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付</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21</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三角铁</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付</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22</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大棒钟</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67"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23</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大雨声筒</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24</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双排塑料铃圈</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r>
      <w:tr>
        <w:tblPrEx>
          <w:tblLayout w:type="fixed"/>
          <w:tblCellMar>
            <w:top w:w="0" w:type="dxa"/>
            <w:left w:w="0" w:type="dxa"/>
            <w:bottom w:w="0" w:type="dxa"/>
            <w:right w:w="0" w:type="dxa"/>
          </w:tblCellMar>
        </w:tblPrEx>
        <w:trPr>
          <w:trHeight w:val="28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2"/>
                <w:szCs w:val="22"/>
                <w:lang w:bidi="ar"/>
              </w:rPr>
              <w:t>25</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木把金属珠子</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28</w:t>
            </w:r>
          </w:p>
        </w:tc>
      </w:tr>
    </w:tbl>
    <w:p>
      <w:pPr>
        <w:tabs>
          <w:tab w:val="clear" w:pos="426"/>
        </w:tabs>
        <w:ind w:firstLine="424" w:firstLineChars="202"/>
      </w:pPr>
      <w:r>
        <w:t>10</w:t>
      </w:r>
      <w:r>
        <w:rPr>
          <w:rFonts w:hint="eastAsia"/>
        </w:rPr>
        <w:t>.采购方式：公开招标</w:t>
      </w:r>
    </w:p>
    <w:p>
      <w:pPr>
        <w:tabs>
          <w:tab w:val="clear" w:pos="426"/>
        </w:tabs>
        <w:ind w:firstLine="424" w:firstLineChars="202"/>
      </w:pPr>
      <w:r>
        <w:rPr>
          <w:rFonts w:hint="eastAsia"/>
        </w:rPr>
        <w:t>1</w:t>
      </w:r>
      <w:r>
        <w:t>1.</w:t>
      </w:r>
      <w:r>
        <w:rPr>
          <w:rFonts w:hint="eastAsia"/>
        </w:rPr>
        <w:t>评标方法：综合评分法</w:t>
      </w:r>
    </w:p>
    <w:p>
      <w:pPr>
        <w:tabs>
          <w:tab w:val="clear" w:pos="426"/>
        </w:tabs>
        <w:ind w:firstLine="424" w:firstLineChars="202"/>
      </w:pPr>
      <w:r>
        <w:rPr>
          <w:rFonts w:hint="eastAsia"/>
        </w:rPr>
        <w:t>1</w:t>
      </w:r>
      <w:r>
        <w:t>2</w:t>
      </w:r>
      <w:r>
        <w:rPr>
          <w:rFonts w:hint="eastAsia"/>
        </w:rPr>
        <w:t>.交货期要求：</w:t>
      </w:r>
      <w:bookmarkEnd w:id="31"/>
      <w:r>
        <w:rPr>
          <w:rFonts w:hint="eastAsia"/>
        </w:rPr>
        <w:t>合同签订后60日历日内</w:t>
      </w:r>
    </w:p>
    <w:p>
      <w:pPr>
        <w:tabs>
          <w:tab w:val="clear" w:pos="426"/>
        </w:tabs>
        <w:rPr>
          <w:b/>
        </w:rPr>
      </w:pPr>
      <w:r>
        <w:rPr>
          <w:rFonts w:hint="eastAsia"/>
          <w:b/>
        </w:rPr>
        <w:t>二、投标人资格要求</w:t>
      </w:r>
    </w:p>
    <w:p>
      <w:pPr>
        <w:pStyle w:val="8"/>
        <w:tabs>
          <w:tab w:val="clear" w:pos="426"/>
        </w:tabs>
        <w:ind w:firstLine="424" w:firstLineChars="202"/>
        <w:rPr>
          <w:rFonts w:ascii="宋体" w:hAnsi="宋体"/>
        </w:rPr>
      </w:pPr>
      <w:r>
        <w:rPr>
          <w:rFonts w:hint="eastAsia" w:ascii="宋体" w:hAnsi="宋体"/>
        </w:rPr>
        <w:t>1.投标人须具有独立法人资格</w:t>
      </w:r>
      <w:r>
        <w:rPr>
          <w:rFonts w:ascii="宋体" w:hAnsi="宋体"/>
        </w:rPr>
        <w:t>（证明文件：须提供营业执照</w:t>
      </w:r>
      <w:r>
        <w:rPr>
          <w:rFonts w:hint="eastAsia" w:ascii="宋体" w:hAnsi="宋体"/>
        </w:rPr>
        <w:t>或法人证书</w:t>
      </w:r>
      <w:r>
        <w:rPr>
          <w:rFonts w:ascii="宋体" w:hAnsi="宋体"/>
        </w:rPr>
        <w:t>或其他证明文件的</w:t>
      </w:r>
      <w:r>
        <w:rPr>
          <w:rFonts w:hint="eastAsia" w:ascii="宋体" w:hAnsi="宋体"/>
        </w:rPr>
        <w:t>复印件</w:t>
      </w:r>
      <w:r>
        <w:rPr>
          <w:rFonts w:ascii="宋体" w:hAnsi="宋体"/>
        </w:rPr>
        <w:t>并加盖投标人公章</w:t>
      </w:r>
      <w:r>
        <w:rPr>
          <w:rFonts w:hint="eastAsia" w:ascii="宋体" w:hAnsi="宋体"/>
        </w:rPr>
        <w:t>）；</w:t>
      </w:r>
    </w:p>
    <w:p>
      <w:pPr>
        <w:tabs>
          <w:tab w:val="clear" w:pos="426"/>
        </w:tabs>
        <w:ind w:firstLine="424" w:firstLineChars="202"/>
      </w:pPr>
      <w:r>
        <w:rPr>
          <w:rFonts w:hint="eastAsia"/>
        </w:rPr>
        <w:t>2.本项目不接受联合体投标，不允许转包、分包，</w:t>
      </w:r>
      <w:r>
        <w:rPr>
          <w:rFonts w:hint="eastAsia"/>
          <w:b/>
        </w:rPr>
        <w:t>不接受</w:t>
      </w:r>
      <w:r>
        <w:rPr>
          <w:rFonts w:hint="eastAsia"/>
        </w:rPr>
        <w:t>进口产品投标；</w:t>
      </w:r>
    </w:p>
    <w:p>
      <w:pPr>
        <w:tabs>
          <w:tab w:val="clear" w:pos="426"/>
        </w:tabs>
        <w:ind w:firstLine="424" w:firstLineChars="202"/>
      </w:pPr>
      <w:r>
        <w:rPr>
          <w:rFonts w:hint="eastAsia"/>
        </w:rPr>
        <w:t>3</w:t>
      </w:r>
      <w:r>
        <w:t>.</w:t>
      </w:r>
      <w:r>
        <w:rPr>
          <w:rFonts w:hint="eastAsia"/>
        </w:rPr>
        <w:t>参与本项目投标前三年内，在经营活动中没有重大违法记录（由供应商在《政府采购投标及履约承诺函》中作出声明）；</w:t>
      </w:r>
    </w:p>
    <w:p>
      <w:pPr>
        <w:tabs>
          <w:tab w:val="clear" w:pos="426"/>
        </w:tabs>
        <w:ind w:firstLine="424" w:firstLineChars="202"/>
      </w:pPr>
      <w:r>
        <w:t>4</w:t>
      </w:r>
      <w:r>
        <w:rPr>
          <w:rFonts w:hint="eastAsia"/>
        </w:rPr>
        <w:t>.</w:t>
      </w:r>
      <w:r>
        <w:t>参与本项目政府采购活动时不存在被有关部门禁止参与政府采购活动且在有效期内的情况（由供应商在《政府采购投标及履约承诺函》中作出声明）；</w:t>
      </w:r>
    </w:p>
    <w:p>
      <w:pPr>
        <w:tabs>
          <w:tab w:val="clear" w:pos="426"/>
        </w:tabs>
        <w:ind w:firstLine="424" w:firstLineChars="202"/>
      </w:pPr>
      <w:r>
        <w:t>5</w:t>
      </w:r>
      <w:r>
        <w:rPr>
          <w:rFonts w:hint="eastAsia"/>
        </w:rPr>
        <w:t>.</w:t>
      </w:r>
      <w:r>
        <w:t>参与本项目的供应商具备《中华人民共和国政府采购法》第二十二条第一款规定的条件（由供应商在《政府采购投标及履约承诺函》中作出声明）</w:t>
      </w:r>
      <w:r>
        <w:rPr>
          <w:rFonts w:hint="eastAsia"/>
        </w:rPr>
        <w:t>；</w:t>
      </w:r>
    </w:p>
    <w:p>
      <w:pPr>
        <w:tabs>
          <w:tab w:val="clear" w:pos="426"/>
        </w:tabs>
        <w:ind w:firstLine="424" w:firstLineChars="202"/>
      </w:pPr>
      <w:r>
        <w:rPr>
          <w:rFonts w:hint="eastAsia"/>
        </w:rPr>
        <w:t>6</w:t>
      </w:r>
      <w:r>
        <w:t>.</w:t>
      </w:r>
      <w:r>
        <w:rPr>
          <w:rFonts w:hint="eastAsia"/>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pPr>
      <w:r>
        <w:rPr>
          <w:rFonts w:hint="eastAsia"/>
        </w:rPr>
        <w:t>7</w:t>
      </w:r>
      <w:r>
        <w:t>.</w:t>
      </w:r>
      <w:r>
        <w:rPr>
          <w:rFonts w:hint="eastAsia"/>
        </w:rPr>
        <w:t>投标人必须具有深圳市政府采购注册供应商资格（供应商注册网址http://www.szzfcg.cn，投标文件中无需提供证明材料。采购代理机构将在开标当天从供应商资料库里查询本项目所有投标人的注册状态，投标人注册状态无效的，将按资格不符合招标文件要求，作资格审查不通过处理）；</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三、获取招标文件的时间、地点、方式及招标文件售价</w:t>
      </w:r>
    </w:p>
    <w:p>
      <w:pPr>
        <w:tabs>
          <w:tab w:val="clear" w:pos="426"/>
        </w:tabs>
        <w:ind w:firstLine="426" w:firstLineChars="202"/>
        <w:rPr>
          <w:b/>
          <w:bCs/>
          <w:color w:val="000000" w:themeColor="text1"/>
          <w:highlight w:val="none"/>
        </w:rPr>
      </w:pPr>
      <w:r>
        <w:rPr>
          <w:b/>
          <w:bCs/>
          <w:color w:val="000000" w:themeColor="text1"/>
          <w:highlight w:val="none"/>
        </w:rPr>
        <w:t>1</w:t>
      </w:r>
      <w:r>
        <w:rPr>
          <w:rFonts w:hint="eastAsia"/>
          <w:b/>
          <w:bCs/>
          <w:color w:val="000000" w:themeColor="text1"/>
          <w:highlight w:val="none"/>
        </w:rPr>
        <w:t>.获取招标文件时间：</w:t>
      </w:r>
      <w:r>
        <w:rPr>
          <w:rFonts w:hint="eastAsia"/>
          <w:b/>
          <w:bCs/>
          <w:color w:val="000000" w:themeColor="text1"/>
          <w:highlight w:val="none"/>
          <w:u w:val="single"/>
        </w:rPr>
        <w:t>2019</w:t>
      </w:r>
      <w:r>
        <w:rPr>
          <w:rFonts w:hint="eastAsia"/>
          <w:b/>
          <w:bCs/>
          <w:color w:val="000000" w:themeColor="text1"/>
          <w:highlight w:val="none"/>
        </w:rPr>
        <w:t>年</w:t>
      </w:r>
      <w:r>
        <w:rPr>
          <w:rFonts w:hint="eastAsia"/>
          <w:b/>
          <w:bCs/>
          <w:color w:val="000000" w:themeColor="text1"/>
          <w:highlight w:val="none"/>
          <w:u w:val="single"/>
        </w:rPr>
        <w:t>7</w:t>
      </w:r>
      <w:r>
        <w:rPr>
          <w:rFonts w:hint="eastAsia"/>
          <w:b/>
          <w:bCs/>
          <w:color w:val="000000" w:themeColor="text1"/>
          <w:highlight w:val="none"/>
        </w:rPr>
        <w:t>月</w:t>
      </w:r>
      <w:r>
        <w:rPr>
          <w:rFonts w:hint="eastAsia"/>
          <w:b/>
          <w:bCs/>
          <w:color w:val="000000" w:themeColor="text1"/>
          <w:highlight w:val="none"/>
          <w:u w:val="single"/>
          <w:lang w:val="en-US" w:eastAsia="zh-CN"/>
        </w:rPr>
        <w:t>11</w:t>
      </w:r>
      <w:r>
        <w:rPr>
          <w:rFonts w:hint="eastAsia"/>
          <w:b/>
          <w:bCs/>
          <w:color w:val="000000" w:themeColor="text1"/>
          <w:highlight w:val="none"/>
        </w:rPr>
        <w:t>起至</w:t>
      </w:r>
      <w:r>
        <w:rPr>
          <w:rFonts w:hint="eastAsia"/>
          <w:b/>
          <w:bCs/>
          <w:color w:val="000000" w:themeColor="text1"/>
          <w:highlight w:val="none"/>
          <w:u w:val="single"/>
        </w:rPr>
        <w:t>2019</w:t>
      </w:r>
      <w:r>
        <w:rPr>
          <w:rFonts w:hint="eastAsia"/>
          <w:b/>
          <w:bCs/>
          <w:color w:val="000000" w:themeColor="text1"/>
          <w:highlight w:val="none"/>
        </w:rPr>
        <w:t>年</w:t>
      </w:r>
      <w:r>
        <w:rPr>
          <w:rFonts w:hint="eastAsia"/>
          <w:b/>
          <w:bCs/>
          <w:color w:val="000000" w:themeColor="text1"/>
          <w:highlight w:val="none"/>
          <w:u w:val="single"/>
        </w:rPr>
        <w:t>7</w:t>
      </w:r>
      <w:r>
        <w:rPr>
          <w:rFonts w:hint="eastAsia"/>
          <w:b/>
          <w:bCs/>
          <w:color w:val="000000" w:themeColor="text1"/>
          <w:highlight w:val="none"/>
        </w:rPr>
        <w:t>月</w:t>
      </w:r>
      <w:r>
        <w:rPr>
          <w:rFonts w:hint="eastAsia"/>
          <w:b/>
          <w:bCs/>
          <w:color w:val="000000" w:themeColor="text1"/>
          <w:highlight w:val="none"/>
          <w:u w:val="single"/>
        </w:rPr>
        <w:t>1</w:t>
      </w:r>
      <w:r>
        <w:rPr>
          <w:rFonts w:hint="eastAsia"/>
          <w:b/>
          <w:bCs/>
          <w:color w:val="000000" w:themeColor="text1"/>
          <w:highlight w:val="none"/>
          <w:u w:val="single"/>
          <w:lang w:val="en-US" w:eastAsia="zh-CN"/>
        </w:rPr>
        <w:t>7</w:t>
      </w:r>
      <w:r>
        <w:rPr>
          <w:rFonts w:hint="eastAsia"/>
          <w:b/>
          <w:bCs/>
          <w:color w:val="000000" w:themeColor="text1"/>
          <w:highlight w:val="none"/>
        </w:rPr>
        <w:t>日（节假日除外），</w:t>
      </w:r>
      <w:r>
        <w:rPr>
          <w:rFonts w:hint="eastAsia"/>
          <w:b/>
          <w:bCs/>
          <w:color w:val="000000" w:themeColor="text1"/>
          <w:highlight w:val="none"/>
          <w:u w:val="single"/>
        </w:rPr>
        <w:t>09:00</w:t>
      </w:r>
      <w:r>
        <w:rPr>
          <w:rFonts w:hint="eastAsia"/>
          <w:b/>
          <w:bCs/>
          <w:color w:val="000000" w:themeColor="text1"/>
          <w:highlight w:val="none"/>
        </w:rPr>
        <w:t>～</w:t>
      </w:r>
      <w:r>
        <w:rPr>
          <w:rFonts w:hint="eastAsia"/>
          <w:b/>
          <w:bCs/>
          <w:color w:val="000000" w:themeColor="text1"/>
          <w:highlight w:val="none"/>
          <w:u w:val="single"/>
        </w:rPr>
        <w:t xml:space="preserve">11:30  </w:t>
      </w:r>
      <w:r>
        <w:rPr>
          <w:rFonts w:hint="eastAsia"/>
          <w:b/>
          <w:bCs/>
          <w:color w:val="000000" w:themeColor="text1"/>
          <w:highlight w:val="none"/>
        </w:rPr>
        <w:t>，</w:t>
      </w:r>
      <w:r>
        <w:rPr>
          <w:rFonts w:hint="eastAsia"/>
          <w:b/>
          <w:bCs/>
          <w:color w:val="000000" w:themeColor="text1"/>
          <w:highlight w:val="none"/>
          <w:u w:val="single"/>
        </w:rPr>
        <w:t>14:00</w:t>
      </w:r>
      <w:r>
        <w:rPr>
          <w:rFonts w:hint="eastAsia"/>
          <w:b/>
          <w:bCs/>
          <w:color w:val="000000" w:themeColor="text1"/>
          <w:highlight w:val="none"/>
        </w:rPr>
        <w:t>～</w:t>
      </w:r>
      <w:r>
        <w:rPr>
          <w:rFonts w:hint="eastAsia"/>
          <w:b/>
          <w:bCs/>
          <w:color w:val="000000" w:themeColor="text1"/>
          <w:highlight w:val="none"/>
          <w:u w:val="single"/>
        </w:rPr>
        <w:t>17:30（</w:t>
      </w:r>
      <w:r>
        <w:rPr>
          <w:rFonts w:hint="eastAsia"/>
          <w:b/>
          <w:bCs/>
          <w:color w:val="000000" w:themeColor="text1"/>
          <w:highlight w:val="none"/>
        </w:rPr>
        <w:t>北京时间）。</w:t>
      </w:r>
    </w:p>
    <w:p>
      <w:pPr>
        <w:tabs>
          <w:tab w:val="clear" w:pos="426"/>
        </w:tabs>
        <w:ind w:firstLine="424" w:firstLineChars="202"/>
      </w:pPr>
      <w:r>
        <w:t>2</w:t>
      </w:r>
      <w:r>
        <w:rPr>
          <w:rFonts w:hint="eastAsia"/>
        </w:rPr>
        <w:t>.获取招标文件地点：深圳市罗湖区布吉路1028号中设广场B座307。</w:t>
      </w:r>
    </w:p>
    <w:p>
      <w:pPr>
        <w:tabs>
          <w:tab w:val="clear" w:pos="426"/>
        </w:tabs>
        <w:ind w:firstLine="424" w:firstLineChars="202"/>
      </w:pPr>
      <w:r>
        <w:t>3</w:t>
      </w:r>
      <w:r>
        <w:rPr>
          <w:rFonts w:hint="eastAsia"/>
        </w:rPr>
        <w:t>.获取招标文件方式：现场购买或邮购。</w:t>
      </w:r>
    </w:p>
    <w:p>
      <w:pPr>
        <w:tabs>
          <w:tab w:val="clear" w:pos="426"/>
        </w:tabs>
        <w:ind w:firstLine="424" w:firstLineChars="202"/>
      </w:pPr>
      <w:r>
        <w:t>4</w:t>
      </w:r>
      <w:r>
        <w:rPr>
          <w:rFonts w:hint="eastAsia"/>
        </w:rPr>
        <w:t>.招标文件售价：每套人民币5</w:t>
      </w:r>
      <w:r>
        <w:t>00</w:t>
      </w:r>
      <w:r>
        <w:rPr>
          <w:rFonts w:hint="eastAsia"/>
        </w:rPr>
        <w:t>元</w:t>
      </w:r>
      <w:r>
        <w:rPr>
          <w:rFonts w:hint="eastAsia"/>
          <w:b/>
        </w:rPr>
        <w:t>（现金）</w:t>
      </w:r>
      <w:r>
        <w:rPr>
          <w:rFonts w:hint="eastAsia"/>
        </w:rPr>
        <w:t>；若邮购，每份加收人民币</w:t>
      </w:r>
      <w:r>
        <w:t>50元</w:t>
      </w:r>
      <w:r>
        <w:rPr>
          <w:rFonts w:hint="eastAsia"/>
        </w:rPr>
        <w:t>。招标文件售后不退。</w:t>
      </w:r>
    </w:p>
    <w:p>
      <w:pPr>
        <w:tabs>
          <w:tab w:val="clear" w:pos="426"/>
        </w:tabs>
        <w:ind w:firstLine="424" w:firstLineChars="202"/>
      </w:pPr>
      <w:r>
        <w:rPr>
          <w:rFonts w:hint="eastAsia"/>
        </w:rPr>
        <w:t>5.现场报名时提交以下资料：</w:t>
      </w:r>
    </w:p>
    <w:p>
      <w:pPr>
        <w:tabs>
          <w:tab w:val="clear" w:pos="426"/>
        </w:tabs>
        <w:ind w:firstLine="424" w:firstLineChars="202"/>
      </w:pPr>
      <w:r>
        <w:rPr>
          <w:rFonts w:hint="eastAsia"/>
        </w:rPr>
        <w:t>（1）投标人的营业执照复印件；</w:t>
      </w:r>
    </w:p>
    <w:p>
      <w:pPr>
        <w:tabs>
          <w:tab w:val="clear" w:pos="426"/>
        </w:tabs>
        <w:ind w:firstLine="424" w:firstLineChars="202"/>
      </w:pPr>
      <w:r>
        <w:rPr>
          <w:rFonts w:hint="eastAsia"/>
        </w:rPr>
        <w:t>（2）法人代表证明书原件、授权委托书原件、被授权委托人身份证复印件、被授权委托人联系方式</w:t>
      </w:r>
      <w:r>
        <w:rPr>
          <w:rFonts w:hint="eastAsia"/>
          <w:b/>
        </w:rPr>
        <w:t>（电话、邮箱）</w:t>
      </w:r>
      <w:r>
        <w:rPr>
          <w:rFonts w:hint="eastAsia"/>
        </w:rPr>
        <w:t>；</w:t>
      </w:r>
    </w:p>
    <w:p>
      <w:pPr>
        <w:tabs>
          <w:tab w:val="clear" w:pos="426"/>
        </w:tabs>
        <w:ind w:firstLine="424" w:firstLineChars="202"/>
      </w:pPr>
      <w:r>
        <w:rPr>
          <w:rFonts w:hint="eastAsia"/>
        </w:rPr>
        <w:t>（</w:t>
      </w:r>
      <w:r>
        <w:t>3）投标人的增值税发票开票（信息）资料；</w:t>
      </w:r>
    </w:p>
    <w:p>
      <w:pPr>
        <w:tabs>
          <w:tab w:val="clear" w:pos="426"/>
        </w:tabs>
        <w:ind w:firstLine="424" w:firstLineChars="202"/>
      </w:pPr>
      <w:r>
        <w:rPr>
          <w:rFonts w:hint="eastAsia"/>
        </w:rPr>
        <w:t>以上资料均需加盖公章。</w:t>
      </w:r>
    </w:p>
    <w:p>
      <w:pPr>
        <w:tabs>
          <w:tab w:val="clear" w:pos="426"/>
        </w:tabs>
        <w:ind w:firstLine="424" w:firstLineChars="202"/>
      </w:pPr>
      <w:r>
        <w:rPr>
          <w:rFonts w:hint="eastAsia"/>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single"/>
        </w:rPr>
        <w:t xml:space="preserve"> </w:t>
      </w:r>
      <w:r>
        <w:rPr>
          <w:rFonts w:hint="eastAsia"/>
          <w:b/>
          <w:bCs/>
          <w:color w:val="auto"/>
          <w:highlight w:val="none"/>
          <w:u w:val="single"/>
        </w:rPr>
        <w:t>2019</w:t>
      </w:r>
      <w:r>
        <w:rPr>
          <w:rFonts w:hint="eastAsia"/>
          <w:b/>
          <w:bCs/>
          <w:color w:val="auto"/>
          <w:highlight w:val="none"/>
        </w:rPr>
        <w:t>年</w:t>
      </w:r>
      <w:r>
        <w:rPr>
          <w:rFonts w:hint="eastAsia"/>
          <w:b/>
          <w:bCs/>
          <w:color w:val="auto"/>
          <w:highlight w:val="none"/>
          <w:u w:val="single"/>
        </w:rPr>
        <w:t>7</w:t>
      </w:r>
      <w:r>
        <w:rPr>
          <w:rFonts w:hint="eastAsia"/>
          <w:b/>
          <w:bCs/>
          <w:color w:val="auto"/>
          <w:highlight w:val="none"/>
        </w:rPr>
        <w:t>月</w:t>
      </w:r>
      <w:r>
        <w:rPr>
          <w:rFonts w:hint="eastAsia"/>
          <w:b/>
          <w:bCs/>
          <w:color w:val="auto"/>
          <w:highlight w:val="none"/>
          <w:u w:val="single"/>
          <w:lang w:val="en-US" w:eastAsia="zh-CN"/>
        </w:rPr>
        <w:t>24</w:t>
      </w:r>
      <w:r>
        <w:rPr>
          <w:rFonts w:hint="eastAsia"/>
          <w:b/>
          <w:bCs/>
          <w:color w:val="auto"/>
          <w:highlight w:val="none"/>
        </w:rPr>
        <w:t>日</w:t>
      </w:r>
      <w:r>
        <w:rPr>
          <w:rFonts w:hint="eastAsia"/>
          <w:b/>
          <w:bCs/>
          <w:color w:val="auto"/>
          <w:highlight w:val="none"/>
          <w:u w:val="single"/>
        </w:rPr>
        <w:t>14:00</w:t>
      </w:r>
      <w:r>
        <w:rPr>
          <w:rFonts w:hint="eastAsia"/>
          <w:b/>
          <w:bCs/>
          <w:color w:val="auto"/>
          <w:highlight w:val="none"/>
        </w:rPr>
        <w:t>～</w:t>
      </w:r>
      <w:r>
        <w:rPr>
          <w:rFonts w:hint="eastAsia"/>
          <w:b/>
          <w:bCs/>
          <w:color w:val="auto"/>
          <w:highlight w:val="none"/>
          <w:u w:val="single"/>
        </w:rPr>
        <w:t>14:30</w:t>
      </w:r>
      <w:r>
        <w:rPr>
          <w:rFonts w:hint="eastAsia"/>
          <w:b/>
          <w:bCs/>
          <w:color w:val="auto"/>
          <w:highlight w:val="none"/>
        </w:rPr>
        <w:t>。</w:t>
      </w:r>
    </w:p>
    <w:p>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b/>
          <w:bCs/>
          <w:color w:val="auto"/>
          <w:highlight w:val="none"/>
          <w:u w:val="single"/>
        </w:rPr>
        <w:t>2019</w:t>
      </w:r>
      <w:r>
        <w:rPr>
          <w:rFonts w:hint="eastAsia"/>
          <w:b/>
          <w:bCs/>
          <w:color w:val="auto"/>
          <w:highlight w:val="none"/>
        </w:rPr>
        <w:t>年</w:t>
      </w:r>
      <w:r>
        <w:rPr>
          <w:rFonts w:hint="eastAsia"/>
          <w:b/>
          <w:bCs/>
          <w:color w:val="auto"/>
          <w:highlight w:val="none"/>
          <w:u w:val="single"/>
        </w:rPr>
        <w:t>7</w:t>
      </w:r>
      <w:r>
        <w:rPr>
          <w:rFonts w:hint="eastAsia"/>
          <w:b/>
          <w:bCs/>
          <w:color w:val="auto"/>
          <w:highlight w:val="none"/>
        </w:rPr>
        <w:t>月</w:t>
      </w:r>
      <w:r>
        <w:rPr>
          <w:rFonts w:hint="eastAsia"/>
          <w:b/>
          <w:bCs/>
          <w:color w:val="auto"/>
          <w:highlight w:val="none"/>
          <w:u w:val="single"/>
          <w:lang w:val="en-US" w:eastAsia="zh-CN"/>
        </w:rPr>
        <w:t>24</w:t>
      </w:r>
      <w:r>
        <w:rPr>
          <w:rFonts w:hint="eastAsia"/>
          <w:b/>
          <w:bCs/>
          <w:color w:val="auto"/>
          <w:highlight w:val="none"/>
        </w:rPr>
        <w:t>日</w:t>
      </w:r>
      <w:r>
        <w:rPr>
          <w:rFonts w:hint="eastAsia"/>
          <w:b/>
          <w:bCs/>
          <w:color w:val="auto"/>
          <w:highlight w:val="none"/>
          <w:u w:val="single"/>
        </w:rPr>
        <w:t>14</w:t>
      </w:r>
      <w:r>
        <w:rPr>
          <w:rFonts w:hint="eastAsia"/>
          <w:b/>
          <w:bCs/>
          <w:color w:val="auto"/>
          <w:highlight w:val="none"/>
        </w:rPr>
        <w:t>时</w:t>
      </w:r>
      <w:r>
        <w:rPr>
          <w:rFonts w:hint="eastAsia"/>
          <w:b/>
          <w:bCs/>
          <w:color w:val="auto"/>
          <w:highlight w:val="none"/>
          <w:u w:val="single"/>
        </w:rPr>
        <w:t xml:space="preserve"> 30 </w:t>
      </w:r>
      <w:r>
        <w:rPr>
          <w:rFonts w:hint="eastAsia"/>
          <w:b/>
          <w:bCs/>
          <w:color w:val="auto"/>
          <w:highlight w:val="none"/>
        </w:rPr>
        <w:t>分。</w:t>
      </w:r>
    </w:p>
    <w:p>
      <w:pPr>
        <w:tabs>
          <w:tab w:val="clear" w:pos="426"/>
        </w:tabs>
        <w:ind w:firstLine="424" w:firstLineChars="202"/>
      </w:pPr>
      <w:r>
        <w:t>3</w:t>
      </w:r>
      <w:r>
        <w:rPr>
          <w:rFonts w:hint="eastAsia"/>
        </w:rPr>
        <w:t>.开标地点：深圳市罗湖区布吉路1028号中设广场B座30</w:t>
      </w:r>
      <w:r>
        <w:t>7</w:t>
      </w:r>
      <w:r>
        <w:rPr>
          <w:rFonts w:hint="eastAsia"/>
        </w:rPr>
        <w:t>开标室。</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五、答疑事项</w:t>
      </w:r>
    </w:p>
    <w:p>
      <w:pPr>
        <w:tabs>
          <w:tab w:val="clear" w:pos="426"/>
        </w:tabs>
        <w:ind w:firstLine="424" w:firstLineChars="202"/>
        <w:rPr>
          <w:szCs w:val="21"/>
        </w:rPr>
      </w:pPr>
      <w:r>
        <w:rPr>
          <w:szCs w:val="21"/>
        </w:rPr>
        <w:t>1.本项目实行网下纸质答疑，凡对招标文件有任何疑问的（包括认为招标文件的技术指标或参数存在排他性或歧视性条款），请投标人于</w:t>
      </w:r>
      <w:r>
        <w:rPr>
          <w:rFonts w:hint="eastAsia"/>
          <w:b/>
          <w:bCs/>
          <w:szCs w:val="21"/>
          <w:highlight w:val="none"/>
        </w:rPr>
        <w:t>2019</w:t>
      </w:r>
      <w:r>
        <w:rPr>
          <w:b/>
          <w:bCs/>
          <w:szCs w:val="21"/>
          <w:highlight w:val="none"/>
        </w:rPr>
        <w:t>年</w:t>
      </w:r>
      <w:r>
        <w:rPr>
          <w:rFonts w:hint="eastAsia"/>
          <w:b/>
          <w:bCs/>
          <w:szCs w:val="21"/>
          <w:highlight w:val="none"/>
        </w:rPr>
        <w:t>7</w:t>
      </w:r>
      <w:r>
        <w:rPr>
          <w:b/>
          <w:bCs/>
          <w:szCs w:val="21"/>
          <w:highlight w:val="none"/>
        </w:rPr>
        <w:t>月</w:t>
      </w:r>
      <w:r>
        <w:rPr>
          <w:rFonts w:hint="eastAsia"/>
          <w:b/>
          <w:bCs/>
          <w:szCs w:val="21"/>
          <w:highlight w:val="none"/>
        </w:rPr>
        <w:t>1</w:t>
      </w:r>
      <w:r>
        <w:rPr>
          <w:rFonts w:hint="eastAsia"/>
          <w:b/>
          <w:bCs/>
          <w:szCs w:val="21"/>
          <w:highlight w:val="none"/>
          <w:lang w:val="en-US" w:eastAsia="zh-CN"/>
        </w:rPr>
        <w:t>9</w:t>
      </w:r>
      <w:r>
        <w:rPr>
          <w:b/>
          <w:bCs/>
          <w:szCs w:val="21"/>
          <w:highlight w:val="none"/>
        </w:rPr>
        <w:t>日17:30前，</w:t>
      </w:r>
      <w:r>
        <w:rPr>
          <w:szCs w:val="21"/>
        </w:rPr>
        <w:t>根据《深圳经济特区政府采购条例》第六章、《深圳市经济特区政府采购条例实施细则》第六章及深圳市政府采购中心网页http://www.cgzx.sz.gov.cn/zxfw/</w:t>
      </w:r>
      <w:r>
        <w:rPr>
          <w:rFonts w:hint="eastAsia"/>
          <w:szCs w:val="21"/>
        </w:rPr>
        <w:t>mx</w:t>
      </w:r>
      <w:r>
        <w:rPr>
          <w:szCs w:val="21"/>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rPr>
      </w:pPr>
      <w:r>
        <w:rPr>
          <w:rFonts w:hint="eastAsia"/>
          <w:b/>
        </w:rPr>
        <w:t>六、相关信息</w:t>
      </w:r>
    </w:p>
    <w:tbl>
      <w:tblPr>
        <w:tblStyle w:val="44"/>
        <w:tblW w:w="796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pPr>
            <w:r>
              <w:rPr>
                <w:rStyle w:val="48"/>
                <w:rFonts w:hint="eastAsia"/>
                <w:color w:val="000000"/>
                <w:sz w:val="20"/>
                <w:szCs w:val="20"/>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rFonts w:hint="default" w:eastAsia="宋体"/>
                <w:color w:val="000000"/>
                <w:lang w:val="en-US" w:eastAsia="zh-CN"/>
              </w:rPr>
            </w:pPr>
            <w:r>
              <w:rPr>
                <w:rFonts w:hint="eastAsia"/>
                <w:color w:val="000000"/>
                <w:lang w:eastAsia="zh-CN"/>
              </w:rPr>
              <w:t>郝睿健</w:t>
            </w:r>
            <w:r>
              <w:rPr>
                <w:rFonts w:hint="eastAsia"/>
                <w:color w:val="000000"/>
              </w:rPr>
              <w:t>0755-2</w:t>
            </w:r>
            <w:r>
              <w:rPr>
                <w:rFonts w:hint="eastAsia"/>
                <w:color w:val="000000"/>
                <w:lang w:val="en-US" w:eastAsia="zh-CN"/>
              </w:rPr>
              <w:t>2745201</w:t>
            </w:r>
            <w:r>
              <w:rPr>
                <w:rFonts w:hint="eastAsia"/>
                <w:color w:val="000000"/>
              </w:rPr>
              <w:t xml:space="preserve"> ，13</w:t>
            </w:r>
            <w:r>
              <w:rPr>
                <w:rFonts w:hint="eastAsia"/>
                <w:color w:val="000000"/>
                <w:lang w:val="en-US" w:eastAsia="zh-CN"/>
              </w:rPr>
              <w:t>380002508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lang w:val="en-US" w:eastAsia="zh-CN"/>
              </w:rPr>
              <w:t>2990610408</w:t>
            </w:r>
            <w:r>
              <w:rPr>
                <w:rFonts w:hint="eastAsia"/>
                <w:color w:val="000000"/>
              </w:rPr>
              <w:t>@qq.com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 xml:space="preserve">深圳市政府采购网  </w:t>
            </w:r>
            <w:r>
              <w:fldChar w:fldCharType="begin"/>
            </w:r>
            <w:r>
              <w:instrText xml:space="preserve"> HYPERLINK "http://www.szzfcg.cn" </w:instrText>
            </w:r>
            <w:r>
              <w:fldChar w:fldCharType="separate"/>
            </w:r>
            <w:r>
              <w:rPr>
                <w:rFonts w:hint="eastAsia"/>
                <w:color w:val="000000"/>
              </w:rPr>
              <w:t>http://www.szzfcg.cn</w:t>
            </w:r>
            <w:r>
              <w:rPr>
                <w:rFonts w:hint="eastAsia"/>
                <w:color w:val="000000"/>
              </w:rPr>
              <w:fldChar w:fldCharType="end"/>
            </w:r>
          </w:p>
          <w:p>
            <w:pPr>
              <w:jc w:val="left"/>
              <w:rPr>
                <w:color w:val="000000"/>
              </w:rPr>
            </w:pPr>
            <w:r>
              <w:rPr>
                <w:rFonts w:hint="eastAsia"/>
                <w:color w:val="000000"/>
              </w:rPr>
              <w:t>深圳市坪山区公共资源交易中心：http://ps.szzfcg.cn</w:t>
            </w:r>
          </w:p>
          <w:p>
            <w:pPr>
              <w:jc w:val="left"/>
              <w:rPr>
                <w:color w:val="000000"/>
              </w:rPr>
            </w:pPr>
            <w:r>
              <w:rPr>
                <w:rFonts w:hint="eastAsia"/>
                <w:color w:val="000000"/>
              </w:rPr>
              <w:t>深圳市深水水务咨询有限公司</w:t>
            </w:r>
            <w:r>
              <w:fldChar w:fldCharType="begin"/>
            </w:r>
            <w:r>
              <w:instrText xml:space="preserve"> HYPERLINK "http://www.szsszx.com" </w:instrText>
            </w:r>
            <w:r>
              <w:fldChar w:fldCharType="separate"/>
            </w:r>
            <w:r>
              <w:rPr>
                <w:rFonts w:hint="eastAsia"/>
                <w:color w:val="000000"/>
              </w:rPr>
              <w:t>http://www.szsszx.com</w:t>
            </w:r>
            <w:r>
              <w:rPr>
                <w:rFonts w:hint="eastAsia"/>
                <w:color w:val="000000"/>
              </w:rPr>
              <w:fldChar w:fldCharType="end"/>
            </w:r>
            <w:r>
              <w:rPr>
                <w:rFonts w:hint="eastAsia"/>
                <w:color w:val="000000"/>
              </w:rPr>
              <w:t xml:space="preserve">（文件下载）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深圳市坪山区第一幼教集团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sz w:val="20"/>
                <w:szCs w:val="20"/>
                <w:lang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7964" w:type="dxa"/>
            <w:gridSpan w:val="2"/>
            <w:tcBorders>
              <w:top w:val="nil"/>
              <w:left w:val="double" w:color="auto" w:sz="4" w:space="0"/>
              <w:bottom w:val="single" w:color="auto" w:sz="8" w:space="0"/>
              <w:right w:val="double" w:color="auto" w:sz="4" w:space="0"/>
            </w:tcBorders>
            <w:tcMar>
              <w:left w:w="108" w:type="dxa"/>
              <w:right w:w="108" w:type="dxa"/>
            </w:tcMar>
            <w:vAlign w:val="center"/>
          </w:tcPr>
          <w:p>
            <w:pPr>
              <w:pStyle w:val="40"/>
              <w:jc w:val="center"/>
            </w:pPr>
            <w:r>
              <w:rPr>
                <w:rStyle w:val="48"/>
                <w:rFonts w:hint="eastAsia"/>
                <w:color w:val="000000"/>
                <w:sz w:val="20"/>
                <w:szCs w:val="20"/>
              </w:rPr>
              <w:t>网上操作相关咨询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详细地址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深圳市景田东路9号财政大厦附楼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518034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注册咨询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0755-83938966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rPr>
            </w:pPr>
            <w:r>
              <w:rPr>
                <w:rFonts w:hint="eastAsia"/>
                <w:color w:val="000000"/>
              </w:rPr>
              <w:t>网上操作咨询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rPr>
                <w:rFonts w:hint="eastAsia"/>
                <w:color w:val="000000"/>
              </w:rPr>
              <w:t>0755-83948100、83948149、83948544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20" w:hRule="atLeast"/>
          <w:jc w:val="center"/>
        </w:trPr>
        <w:tc>
          <w:tcPr>
            <w:tcW w:w="1514" w:type="dxa"/>
            <w:vMerge w:val="restart"/>
            <w:tcBorders>
              <w:top w:val="nil"/>
              <w:left w:val="double" w:color="auto" w:sz="4" w:space="0"/>
              <w:bottom w:val="double" w:color="auto" w:sz="4" w:space="0"/>
              <w:right w:val="single" w:color="auto" w:sz="8" w:space="0"/>
            </w:tcBorders>
            <w:tcMar>
              <w:left w:w="108" w:type="dxa"/>
              <w:right w:w="108" w:type="dxa"/>
            </w:tcMar>
            <w:vAlign w:val="center"/>
          </w:tcPr>
          <w:p>
            <w:pPr>
              <w:rPr>
                <w:color w:val="000000"/>
              </w:rPr>
            </w:pPr>
            <w:r>
              <w:rPr>
                <w:rFonts w:hint="eastAsia"/>
                <w:color w:val="000000"/>
              </w:rPr>
              <w:t>电子密钥咨询</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fldChar w:fldCharType="begin"/>
            </w:r>
            <w:r>
              <w:instrText xml:space="preserve"> HYPERLINK "http://www.cnca.net/cn/html/2013-10-30/44_362.html" </w:instrText>
            </w:r>
            <w:r>
              <w:fldChar w:fldCharType="separate"/>
            </w:r>
            <w:r>
              <w:rPr>
                <w:rFonts w:hint="eastAsia"/>
                <w:color w:val="000000"/>
              </w:rPr>
              <w:t>广东省电子商务认证有限公司（NETCA)</w:t>
            </w:r>
            <w:r>
              <w:rPr>
                <w:rFonts w:hint="eastAsia"/>
                <w:color w:val="000000"/>
              </w:rPr>
              <w:fldChar w:fldCharType="end"/>
            </w:r>
          </w:p>
          <w:p>
            <w:pPr>
              <w:jc w:val="left"/>
              <w:rPr>
                <w:color w:val="000000"/>
              </w:rPr>
            </w:pPr>
            <w:r>
              <w:rPr>
                <w:rFonts w:hint="eastAsia"/>
                <w:color w:val="000000"/>
              </w:rPr>
              <w:t>4008301330   0755-83948165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ind w:firstLine="424" w:firstLineChars="202"/>
              <w:rPr>
                <w:color w:val="000000"/>
              </w:rPr>
            </w:pP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rPr>
            </w:pPr>
            <w:r>
              <w:fldChar w:fldCharType="begin"/>
            </w:r>
            <w:r>
              <w:instrText xml:space="preserve"> HYPERLINK "http://www.gdca.com.cn/info/197150" </w:instrText>
            </w:r>
            <w:r>
              <w:fldChar w:fldCharType="separate"/>
            </w:r>
            <w:r>
              <w:rPr>
                <w:rFonts w:hint="eastAsia"/>
                <w:color w:val="000000"/>
              </w:rPr>
              <w:t>广东数字证书认证中心有限公司(GDCA)</w:t>
            </w:r>
            <w:r>
              <w:rPr>
                <w:rFonts w:hint="eastAsia"/>
                <w:color w:val="000000"/>
              </w:rPr>
              <w:fldChar w:fldCharType="end"/>
            </w:r>
          </w:p>
          <w:p>
            <w:pPr>
              <w:jc w:val="left"/>
              <w:rPr>
                <w:color w:val="000000"/>
              </w:rPr>
            </w:pPr>
            <w:r>
              <w:rPr>
                <w:rFonts w:hint="eastAsia"/>
                <w:color w:val="000000"/>
              </w:rPr>
              <w:t>0755-95105813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3" w:hRule="atLeast"/>
          <w:jc w:val="center"/>
        </w:trPr>
        <w:tc>
          <w:tcPr>
            <w:tcW w:w="1514" w:type="dxa"/>
            <w:vMerge w:val="continue"/>
            <w:tcBorders>
              <w:top w:val="nil"/>
              <w:left w:val="double" w:color="auto" w:sz="4" w:space="0"/>
              <w:bottom w:val="double" w:color="auto" w:sz="4" w:space="0"/>
              <w:right w:val="single" w:color="auto" w:sz="8" w:space="0"/>
            </w:tcBorders>
            <w:tcMar>
              <w:left w:w="108" w:type="dxa"/>
              <w:right w:w="108" w:type="dxa"/>
            </w:tcMar>
            <w:vAlign w:val="center"/>
          </w:tcPr>
          <w:p>
            <w:pPr>
              <w:rPr>
                <w:sz w:val="20"/>
                <w:szCs w:val="20"/>
              </w:rPr>
            </w:pPr>
          </w:p>
        </w:tc>
        <w:tc>
          <w:tcPr>
            <w:tcW w:w="6450" w:type="dxa"/>
            <w:tcBorders>
              <w:top w:val="nil"/>
              <w:left w:val="nil"/>
              <w:bottom w:val="double" w:color="auto" w:sz="4" w:space="0"/>
              <w:right w:val="double" w:color="auto" w:sz="4" w:space="0"/>
            </w:tcBorders>
            <w:tcMar>
              <w:left w:w="108" w:type="dxa"/>
              <w:right w:w="108" w:type="dxa"/>
            </w:tcMar>
            <w:vAlign w:val="center"/>
          </w:tcPr>
          <w:p>
            <w:pPr>
              <w:jc w:val="left"/>
              <w:rPr>
                <w:color w:val="000000"/>
              </w:rPr>
            </w:pPr>
            <w:r>
              <w:rPr>
                <w:rFonts w:hint="eastAsia"/>
                <w:color w:val="000000"/>
              </w:rPr>
              <w:t>深圳市电子商务安全证书管理有限公司(SZCA)</w:t>
            </w:r>
          </w:p>
          <w:p>
            <w:pPr>
              <w:jc w:val="left"/>
            </w:pPr>
            <w:r>
              <w:rPr>
                <w:rFonts w:hint="eastAsia"/>
                <w:color w:val="000000"/>
              </w:rPr>
              <w:t>4001123838    0755-26588388</w:t>
            </w:r>
          </w:p>
        </w:tc>
      </w:tr>
    </w:tbl>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七、采购文件</w:t>
      </w:r>
    </w:p>
    <w:p>
      <w:pPr>
        <w:tabs>
          <w:tab w:val="clear" w:pos="426"/>
        </w:tabs>
        <w:ind w:firstLine="363" w:firstLineChars="202"/>
        <w:rPr>
          <w:rStyle w:val="52"/>
          <w:rFonts w:hint="default"/>
        </w:rPr>
      </w:pPr>
      <w:r>
        <w:rPr>
          <w:rStyle w:val="52"/>
          <w:rFonts w:hint="default"/>
        </w:rPr>
        <w:t>-点此下载-</w:t>
      </w:r>
    </w:p>
    <w:p>
      <w:pPr>
        <w:tabs>
          <w:tab w:val="clear" w:pos="426"/>
        </w:tabs>
        <w:ind w:firstLine="424" w:firstLineChars="202"/>
      </w:pPr>
    </w:p>
    <w:p>
      <w:pPr>
        <w:tabs>
          <w:tab w:val="clear" w:pos="426"/>
        </w:tabs>
        <w:ind w:firstLine="424" w:firstLineChars="202"/>
        <w:rPr>
          <w:strike/>
        </w:rPr>
      </w:pPr>
    </w:p>
    <w:p>
      <w:pPr>
        <w:pStyle w:val="33"/>
        <w:tabs>
          <w:tab w:val="clear" w:pos="426"/>
        </w:tabs>
        <w:sectPr>
          <w:pgSz w:w="11906" w:h="16838"/>
          <w:pgMar w:top="1440" w:right="1797" w:bottom="1440" w:left="1797" w:header="851" w:footer="992" w:gutter="0"/>
          <w:cols w:space="425" w:num="1"/>
          <w:titlePg/>
          <w:docGrid w:linePitch="462" w:charSpace="0"/>
        </w:sectPr>
      </w:pPr>
      <w:bookmarkStart w:id="32" w:name="_Toc432592814"/>
    </w:p>
    <w:p>
      <w:pPr>
        <w:pStyle w:val="33"/>
        <w:tabs>
          <w:tab w:val="clear" w:pos="426"/>
        </w:tabs>
      </w:pPr>
      <w:bookmarkStart w:id="33" w:name="_Toc5875389"/>
      <w:r>
        <w:rPr>
          <w:rFonts w:hint="eastAsia"/>
        </w:rPr>
        <w:t xml:space="preserve">第二章 </w:t>
      </w:r>
      <w:bookmarkEnd w:id="32"/>
      <w:bookmarkStart w:id="34" w:name="_Hlk4694149"/>
      <w:r>
        <w:rPr>
          <w:rFonts w:hint="eastAsia"/>
        </w:rPr>
        <w:t>投标须知前附表</w:t>
      </w:r>
      <w:bookmarkEnd w:id="33"/>
      <w:bookmarkEnd w:id="34"/>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0"/>
        <w:gridCol w:w="7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序号</w:t>
            </w:r>
          </w:p>
        </w:tc>
        <w:tc>
          <w:tcPr>
            <w:tcW w:w="1700" w:type="dxa"/>
            <w:vAlign w:val="center"/>
          </w:tcPr>
          <w:p>
            <w:pPr>
              <w:tabs>
                <w:tab w:val="clear" w:pos="426"/>
              </w:tabs>
              <w:adjustRightInd/>
              <w:snapToGrid/>
              <w:spacing w:line="240" w:lineRule="exact"/>
              <w:jc w:val="center"/>
            </w:pPr>
            <w:r>
              <w:rPr>
                <w:rFonts w:hint="eastAsia"/>
              </w:rPr>
              <w:t>内容</w:t>
            </w:r>
          </w:p>
        </w:tc>
        <w:tc>
          <w:tcPr>
            <w:tcW w:w="7195" w:type="dxa"/>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w:t>
            </w:r>
          </w:p>
        </w:tc>
        <w:tc>
          <w:tcPr>
            <w:tcW w:w="1700" w:type="dxa"/>
            <w:vAlign w:val="center"/>
          </w:tcPr>
          <w:p>
            <w:pPr>
              <w:tabs>
                <w:tab w:val="clear" w:pos="426"/>
              </w:tabs>
              <w:adjustRightInd/>
              <w:snapToGrid/>
              <w:spacing w:line="240" w:lineRule="exact"/>
            </w:pPr>
            <w:r>
              <w:rPr>
                <w:rFonts w:hint="eastAsia"/>
              </w:rPr>
              <w:t>联合体投标</w:t>
            </w:r>
          </w:p>
        </w:tc>
        <w:tc>
          <w:tcPr>
            <w:tcW w:w="7195" w:type="dxa"/>
            <w:vAlign w:val="center"/>
          </w:tcPr>
          <w:p>
            <w:pPr>
              <w:tabs>
                <w:tab w:val="clear" w:pos="426"/>
              </w:tabs>
              <w:adjustRightInd/>
              <w:snapToGrid/>
              <w:spacing w:line="240" w:lineRule="exact"/>
            </w:pPr>
            <w:r>
              <w:rPr>
                <w:rFonts w:hint="eastAsia"/>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2</w:t>
            </w:r>
          </w:p>
        </w:tc>
        <w:tc>
          <w:tcPr>
            <w:tcW w:w="1700" w:type="dxa"/>
            <w:vAlign w:val="center"/>
          </w:tcPr>
          <w:p>
            <w:pPr>
              <w:tabs>
                <w:tab w:val="clear" w:pos="426"/>
              </w:tabs>
              <w:adjustRightInd/>
              <w:snapToGrid/>
              <w:spacing w:line="240" w:lineRule="exact"/>
            </w:pPr>
            <w:r>
              <w:t>踏勘现场</w:t>
            </w:r>
          </w:p>
        </w:tc>
        <w:tc>
          <w:tcPr>
            <w:tcW w:w="7195" w:type="dxa"/>
            <w:vAlign w:val="center"/>
          </w:tcPr>
          <w:p>
            <w:pPr>
              <w:tabs>
                <w:tab w:val="clear" w:pos="426"/>
              </w:tabs>
              <w:adjustRightInd/>
              <w:snapToGrid/>
              <w:spacing w:line="240" w:lineRule="exact"/>
            </w:pPr>
            <w:r>
              <w:rPr>
                <w:rFonts w:hint="eastAsia"/>
              </w:rPr>
              <w:t>■不组织。</w:t>
            </w:r>
          </w:p>
          <w:p>
            <w:pPr>
              <w:tabs>
                <w:tab w:val="clear" w:pos="426"/>
              </w:tabs>
              <w:adjustRightInd/>
              <w:snapToGrid/>
              <w:spacing w:line="240" w:lineRule="exact"/>
            </w:pPr>
            <w:r>
              <w:rPr>
                <w:rFonts w:hint="eastAsia"/>
              </w:rPr>
              <w:t>□组织。踏勘时间：</w:t>
            </w:r>
            <w:r>
              <w:rPr>
                <w:rFonts w:hint="eastAsia"/>
                <w:u w:val="single"/>
              </w:rPr>
              <w:t xml:space="preserve"> /</w:t>
            </w:r>
          </w:p>
          <w:p>
            <w:pPr>
              <w:jc w:val="left"/>
            </w:pPr>
            <w:r>
              <w:rPr>
                <w:rFonts w:hint="eastAsia"/>
              </w:rPr>
              <w:t xml:space="preserve">        集合地点：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3</w:t>
            </w:r>
          </w:p>
        </w:tc>
        <w:tc>
          <w:tcPr>
            <w:tcW w:w="1700" w:type="dxa"/>
            <w:vAlign w:val="center"/>
          </w:tcPr>
          <w:p>
            <w:pPr>
              <w:tabs>
                <w:tab w:val="clear" w:pos="426"/>
              </w:tabs>
              <w:adjustRightInd/>
              <w:snapToGrid/>
              <w:spacing w:line="240" w:lineRule="exact"/>
            </w:pPr>
            <w:r>
              <w:rPr>
                <w:rFonts w:hint="eastAsia"/>
              </w:rPr>
              <w:t>投标人提出疑问截止时间</w:t>
            </w:r>
          </w:p>
        </w:tc>
        <w:tc>
          <w:tcPr>
            <w:tcW w:w="7195" w:type="dxa"/>
            <w:vAlign w:val="center"/>
          </w:tcPr>
          <w:p>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4</w:t>
            </w:r>
          </w:p>
        </w:tc>
        <w:tc>
          <w:tcPr>
            <w:tcW w:w="1700" w:type="dxa"/>
            <w:vAlign w:val="center"/>
          </w:tcPr>
          <w:p>
            <w:pPr>
              <w:tabs>
                <w:tab w:val="clear" w:pos="426"/>
              </w:tabs>
              <w:adjustRightInd/>
              <w:snapToGrid/>
              <w:spacing w:line="240" w:lineRule="exact"/>
            </w:pPr>
            <w:r>
              <w:rPr>
                <w:rFonts w:hint="eastAsia"/>
              </w:rPr>
              <w:t>澄清或修补、答疑的期限</w:t>
            </w:r>
          </w:p>
        </w:tc>
        <w:tc>
          <w:tcPr>
            <w:tcW w:w="7195" w:type="dxa"/>
            <w:vAlign w:val="center"/>
          </w:tcPr>
          <w:p>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5</w:t>
            </w:r>
          </w:p>
        </w:tc>
        <w:tc>
          <w:tcPr>
            <w:tcW w:w="1700" w:type="dxa"/>
            <w:vAlign w:val="center"/>
          </w:tcPr>
          <w:p>
            <w:pPr>
              <w:tabs>
                <w:tab w:val="clear" w:pos="426"/>
              </w:tabs>
              <w:adjustRightInd/>
              <w:snapToGrid/>
              <w:spacing w:line="240" w:lineRule="exact"/>
            </w:pPr>
            <w:r>
              <w:rPr>
                <w:rFonts w:hint="eastAsia"/>
              </w:rPr>
              <w:t>招标代理</w:t>
            </w:r>
            <w:r>
              <w:t>服务费</w:t>
            </w:r>
          </w:p>
        </w:tc>
        <w:tc>
          <w:tcPr>
            <w:tcW w:w="7195" w:type="dxa"/>
            <w:vAlign w:val="center"/>
          </w:tcPr>
          <w:p>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rPr>
              <w:t>招标代理服务费采用转账的方式，账户信息如下：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6</w:t>
            </w:r>
          </w:p>
        </w:tc>
        <w:tc>
          <w:tcPr>
            <w:tcW w:w="1700" w:type="dxa"/>
            <w:vAlign w:val="center"/>
          </w:tcPr>
          <w:p>
            <w:pPr>
              <w:tabs>
                <w:tab w:val="clear" w:pos="426"/>
              </w:tabs>
              <w:adjustRightInd/>
              <w:snapToGrid/>
              <w:spacing w:line="240" w:lineRule="exact"/>
            </w:pPr>
            <w:r>
              <w:t>投标</w:t>
            </w:r>
            <w:r>
              <w:rPr>
                <w:rFonts w:hint="eastAsia"/>
              </w:rPr>
              <w:t>担保</w:t>
            </w:r>
          </w:p>
        </w:tc>
        <w:tc>
          <w:tcPr>
            <w:tcW w:w="7195" w:type="dxa"/>
            <w:vAlign w:val="center"/>
          </w:tcPr>
          <w:p>
            <w:pPr>
              <w:spacing w:line="240" w:lineRule="exact"/>
              <w:rPr>
                <w:color w:val="000000"/>
              </w:rPr>
            </w:pPr>
            <w:r>
              <w:rPr>
                <w:rFonts w:hint="eastAsia"/>
                <w:color w:val="000000"/>
              </w:rPr>
              <w:t>根据《深圳市财政委员会关于规范政府采购项目投标保证金和履约保证金管理的通知》深财购﹝2017﹞55号文：</w:t>
            </w:r>
          </w:p>
          <w:p>
            <w:pPr>
              <w:numPr>
                <w:ilvl w:val="255"/>
                <w:numId w:val="0"/>
              </w:numPr>
              <w:spacing w:line="240" w:lineRule="exact"/>
              <w:rPr>
                <w:color w:val="000000"/>
                <w:szCs w:val="21"/>
              </w:rPr>
            </w:pPr>
            <w:r>
              <w:rPr>
                <w:rFonts w:hint="eastAsia"/>
                <w:color w:val="000000"/>
                <w:szCs w:val="21"/>
              </w:rPr>
              <w:t>（1）供应商须为深圳市政府采购注册供应商并缴纳保证金一万元（由深圳市政府采购中心收取）；如另有规定，详见招标文件《专用条款》规定。</w:t>
            </w:r>
          </w:p>
          <w:p>
            <w:pPr>
              <w:spacing w:line="240" w:lineRule="exact"/>
              <w:rPr>
                <w:color w:val="000000"/>
                <w:szCs w:val="21"/>
              </w:rPr>
            </w:pPr>
            <w:r>
              <w:rPr>
                <w:rFonts w:hint="eastAsia"/>
                <w:color w:val="000000"/>
                <w:szCs w:val="21"/>
              </w:rPr>
              <w:t>（2）投标保证金必须在项目开标日前两个工作日到账。</w:t>
            </w:r>
          </w:p>
          <w:p>
            <w:pPr>
              <w:spacing w:line="240" w:lineRule="exact"/>
              <w:rPr>
                <w:color w:val="000000"/>
                <w:szCs w:val="21"/>
              </w:rPr>
            </w:pPr>
            <w:r>
              <w:rPr>
                <w:rFonts w:hint="eastAsia"/>
                <w:color w:val="000000"/>
                <w:szCs w:val="21"/>
              </w:rPr>
              <w:t>（3）交纳投标保证金应一律从投标人基本账户转出，否则按隐瞒真实情况，提供虚假资料处理。取消现金汇款等交纳方式，禁止个人银行结算账户转出和第三方代交。</w:t>
            </w:r>
          </w:p>
          <w:p>
            <w:pPr>
              <w:spacing w:line="240" w:lineRule="exact"/>
              <w:rPr>
                <w:color w:val="000000"/>
                <w:szCs w:val="21"/>
              </w:rPr>
            </w:pPr>
            <w:r>
              <w:rPr>
                <w:rFonts w:hint="eastAsia"/>
                <w:color w:val="000000"/>
                <w:szCs w:val="21"/>
              </w:rPr>
              <w:t>（4）投标人须提供承诺函，承诺已在市政府采购中心缴纳投标保证金，所缴纳的投标保证金作为本次政府采购活动的投标保证金；若投标保证金被依法不予退还，应及时补缴，否则投标无效。</w:t>
            </w:r>
          </w:p>
          <w:p>
            <w:pPr>
              <w:spacing w:line="240" w:lineRule="exact"/>
              <w:rPr>
                <w:color w:val="000000"/>
                <w:szCs w:val="21"/>
              </w:rPr>
            </w:pPr>
            <w:r>
              <w:rPr>
                <w:rFonts w:hint="eastAsia"/>
                <w:color w:val="000000"/>
                <w:szCs w:val="21"/>
              </w:rPr>
              <w:t>（5）以上相关要求必须严格遵守。否则，由此造成的后果由供应商自行负责。</w:t>
            </w:r>
          </w:p>
          <w:p>
            <w:pPr>
              <w:spacing w:line="240" w:lineRule="exact"/>
              <w:rPr>
                <w:color w:val="000000"/>
                <w:szCs w:val="21"/>
              </w:rPr>
            </w:pPr>
            <w:r>
              <w:rPr>
                <w:rFonts w:hint="eastAsia"/>
                <w:color w:val="000000"/>
                <w:szCs w:val="21"/>
              </w:rPr>
              <w:t>（6）缴纳投标保证金账户信息：</w:t>
            </w:r>
          </w:p>
          <w:p>
            <w:pPr>
              <w:spacing w:line="240" w:lineRule="exact"/>
              <w:rPr>
                <w:color w:val="000000"/>
                <w:szCs w:val="21"/>
              </w:rPr>
            </w:pPr>
            <w:r>
              <w:rPr>
                <w:rFonts w:hint="eastAsia"/>
                <w:color w:val="000000"/>
                <w:szCs w:val="21"/>
              </w:rPr>
              <w:t>账户名称：深圳市政府采购中心</w:t>
            </w:r>
          </w:p>
          <w:p>
            <w:pPr>
              <w:spacing w:line="240" w:lineRule="exact"/>
              <w:rPr>
                <w:color w:val="000000"/>
                <w:szCs w:val="21"/>
              </w:rPr>
            </w:pPr>
            <w:r>
              <w:rPr>
                <w:rFonts w:hint="eastAsia"/>
                <w:color w:val="000000"/>
                <w:szCs w:val="21"/>
              </w:rPr>
              <w:t>账    号：0012100200549</w:t>
            </w:r>
            <w:bookmarkStart w:id="378" w:name="_GoBack"/>
            <w:bookmarkEnd w:id="378"/>
          </w:p>
          <w:p>
            <w:pPr>
              <w:spacing w:line="240" w:lineRule="exact"/>
              <w:rPr>
                <w:color w:val="000000"/>
                <w:szCs w:val="21"/>
              </w:rPr>
            </w:pPr>
            <w:r>
              <w:rPr>
                <w:rFonts w:hint="eastAsia"/>
                <w:color w:val="000000"/>
                <w:szCs w:val="21"/>
              </w:rPr>
              <w:t xml:space="preserve">开户银行：平安银行股份有限公司深圳分行营业部  </w:t>
            </w:r>
          </w:p>
          <w:p>
            <w:pPr>
              <w:tabs>
                <w:tab w:val="clear" w:pos="426"/>
              </w:tabs>
              <w:adjustRightInd/>
              <w:snapToGrid/>
              <w:spacing w:line="240" w:lineRule="exact"/>
              <w:rPr>
                <w:color w:val="000000"/>
                <w:szCs w:val="21"/>
              </w:rPr>
            </w:pPr>
            <w:r>
              <w:rPr>
                <w:rFonts w:hint="eastAsia"/>
                <w:color w:val="000000"/>
                <w:szCs w:val="21"/>
              </w:rPr>
              <w:t>行    号：307584021015</w:t>
            </w:r>
          </w:p>
          <w:p>
            <w:pPr>
              <w:tabs>
                <w:tab w:val="clear" w:pos="426"/>
              </w:tabs>
              <w:adjustRightInd/>
              <w:snapToGrid/>
              <w:spacing w:line="240" w:lineRule="exact"/>
            </w:pPr>
            <w:r>
              <w:rPr>
                <w:rFonts w:hint="eastAsia"/>
              </w:rPr>
              <w:t>（</w:t>
            </w:r>
            <w:r>
              <w:t>7）咨询电话：0755-83948155</w:t>
            </w:r>
            <w:r>
              <w:rPr>
                <w:rFonts w:hint="eastAsia"/>
              </w:rPr>
              <w:t>市采购中心保证金业务办理事宜。</w:t>
            </w:r>
            <w:r>
              <w:t>办理网址</w:t>
            </w:r>
            <w:r>
              <w:rPr>
                <w:rFonts w:hint="eastAsia"/>
              </w:rPr>
              <w:t>：</w:t>
            </w:r>
            <w:r>
              <w:t>http://www.cgzx.sz.gov.cn/zxfw/mxgys/bzjywbl/</w:t>
            </w:r>
            <w:r>
              <w:fldChar w:fldCharType="begin"/>
            </w:r>
            <w:r>
              <w:instrText xml:space="preserve"> HYPERLINK "http://www.cgzx.sz.gov.cn/zxfw/gys/bzjblzn/" </w:instrText>
            </w:r>
            <w:r>
              <w:fldChar w:fldCharType="separate"/>
            </w:r>
            <w:r>
              <w:fldChar w:fldCharType="end"/>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7</w:t>
            </w:r>
          </w:p>
        </w:tc>
        <w:tc>
          <w:tcPr>
            <w:tcW w:w="1700" w:type="dxa"/>
            <w:vAlign w:val="center"/>
          </w:tcPr>
          <w:p>
            <w:pPr>
              <w:tabs>
                <w:tab w:val="clear" w:pos="426"/>
              </w:tabs>
              <w:adjustRightInd/>
              <w:snapToGrid/>
              <w:spacing w:line="240" w:lineRule="exact"/>
            </w:pPr>
            <w:r>
              <w:t>投标有效期</w:t>
            </w:r>
          </w:p>
        </w:tc>
        <w:tc>
          <w:tcPr>
            <w:tcW w:w="7195" w:type="dxa"/>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8</w:t>
            </w:r>
          </w:p>
        </w:tc>
        <w:tc>
          <w:tcPr>
            <w:tcW w:w="1700" w:type="dxa"/>
            <w:vAlign w:val="center"/>
          </w:tcPr>
          <w:p>
            <w:pPr>
              <w:tabs>
                <w:tab w:val="clear" w:pos="426"/>
              </w:tabs>
              <w:adjustRightInd/>
              <w:snapToGrid/>
              <w:spacing w:line="240" w:lineRule="exact"/>
            </w:pPr>
            <w:r>
              <w:rPr>
                <w:rFonts w:hint="eastAsia"/>
              </w:rPr>
              <w:t>替代方案</w:t>
            </w:r>
          </w:p>
        </w:tc>
        <w:tc>
          <w:tcPr>
            <w:tcW w:w="7195" w:type="dxa"/>
            <w:vAlign w:val="center"/>
          </w:tcPr>
          <w:p>
            <w:pPr>
              <w:tabs>
                <w:tab w:val="clear" w:pos="426"/>
              </w:tabs>
              <w:adjustRightInd/>
              <w:snapToGrid/>
              <w:spacing w:line="240" w:lineRule="exact"/>
            </w:pPr>
            <w:r>
              <w:rPr>
                <w:rFonts w:hint="eastAsia"/>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9</w:t>
            </w:r>
          </w:p>
        </w:tc>
        <w:tc>
          <w:tcPr>
            <w:tcW w:w="1700" w:type="dxa"/>
            <w:vAlign w:val="center"/>
          </w:tcPr>
          <w:p>
            <w:pPr>
              <w:tabs>
                <w:tab w:val="clear" w:pos="426"/>
              </w:tabs>
              <w:adjustRightInd/>
              <w:snapToGrid/>
              <w:spacing w:line="240" w:lineRule="exact"/>
            </w:pPr>
            <w:r>
              <w:rPr>
                <w:rFonts w:hint="eastAsia"/>
              </w:rPr>
              <w:t>评定分离</w:t>
            </w:r>
          </w:p>
        </w:tc>
        <w:tc>
          <w:tcPr>
            <w:tcW w:w="7195" w:type="dxa"/>
            <w:vAlign w:val="center"/>
          </w:tcPr>
          <w:p>
            <w:pPr>
              <w:tabs>
                <w:tab w:val="clear" w:pos="426"/>
              </w:tabs>
              <w:adjustRightInd/>
              <w:snapToGrid/>
              <w:spacing w:line="240" w:lineRule="auto"/>
            </w:pPr>
            <w:r>
              <w:rPr>
                <w:rFonts w:hint="eastAsia"/>
              </w:rPr>
              <w:t>□是             ■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10</w:t>
            </w:r>
          </w:p>
        </w:tc>
        <w:tc>
          <w:tcPr>
            <w:tcW w:w="1700" w:type="dxa"/>
            <w:vAlign w:val="center"/>
          </w:tcPr>
          <w:p>
            <w:pPr>
              <w:tabs>
                <w:tab w:val="clear" w:pos="426"/>
              </w:tabs>
              <w:adjustRightInd/>
              <w:snapToGrid/>
              <w:spacing w:line="240" w:lineRule="exact"/>
            </w:pPr>
            <w:r>
              <w:t>评标</w:t>
            </w:r>
            <w:r>
              <w:rPr>
                <w:rFonts w:hint="eastAsia"/>
              </w:rPr>
              <w:t>方</w:t>
            </w:r>
            <w:r>
              <w:t>法</w:t>
            </w:r>
          </w:p>
        </w:tc>
        <w:tc>
          <w:tcPr>
            <w:tcW w:w="7195" w:type="dxa"/>
            <w:vAlign w:val="center"/>
          </w:tcPr>
          <w:p>
            <w:pPr>
              <w:tabs>
                <w:tab w:val="clear" w:pos="426"/>
              </w:tabs>
              <w:adjustRightInd/>
              <w:snapToGrid/>
              <w:spacing w:line="240" w:lineRule="auto"/>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11</w:t>
            </w:r>
          </w:p>
        </w:tc>
        <w:tc>
          <w:tcPr>
            <w:tcW w:w="1700" w:type="dxa"/>
            <w:vAlign w:val="center"/>
          </w:tcPr>
          <w:p>
            <w:pPr>
              <w:tabs>
                <w:tab w:val="clear" w:pos="426"/>
              </w:tabs>
              <w:adjustRightInd/>
              <w:snapToGrid/>
              <w:spacing w:line="240" w:lineRule="exact"/>
            </w:pPr>
            <w:r>
              <w:rPr>
                <w:rFonts w:hint="eastAsia"/>
              </w:rPr>
              <w:t>定</w:t>
            </w:r>
            <w:r>
              <w:t>标</w:t>
            </w:r>
            <w:r>
              <w:rPr>
                <w:rFonts w:hint="eastAsia"/>
              </w:rPr>
              <w:t>方</w:t>
            </w:r>
            <w:r>
              <w:t>法</w:t>
            </w:r>
          </w:p>
        </w:tc>
        <w:tc>
          <w:tcPr>
            <w:tcW w:w="7195" w:type="dxa"/>
            <w:vAlign w:val="center"/>
          </w:tcPr>
          <w:p>
            <w:pPr>
              <w:tabs>
                <w:tab w:val="clear" w:pos="426"/>
              </w:tabs>
              <w:adjustRightInd/>
              <w:snapToGrid/>
              <w:spacing w:line="240" w:lineRule="auto"/>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12</w:t>
            </w:r>
          </w:p>
        </w:tc>
        <w:tc>
          <w:tcPr>
            <w:tcW w:w="1700" w:type="dxa"/>
            <w:vAlign w:val="center"/>
          </w:tcPr>
          <w:p>
            <w:pPr>
              <w:tabs>
                <w:tab w:val="clear" w:pos="426"/>
              </w:tabs>
              <w:adjustRightInd/>
              <w:snapToGrid/>
              <w:spacing w:line="240" w:lineRule="exact"/>
            </w:pPr>
            <w:r>
              <w:t>履约保证金</w:t>
            </w:r>
          </w:p>
        </w:tc>
        <w:tc>
          <w:tcPr>
            <w:tcW w:w="7195" w:type="dxa"/>
            <w:vAlign w:val="center"/>
          </w:tcPr>
          <w:p>
            <w:pPr>
              <w:tabs>
                <w:tab w:val="clear" w:pos="426"/>
              </w:tabs>
              <w:adjustRightInd/>
              <w:snapToGrid/>
              <w:spacing w:line="240" w:lineRule="exact"/>
            </w:pPr>
            <w:r>
              <w:t>■</w:t>
            </w:r>
            <w:r>
              <w:rPr>
                <w:rFonts w:hint="eastAsia"/>
              </w:rPr>
              <w:t>不提交         □提交</w:t>
            </w:r>
          </w:p>
          <w:p>
            <w:pPr>
              <w:tabs>
                <w:tab w:val="clear" w:pos="426"/>
              </w:tabs>
              <w:adjustRightInd/>
              <w:snapToGrid/>
              <w:spacing w:line="240" w:lineRule="exact"/>
            </w:pPr>
            <w:r>
              <w:rPr>
                <w:rFonts w:hint="eastAsia"/>
              </w:rPr>
              <w:t>担保金额：为中标价的</w:t>
            </w:r>
            <w:r>
              <w:rPr>
                <w:rFonts w:hint="eastAsia"/>
                <w:u w:val="single"/>
              </w:rPr>
              <w:t xml:space="preserve"> /  </w:t>
            </w:r>
            <w:r>
              <w:rPr>
                <w:rFonts w:hint="eastAsia"/>
              </w:rPr>
              <w:t>% 或</w:t>
            </w:r>
            <w:r>
              <w:rPr>
                <w:rFonts w:hint="eastAsia"/>
                <w:u w:val="single"/>
              </w:rPr>
              <w:t xml:space="preserve"> / </w:t>
            </w:r>
            <w:r>
              <w:rPr>
                <w:rFonts w:hint="eastAsia"/>
              </w:rPr>
              <w:t>万元</w:t>
            </w:r>
          </w:p>
          <w:p>
            <w:pPr>
              <w:tabs>
                <w:tab w:val="clear" w:pos="426"/>
              </w:tabs>
              <w:adjustRightInd/>
              <w:snapToGrid/>
              <w:spacing w:line="240" w:lineRule="exact"/>
            </w:pPr>
            <w:r>
              <w:rPr>
                <w:rFonts w:hint="eastAsia"/>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13</w:t>
            </w:r>
          </w:p>
        </w:tc>
        <w:tc>
          <w:tcPr>
            <w:tcW w:w="1700" w:type="dxa"/>
            <w:vAlign w:val="center"/>
          </w:tcPr>
          <w:p>
            <w:pPr>
              <w:tabs>
                <w:tab w:val="clear" w:pos="426"/>
              </w:tabs>
              <w:adjustRightInd/>
              <w:snapToGrid/>
              <w:spacing w:line="240" w:lineRule="exact"/>
            </w:pPr>
            <w:r>
              <w:t>投标文件份数</w:t>
            </w:r>
          </w:p>
        </w:tc>
        <w:tc>
          <w:tcPr>
            <w:tcW w:w="7195" w:type="dxa"/>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14</w:t>
            </w:r>
          </w:p>
        </w:tc>
        <w:tc>
          <w:tcPr>
            <w:tcW w:w="1700" w:type="dxa"/>
            <w:vAlign w:val="center"/>
          </w:tcPr>
          <w:p>
            <w:pPr>
              <w:tabs>
                <w:tab w:val="clear" w:pos="426"/>
              </w:tabs>
              <w:adjustRightInd/>
              <w:snapToGrid/>
              <w:spacing w:line="240" w:lineRule="exact"/>
            </w:pPr>
            <w:r>
              <w:rPr>
                <w:rFonts w:hint="eastAsia"/>
              </w:rPr>
              <w:t>投标文件电子版</w:t>
            </w:r>
          </w:p>
        </w:tc>
        <w:tc>
          <w:tcPr>
            <w:tcW w:w="7195" w:type="dxa"/>
            <w:vAlign w:val="center"/>
          </w:tcPr>
          <w:p>
            <w:pPr>
              <w:tabs>
                <w:tab w:val="clear" w:pos="426"/>
              </w:tabs>
              <w:adjustRightInd/>
              <w:snapToGrid/>
              <w:spacing w:line="240" w:lineRule="exact"/>
            </w:pPr>
            <w:r>
              <w:rPr>
                <w:rFonts w:hint="eastAsia"/>
              </w:rPr>
              <w:t>电子光盘一张（投标文件正本盖章后的彩色扫描件，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675" w:type="dxa"/>
            <w:vAlign w:val="center"/>
          </w:tcPr>
          <w:p>
            <w:pPr>
              <w:tabs>
                <w:tab w:val="clear" w:pos="426"/>
              </w:tabs>
              <w:adjustRightInd/>
              <w:snapToGrid/>
              <w:spacing w:line="240" w:lineRule="exact"/>
              <w:jc w:val="center"/>
            </w:pPr>
            <w:r>
              <w:rPr>
                <w:rFonts w:hint="eastAsia"/>
              </w:rPr>
              <w:t>15</w:t>
            </w:r>
          </w:p>
        </w:tc>
        <w:tc>
          <w:tcPr>
            <w:tcW w:w="1700" w:type="dxa"/>
            <w:vAlign w:val="center"/>
          </w:tcPr>
          <w:p>
            <w:pPr>
              <w:tabs>
                <w:tab w:val="clear" w:pos="426"/>
              </w:tabs>
              <w:adjustRightInd/>
              <w:snapToGrid/>
              <w:spacing w:line="240" w:lineRule="exact"/>
            </w:pPr>
            <w:r>
              <w:rPr>
                <w:rFonts w:hint="eastAsia"/>
              </w:rPr>
              <w:t>财政预算限额</w:t>
            </w:r>
          </w:p>
        </w:tc>
        <w:tc>
          <w:tcPr>
            <w:tcW w:w="7195" w:type="dxa"/>
            <w:vAlign w:val="center"/>
          </w:tcPr>
          <w:p>
            <w:pPr>
              <w:tabs>
                <w:tab w:val="clear" w:pos="426"/>
              </w:tabs>
              <w:adjustRightInd/>
              <w:snapToGrid/>
              <w:spacing w:line="240" w:lineRule="exact"/>
              <w:rPr>
                <w:color w:val="FF0000"/>
              </w:rPr>
            </w:pPr>
            <w:r>
              <w:rPr>
                <w:rFonts w:hint="eastAsia"/>
                <w:b/>
              </w:rPr>
              <w:t>金额：</w:t>
            </w:r>
            <w:r>
              <w:rPr>
                <w:rFonts w:hint="eastAsia"/>
                <w:b/>
                <w:u w:val="single"/>
              </w:rPr>
              <w:t>人民币 壹佰贰拾陆万零伍佰</w:t>
            </w:r>
            <w:r>
              <w:rPr>
                <w:rFonts w:hint="eastAsia"/>
                <w:b/>
                <w:u w:val="single"/>
                <w:lang w:eastAsia="zh-CN"/>
              </w:rPr>
              <w:t>元</w:t>
            </w:r>
            <w:r>
              <w:rPr>
                <w:rFonts w:hint="eastAsia"/>
                <w:b/>
                <w:u w:val="single"/>
              </w:rPr>
              <w:t>整</w:t>
            </w:r>
            <w:r>
              <w:rPr>
                <w:b/>
                <w:u w:val="single"/>
              </w:rPr>
              <w:t>（</w:t>
            </w:r>
            <w:r>
              <w:rPr>
                <w:rFonts w:hint="eastAsia" w:eastAsia="微软雅黑"/>
                <w:b/>
                <w:u w:val="single"/>
              </w:rPr>
              <w:t>¥1,260,500.00</w:t>
            </w:r>
            <w:r>
              <w:rPr>
                <w:rFonts w:hint="eastAsia"/>
                <w:b/>
                <w:u w:val="single"/>
              </w:rPr>
              <w:t>元</w:t>
            </w:r>
            <w:r>
              <w:rPr>
                <w:b/>
                <w:u w:val="single"/>
              </w:rPr>
              <w:t>）</w:t>
            </w:r>
            <w:r>
              <w:rPr>
                <w:rFonts w:hint="eastAsia"/>
                <w:b/>
                <w:u w:val="single"/>
              </w:rPr>
              <w:t>，</w:t>
            </w:r>
            <w:r>
              <w:rPr>
                <w:rFonts w:hint="eastAsia"/>
              </w:rPr>
              <w:t>分项预算限额详见货物清单一览表，超出财政预算限额或分项预算限额的投标文件将不被接受。</w:t>
            </w:r>
          </w:p>
        </w:tc>
      </w:tr>
    </w:tbl>
    <w:p>
      <w:pPr>
        <w:pStyle w:val="33"/>
        <w:tabs>
          <w:tab w:val="clear" w:pos="426"/>
        </w:tabs>
      </w:pPr>
      <w:r>
        <w:br w:type="page"/>
      </w:r>
      <w:bookmarkStart w:id="35" w:name="_Toc5875390"/>
      <w:bookmarkStart w:id="36" w:name="_Toc432592816"/>
      <w:bookmarkStart w:id="37" w:name="_Toc398220525"/>
      <w:r>
        <w:rPr>
          <w:rFonts w:hint="eastAsia"/>
        </w:rPr>
        <w:t xml:space="preserve">第三章 </w:t>
      </w:r>
      <w:r>
        <w:t>项目</w:t>
      </w:r>
      <w:r>
        <w:rPr>
          <w:rFonts w:hint="eastAsia"/>
        </w:rPr>
        <w:t>需求</w:t>
      </w:r>
      <w:bookmarkEnd w:id="35"/>
    </w:p>
    <w:p>
      <w:pPr>
        <w:numPr>
          <w:ilvl w:val="0"/>
          <w:numId w:val="26"/>
        </w:numPr>
        <w:adjustRightInd/>
        <w:snapToGrid/>
        <w:spacing w:before="280" w:after="290" w:line="377" w:lineRule="auto"/>
        <w:jc w:val="left"/>
        <w:outlineLvl w:val="2"/>
        <w:rPr>
          <w:b/>
          <w:sz w:val="24"/>
        </w:rPr>
      </w:pPr>
      <w:r>
        <w:rPr>
          <w:b/>
          <w:sz w:val="24"/>
        </w:rPr>
        <w:t>货物清单</w:t>
      </w:r>
      <w:r>
        <w:rPr>
          <w:rFonts w:hint="eastAsia"/>
          <w:b/>
          <w:sz w:val="24"/>
        </w:rPr>
        <w:t>一览表</w:t>
      </w:r>
    </w:p>
    <w:p>
      <w:pPr>
        <w:widowControl w:val="0"/>
        <w:shd w:val="clear" w:color="auto" w:fill="auto"/>
        <w:tabs>
          <w:tab w:val="clear" w:pos="426"/>
        </w:tabs>
        <w:adjustRightInd/>
        <w:snapToGrid/>
        <w:spacing w:before="120" w:beforeLines="50" w:line="300" w:lineRule="auto"/>
        <w:ind w:firstLine="422" w:firstLineChars="200"/>
        <w:rPr>
          <w:rFonts w:cs="Times New Roman"/>
          <w:b/>
          <w:bCs/>
          <w:kern w:val="2"/>
          <w:szCs w:val="21"/>
        </w:rPr>
      </w:pPr>
      <w:r>
        <w:rPr>
          <w:rFonts w:hint="eastAsia" w:cs="Times New Roman"/>
          <w:b/>
          <w:bCs/>
          <w:kern w:val="2"/>
          <w:szCs w:val="21"/>
        </w:rPr>
        <w:t>（一）货物总清单</w:t>
      </w:r>
    </w:p>
    <w:tbl>
      <w:tblPr>
        <w:tblStyle w:val="44"/>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730"/>
        <w:gridCol w:w="1620"/>
        <w:gridCol w:w="735"/>
        <w:gridCol w:w="810"/>
        <w:gridCol w:w="117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43"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序号</w:t>
            </w:r>
          </w:p>
        </w:tc>
        <w:tc>
          <w:tcPr>
            <w:tcW w:w="2730"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采购计划编号</w:t>
            </w:r>
          </w:p>
        </w:tc>
        <w:tc>
          <w:tcPr>
            <w:tcW w:w="1620"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货物名称</w:t>
            </w:r>
          </w:p>
        </w:tc>
        <w:tc>
          <w:tcPr>
            <w:tcW w:w="735"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数量</w:t>
            </w:r>
          </w:p>
        </w:tc>
        <w:tc>
          <w:tcPr>
            <w:tcW w:w="810"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单位</w:t>
            </w:r>
          </w:p>
        </w:tc>
        <w:tc>
          <w:tcPr>
            <w:tcW w:w="1170"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备注</w:t>
            </w:r>
          </w:p>
        </w:tc>
        <w:tc>
          <w:tcPr>
            <w:tcW w:w="2025" w:type="dxa"/>
            <w:vAlign w:val="center"/>
          </w:tcPr>
          <w:p>
            <w:pPr>
              <w:widowControl w:val="0"/>
              <w:shd w:val="clear" w:color="auto" w:fill="auto"/>
              <w:tabs>
                <w:tab w:val="clear" w:pos="426"/>
              </w:tabs>
              <w:adjustRightInd/>
              <w:snapToGrid/>
              <w:spacing w:line="240" w:lineRule="auto"/>
              <w:jc w:val="center"/>
              <w:rPr>
                <w:b/>
                <w:bCs/>
                <w:color w:val="030405"/>
                <w:sz w:val="18"/>
                <w:szCs w:val="18"/>
              </w:rPr>
            </w:pPr>
            <w:r>
              <w:rPr>
                <w:rFonts w:hint="eastAsia"/>
                <w:b/>
                <w:bCs/>
                <w:color w:val="030405"/>
                <w:sz w:val="18"/>
                <w:szCs w:val="18"/>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443"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1</w:t>
            </w:r>
          </w:p>
        </w:tc>
        <w:tc>
          <w:tcPr>
            <w:tcW w:w="2730"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PLAN-2019-007071-000009</w:t>
            </w:r>
          </w:p>
        </w:tc>
        <w:tc>
          <w:tcPr>
            <w:tcW w:w="1620"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olor w:val="030405"/>
                <w:sz w:val="18"/>
                <w:szCs w:val="18"/>
              </w:rPr>
              <w:t>钢琴、奥尔夫乐器</w:t>
            </w:r>
          </w:p>
        </w:tc>
        <w:tc>
          <w:tcPr>
            <w:tcW w:w="735"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1</w:t>
            </w:r>
          </w:p>
        </w:tc>
        <w:tc>
          <w:tcPr>
            <w:tcW w:w="810"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批</w:t>
            </w:r>
          </w:p>
        </w:tc>
        <w:tc>
          <w:tcPr>
            <w:tcW w:w="1170" w:type="dxa"/>
            <w:vAlign w:val="center"/>
          </w:tcPr>
          <w:p>
            <w:pPr>
              <w:spacing w:line="240" w:lineRule="auto"/>
              <w:jc w:val="center"/>
              <w:rPr>
                <w:sz w:val="18"/>
                <w:szCs w:val="18"/>
              </w:rPr>
            </w:pPr>
            <w:r>
              <w:rPr>
                <w:rFonts w:hint="eastAsia"/>
                <w:sz w:val="18"/>
                <w:szCs w:val="18"/>
              </w:rPr>
              <w:t>不接受进口</w:t>
            </w:r>
          </w:p>
        </w:tc>
        <w:tc>
          <w:tcPr>
            <w:tcW w:w="2025" w:type="dxa"/>
            <w:vAlign w:val="center"/>
          </w:tcPr>
          <w:p>
            <w:pPr>
              <w:widowControl w:val="0"/>
              <w:shd w:val="clear" w:color="auto" w:fill="auto"/>
              <w:tabs>
                <w:tab w:val="clear" w:pos="426"/>
              </w:tabs>
              <w:adjustRightInd/>
              <w:snapToGrid/>
              <w:spacing w:line="240" w:lineRule="auto"/>
              <w:jc w:val="center"/>
              <w:rPr>
                <w:rFonts w:cs="Times New Roman"/>
                <w:szCs w:val="21"/>
              </w:rPr>
            </w:pPr>
            <w:r>
              <w:rPr>
                <w:rFonts w:hint="eastAsia" w:cs="Times New Roman"/>
                <w:szCs w:val="21"/>
              </w:rPr>
              <w:t>1,260,500.00</w:t>
            </w:r>
          </w:p>
        </w:tc>
      </w:tr>
    </w:tbl>
    <w:p>
      <w:pPr>
        <w:widowControl w:val="0"/>
        <w:numPr>
          <w:ilvl w:val="0"/>
          <w:numId w:val="27"/>
        </w:numPr>
        <w:shd w:val="clear" w:color="auto" w:fill="auto"/>
        <w:tabs>
          <w:tab w:val="clear" w:pos="426"/>
        </w:tabs>
        <w:adjustRightInd/>
        <w:snapToGrid/>
        <w:spacing w:before="120" w:beforeLines="50" w:line="300" w:lineRule="auto"/>
        <w:ind w:firstLine="422" w:firstLineChars="200"/>
        <w:rPr>
          <w:rFonts w:cs="Times New Roman"/>
          <w:b/>
          <w:bCs/>
          <w:kern w:val="2"/>
          <w:szCs w:val="21"/>
        </w:rPr>
      </w:pPr>
      <w:r>
        <w:rPr>
          <w:rFonts w:cs="Times New Roman"/>
          <w:b/>
          <w:bCs/>
          <w:kern w:val="2"/>
          <w:szCs w:val="21"/>
        </w:rPr>
        <w:t>货物清单</w:t>
      </w:r>
      <w:r>
        <w:rPr>
          <w:rFonts w:hint="eastAsia" w:cs="Times New Roman"/>
          <w:b/>
          <w:bCs/>
          <w:kern w:val="2"/>
          <w:szCs w:val="21"/>
        </w:rPr>
        <w:t>明细</w:t>
      </w:r>
    </w:p>
    <w:tbl>
      <w:tblPr>
        <w:tblStyle w:val="44"/>
        <w:tblW w:w="9519" w:type="dxa"/>
        <w:jc w:val="center"/>
        <w:tblInd w:w="0" w:type="dxa"/>
        <w:tblLayout w:type="fixed"/>
        <w:tblCellMar>
          <w:top w:w="0" w:type="dxa"/>
          <w:left w:w="0" w:type="dxa"/>
          <w:bottom w:w="0" w:type="dxa"/>
          <w:right w:w="0" w:type="dxa"/>
        </w:tblCellMar>
      </w:tblPr>
      <w:tblGrid>
        <w:gridCol w:w="439"/>
        <w:gridCol w:w="1514"/>
        <w:gridCol w:w="1916"/>
        <w:gridCol w:w="944"/>
        <w:gridCol w:w="889"/>
        <w:gridCol w:w="833"/>
        <w:gridCol w:w="1092"/>
        <w:gridCol w:w="632"/>
        <w:gridCol w:w="630"/>
        <w:gridCol w:w="630"/>
      </w:tblGrid>
      <w:tr>
        <w:tblPrEx>
          <w:tblLayout w:type="fixed"/>
          <w:tblCellMar>
            <w:top w:w="0" w:type="dxa"/>
            <w:left w:w="0" w:type="dxa"/>
            <w:bottom w:w="0" w:type="dxa"/>
            <w:right w:w="0" w:type="dxa"/>
          </w:tblCellMar>
        </w:tblPrEx>
        <w:trPr>
          <w:trHeight w:val="810"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设备名称</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技术规格</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滨河名苑园区数量</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心海城园区数量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亚迪园区数量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新城东方园区数量</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总数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备注</w:t>
            </w: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立式钢琴</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18</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9</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52</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三角钢琴</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1</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核心</w:t>
            </w:r>
          </w:p>
          <w:p>
            <w:pPr>
              <w:jc w:val="center"/>
              <w:textAlignment w:val="center"/>
              <w:rPr>
                <w:color w:val="000000"/>
                <w:sz w:val="20"/>
                <w:szCs w:val="20"/>
                <w:lang w:bidi="ar"/>
              </w:rPr>
            </w:pPr>
            <w:r>
              <w:rPr>
                <w:rFonts w:hint="eastAsia"/>
                <w:color w:val="000000"/>
                <w:sz w:val="20"/>
                <w:szCs w:val="20"/>
                <w:lang w:bidi="ar"/>
              </w:rPr>
              <w:t>产品</w:t>
            </w: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尤克里里</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40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160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手鼓</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铃鼓</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加长鱼蛙</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ascii="微软雅黑" w:hAnsi="微软雅黑" w:eastAsia="微软雅黑" w:cs="微软雅黑"/>
                <w:color w:val="000000"/>
                <w:sz w:val="20"/>
                <w:szCs w:val="20"/>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木制小沙球</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七铃手铃</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9</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二十一铃大棒铃</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8音颗铃</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套</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木制刮棒</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儿童打棒</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木质响板</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30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120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加沟单响筒</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双响筒</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低音方梆子</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17</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高音方梆子</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班戈鼓</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19</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非洲鼓</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高低梆子</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20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r>
              <w:rPr>
                <w:rFonts w:hint="eastAsia"/>
                <w:color w:val="000000"/>
                <w:szCs w:val="21"/>
                <w:lang w:bidi="ar"/>
              </w:rPr>
              <w:t>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三角铁</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付</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大棒钟</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67"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大雨声筒</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Cs w:val="21"/>
                <w:lang w:bidi="ar"/>
              </w:rPr>
              <w:t>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双排塑料铃圈</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2"/>
                <w:szCs w:val="22"/>
                <w:lang w:bidi="ar"/>
              </w:rPr>
              <w:t>25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木把金属珠子</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详见具体技术要求</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7</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28</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bl>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备注：</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1.注明“接受进口”的产品（产品名称）允许供应商选用进口产品参与投标，但不排斥国内产品。</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2.未注明“接受进口”的产品（产品名称）均不接受供应商选用进口产品参与投标。</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kern w:val="2"/>
          <w:szCs w:val="21"/>
        </w:rPr>
        <w:t>2007〕119 号文和财办库〔2008〕248 号文的相关规定为准。</w:t>
      </w:r>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4.本项目的核心产品详见货物清单一览表。当多家投标人提供的核心产品品牌相同的，按一家投标人计算。根据《政府采购货物和服务招标投标管理办法》（中华人民共和国财政部令第</w:t>
      </w:r>
      <w:r>
        <w:rPr>
          <w:rFonts w:cs="Times New Roman"/>
          <w:bCs/>
          <w:kern w:val="2"/>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cs="Times New Roman"/>
          <w:bCs/>
          <w:kern w:val="2"/>
          <w:szCs w:val="21"/>
        </w:rPr>
        <w:t>格。</w:t>
      </w:r>
    </w:p>
    <w:p>
      <w:pPr>
        <w:numPr>
          <w:ilvl w:val="0"/>
          <w:numId w:val="26"/>
        </w:numPr>
        <w:adjustRightInd/>
        <w:snapToGrid/>
        <w:spacing w:before="280" w:after="290" w:line="377" w:lineRule="auto"/>
        <w:jc w:val="left"/>
        <w:outlineLvl w:val="2"/>
        <w:rPr>
          <w:b/>
          <w:sz w:val="24"/>
        </w:rPr>
      </w:pPr>
      <w:r>
        <w:rPr>
          <w:rFonts w:hint="eastAsia"/>
          <w:b/>
          <w:sz w:val="24"/>
        </w:rPr>
        <w:t>实质性响应条款</w:t>
      </w:r>
    </w:p>
    <w:p>
      <w:pPr>
        <w:rPr>
          <w:b/>
          <w:szCs w:val="21"/>
        </w:rPr>
      </w:pPr>
      <w:r>
        <w:rPr>
          <w:rFonts w:hint="eastAsia"/>
          <w:b/>
          <w:szCs w:val="21"/>
        </w:rPr>
        <w:t>说明：1.</w:t>
      </w:r>
      <w:r>
        <w:rPr>
          <w:b/>
          <w:szCs w:val="21"/>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szCs w:val="21"/>
        </w:rPr>
        <w:t>。</w:t>
      </w:r>
    </w:p>
    <w:p>
      <w:r>
        <w:rPr>
          <w:rFonts w:hint="eastAsia"/>
          <w:b/>
          <w:szCs w:val="21"/>
        </w:rPr>
        <w:t>2.开标一览表中填写的“交货期”必须与本表的“交货期”一致。如不一致，以开标一览表填写的“交货期”为准。如开标一览表</w:t>
      </w:r>
      <w:r>
        <w:rPr>
          <w:rFonts w:hint="eastAsia"/>
          <w:b/>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39"/>
        <w:gridCol w:w="5595"/>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8" w:type="dxa"/>
            <w:vAlign w:val="center"/>
          </w:tcPr>
          <w:p>
            <w:pPr>
              <w:spacing w:line="240" w:lineRule="auto"/>
              <w:jc w:val="center"/>
              <w:rPr>
                <w:szCs w:val="21"/>
              </w:rPr>
            </w:pPr>
            <w:r>
              <w:rPr>
                <w:rFonts w:hint="eastAsia"/>
                <w:szCs w:val="21"/>
              </w:rPr>
              <w:t>序号</w:t>
            </w:r>
          </w:p>
        </w:tc>
        <w:tc>
          <w:tcPr>
            <w:tcW w:w="2239" w:type="dxa"/>
            <w:vAlign w:val="center"/>
          </w:tcPr>
          <w:p>
            <w:pPr>
              <w:spacing w:line="240" w:lineRule="auto"/>
              <w:jc w:val="center"/>
              <w:rPr>
                <w:szCs w:val="21"/>
              </w:rPr>
            </w:pPr>
            <w:r>
              <w:rPr>
                <w:rFonts w:hint="eastAsia"/>
                <w:szCs w:val="21"/>
              </w:rPr>
              <w:t>目录</w:t>
            </w:r>
          </w:p>
        </w:tc>
        <w:tc>
          <w:tcPr>
            <w:tcW w:w="5595" w:type="dxa"/>
            <w:vAlign w:val="center"/>
          </w:tcPr>
          <w:p>
            <w:pPr>
              <w:spacing w:line="240" w:lineRule="auto"/>
              <w:jc w:val="center"/>
              <w:rPr>
                <w:szCs w:val="21"/>
              </w:rPr>
            </w:pPr>
            <w:r>
              <w:rPr>
                <w:rFonts w:hint="eastAsia"/>
                <w:szCs w:val="21"/>
              </w:rPr>
              <w:t>实质性响应条款</w:t>
            </w:r>
          </w:p>
        </w:tc>
        <w:tc>
          <w:tcPr>
            <w:tcW w:w="718" w:type="dxa"/>
            <w:vAlign w:val="center"/>
          </w:tcPr>
          <w:p>
            <w:pPr>
              <w:spacing w:line="240" w:lineRule="auto"/>
              <w:jc w:val="center"/>
              <w:rPr>
                <w:szCs w:val="21"/>
              </w:rPr>
            </w:pPr>
            <w:r>
              <w:rPr>
                <w:rFonts w:hint="eastAsia"/>
                <w:szCs w:val="21"/>
              </w:rPr>
              <w:t>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8" w:type="dxa"/>
            <w:vAlign w:val="center"/>
          </w:tcPr>
          <w:p>
            <w:pPr>
              <w:spacing w:line="240" w:lineRule="auto"/>
              <w:jc w:val="center"/>
              <w:rPr>
                <w:szCs w:val="21"/>
              </w:rPr>
            </w:pPr>
            <w:r>
              <w:rPr>
                <w:rFonts w:hint="eastAsia"/>
                <w:szCs w:val="21"/>
              </w:rPr>
              <w:t>1</w:t>
            </w:r>
          </w:p>
        </w:tc>
        <w:tc>
          <w:tcPr>
            <w:tcW w:w="2239" w:type="dxa"/>
            <w:vAlign w:val="center"/>
          </w:tcPr>
          <w:p>
            <w:pPr>
              <w:spacing w:line="240" w:lineRule="auto"/>
              <w:rPr>
                <w:szCs w:val="21"/>
              </w:rPr>
            </w:pPr>
            <w:r>
              <w:rPr>
                <w:rFonts w:hint="eastAsia"/>
                <w:szCs w:val="21"/>
              </w:rPr>
              <w:t>关于免费保修期</w:t>
            </w:r>
          </w:p>
        </w:tc>
        <w:tc>
          <w:tcPr>
            <w:tcW w:w="5595" w:type="dxa"/>
            <w:vAlign w:val="center"/>
          </w:tcPr>
          <w:p>
            <w:pPr>
              <w:spacing w:line="240" w:lineRule="auto"/>
              <w:rPr>
                <w:b/>
                <w:szCs w:val="21"/>
              </w:rPr>
            </w:pPr>
            <w:r>
              <w:rPr>
                <w:rFonts w:hint="eastAsia"/>
                <w:bCs/>
                <w:szCs w:val="21"/>
              </w:rPr>
              <w:t>货物免费保修期</w:t>
            </w:r>
            <w:r>
              <w:rPr>
                <w:rFonts w:hint="eastAsia"/>
                <w:bCs/>
                <w:szCs w:val="21"/>
                <w:u w:val="single"/>
              </w:rPr>
              <w:t>3</w:t>
            </w:r>
            <w:r>
              <w:rPr>
                <w:rFonts w:hint="eastAsia"/>
                <w:bCs/>
                <w:szCs w:val="21"/>
              </w:rPr>
              <w:t>年，时间自最终验收合格并交付使用之日起计算。</w:t>
            </w:r>
          </w:p>
        </w:tc>
        <w:tc>
          <w:tcPr>
            <w:tcW w:w="718" w:type="dxa"/>
            <w:vAlign w:val="center"/>
          </w:tcPr>
          <w:p>
            <w:pPr>
              <w:spacing w:line="24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8" w:type="dxa"/>
            <w:vAlign w:val="center"/>
          </w:tcPr>
          <w:p>
            <w:pPr>
              <w:spacing w:line="240" w:lineRule="auto"/>
              <w:jc w:val="center"/>
              <w:rPr>
                <w:szCs w:val="21"/>
              </w:rPr>
            </w:pPr>
            <w:r>
              <w:rPr>
                <w:rFonts w:hint="eastAsia"/>
                <w:szCs w:val="21"/>
              </w:rPr>
              <w:t>2</w:t>
            </w:r>
          </w:p>
        </w:tc>
        <w:tc>
          <w:tcPr>
            <w:tcW w:w="2239" w:type="dxa"/>
            <w:vAlign w:val="center"/>
          </w:tcPr>
          <w:p>
            <w:pPr>
              <w:spacing w:line="240" w:lineRule="auto"/>
              <w:rPr>
                <w:szCs w:val="21"/>
              </w:rPr>
            </w:pPr>
            <w:r>
              <w:rPr>
                <w:rFonts w:hint="eastAsia"/>
                <w:szCs w:val="21"/>
              </w:rPr>
              <w:t>关于交货期</w:t>
            </w:r>
          </w:p>
        </w:tc>
        <w:tc>
          <w:tcPr>
            <w:tcW w:w="5595" w:type="dxa"/>
            <w:vAlign w:val="center"/>
          </w:tcPr>
          <w:p>
            <w:pPr>
              <w:spacing w:line="240" w:lineRule="auto"/>
              <w:rPr>
                <w:b/>
                <w:szCs w:val="21"/>
              </w:rPr>
            </w:pPr>
            <w:r>
              <w:rPr>
                <w:rFonts w:hint="eastAsia"/>
                <w:bCs/>
                <w:szCs w:val="21"/>
              </w:rPr>
              <w:t>签订合同后</w:t>
            </w:r>
            <w:r>
              <w:rPr>
                <w:rFonts w:hint="eastAsia"/>
                <w:bCs/>
                <w:szCs w:val="21"/>
                <w:u w:val="single"/>
              </w:rPr>
              <w:t>60</w:t>
            </w:r>
            <w:r>
              <w:rPr>
                <w:rFonts w:hint="eastAsia"/>
                <w:bCs/>
                <w:szCs w:val="21"/>
              </w:rPr>
              <w:t>天（日历日）内。</w:t>
            </w:r>
          </w:p>
        </w:tc>
        <w:tc>
          <w:tcPr>
            <w:tcW w:w="718" w:type="dxa"/>
            <w:vAlign w:val="center"/>
          </w:tcPr>
          <w:p>
            <w:pPr>
              <w:spacing w:line="240" w:lineRule="auto"/>
              <w:rPr>
                <w:b/>
                <w:szCs w:val="21"/>
              </w:rPr>
            </w:pPr>
          </w:p>
        </w:tc>
      </w:tr>
    </w:tbl>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备注：</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1.关于</w:t>
      </w:r>
      <w:r>
        <w:rPr>
          <w:rFonts w:hint="eastAsia" w:cs="Times New Roman"/>
          <w:kern w:val="2"/>
          <w:szCs w:val="21"/>
        </w:rPr>
        <w:t>《实质性响应条款》上述所列内容均为不可负偏离条款，如投标人该部分内容出现负偏离或未对该部分内容进行响应，按照《符合性审查表》要求将导致投标无效。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2.开标一览表中填写的“交货期”必须与本表的“交货期”一致。如不一致，以开标一览表填写的“交货期”为准。</w:t>
      </w:r>
      <w:r>
        <w:rPr>
          <w:rFonts w:hint="eastAsia" w:cs="Times New Roman"/>
          <w:kern w:val="2"/>
          <w:szCs w:val="21"/>
        </w:rPr>
        <w:t>如开标一览表载明的交货期超过招标文件规定的期限，根据《符合性审查表》要求将导致投标无效。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3.</w:t>
      </w:r>
      <w:r>
        <w:rPr>
          <w:rFonts w:hint="eastAsia" w:cs="Times New Roman"/>
          <w:kern w:val="2"/>
          <w:szCs w:val="21"/>
        </w:rPr>
        <w:t>评审委员会应依据《实质性响应条款》上述所列内容判定投标文件是否实质性满足招标文件的要求，《实质性响应条款》未涉及内容，</w:t>
      </w:r>
      <w:r>
        <w:rPr>
          <w:rFonts w:hint="eastAsia"/>
        </w:rPr>
        <w:t>不得作为</w:t>
      </w:r>
      <w:r>
        <w:rPr>
          <w:rFonts w:hint="eastAsia" w:cs="Times New Roman"/>
          <w:kern w:val="2"/>
          <w:szCs w:val="21"/>
        </w:rPr>
        <w:t>投标文件是否实质性满足招标文件的</w:t>
      </w:r>
      <w:r>
        <w:rPr>
          <w:rFonts w:hint="eastAsia"/>
        </w:rPr>
        <w:t>的判定条件。</w:t>
      </w:r>
    </w:p>
    <w:p>
      <w:pPr>
        <w:widowControl w:val="0"/>
        <w:shd w:val="clear" w:color="auto" w:fill="auto"/>
        <w:tabs>
          <w:tab w:val="clear" w:pos="426"/>
        </w:tabs>
        <w:adjustRightInd/>
        <w:snapToGrid/>
        <w:spacing w:before="120" w:beforeLines="50" w:line="300" w:lineRule="auto"/>
        <w:ind w:firstLine="426" w:firstLineChars="202"/>
        <w:rPr>
          <w:rFonts w:cs="Times New Roman"/>
          <w:b/>
          <w:kern w:val="2"/>
          <w:szCs w:val="21"/>
        </w:rPr>
      </w:pPr>
    </w:p>
    <w:p>
      <w:pPr>
        <w:numPr>
          <w:ilvl w:val="0"/>
          <w:numId w:val="26"/>
        </w:numPr>
        <w:adjustRightInd/>
        <w:snapToGrid/>
        <w:spacing w:before="280" w:after="290" w:line="377" w:lineRule="auto"/>
        <w:jc w:val="left"/>
        <w:outlineLvl w:val="2"/>
        <w:rPr>
          <w:b/>
          <w:sz w:val="24"/>
        </w:rPr>
      </w:pPr>
      <w:r>
        <w:rPr>
          <w:rFonts w:hint="eastAsia"/>
          <w:b/>
          <w:sz w:val="24"/>
        </w:rPr>
        <w:t>具体技术要求</w:t>
      </w:r>
    </w:p>
    <w:tbl>
      <w:tblPr>
        <w:tblStyle w:val="44"/>
        <w:tblW w:w="10250" w:type="dxa"/>
        <w:jc w:val="center"/>
        <w:tblInd w:w="2009" w:type="dxa"/>
        <w:tblLayout w:type="fixed"/>
        <w:tblCellMar>
          <w:top w:w="0" w:type="dxa"/>
          <w:left w:w="0" w:type="dxa"/>
          <w:bottom w:w="0" w:type="dxa"/>
          <w:right w:w="0" w:type="dxa"/>
        </w:tblCellMar>
      </w:tblPr>
      <w:tblGrid>
        <w:gridCol w:w="634"/>
        <w:gridCol w:w="991"/>
        <w:gridCol w:w="6705"/>
        <w:gridCol w:w="1920"/>
      </w:tblGrid>
      <w:tr>
        <w:tblPrEx>
          <w:tblLayout w:type="fixed"/>
          <w:tblCellMar>
            <w:top w:w="0" w:type="dxa"/>
            <w:left w:w="0" w:type="dxa"/>
            <w:bottom w:w="0" w:type="dxa"/>
            <w:right w:w="0" w:type="dxa"/>
          </w:tblCellMar>
        </w:tblPrEx>
        <w:trPr>
          <w:trHeight w:val="81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eastAsia="仿宋_GB2312" w:cs="仿宋_GB2312"/>
                <w:b/>
                <w:color w:val="000000"/>
                <w:sz w:val="22"/>
                <w:szCs w:val="22"/>
              </w:rPr>
            </w:pPr>
            <w:r>
              <w:rPr>
                <w:rFonts w:hint="eastAsia" w:ascii="仿宋_GB2312" w:eastAsia="仿宋_GB2312" w:cs="仿宋_GB2312"/>
                <w:b/>
                <w:color w:val="000000"/>
                <w:sz w:val="22"/>
                <w:szCs w:val="22"/>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eastAsia="仿宋_GB2312" w:cs="仿宋_GB2312"/>
                <w:b/>
                <w:color w:val="000000"/>
                <w:sz w:val="22"/>
                <w:szCs w:val="22"/>
              </w:rPr>
            </w:pPr>
            <w:r>
              <w:rPr>
                <w:rFonts w:hint="eastAsia" w:ascii="仿宋_GB2312" w:eastAsia="仿宋_GB2312" w:cs="仿宋_GB2312"/>
                <w:b/>
                <w:color w:val="000000"/>
                <w:sz w:val="22"/>
                <w:szCs w:val="22"/>
              </w:rPr>
              <w:t>设备名称</w:t>
            </w:r>
          </w:p>
        </w:tc>
        <w:tc>
          <w:tcPr>
            <w:tcW w:w="6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eastAsia="仿宋_GB2312" w:cs="仿宋_GB2312"/>
                <w:b/>
                <w:color w:val="000000"/>
                <w:sz w:val="22"/>
                <w:szCs w:val="22"/>
              </w:rPr>
            </w:pPr>
            <w:r>
              <w:rPr>
                <w:rFonts w:hint="eastAsia" w:ascii="仿宋_GB2312" w:eastAsia="仿宋_GB2312" w:cs="仿宋_GB2312"/>
                <w:b/>
                <w:color w:val="000000"/>
                <w:sz w:val="22"/>
                <w:szCs w:val="22"/>
              </w:rPr>
              <w:t>规格技术</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eastAsia="仿宋_GB2312" w:cs="仿宋_GB2312"/>
                <w:b/>
                <w:color w:val="000000"/>
                <w:sz w:val="22"/>
                <w:szCs w:val="22"/>
              </w:rPr>
            </w:pPr>
            <w:r>
              <w:rPr>
                <w:rFonts w:hint="eastAsia" w:ascii="仿宋_GB2312" w:eastAsia="仿宋_GB2312" w:cs="仿宋_GB2312"/>
                <w:b/>
                <w:color w:val="000000"/>
                <w:sz w:val="22"/>
                <w:szCs w:val="22"/>
              </w:rPr>
              <w:t>依情况附参考图片</w:t>
            </w:r>
          </w:p>
        </w:tc>
      </w:tr>
      <w:tr>
        <w:tblPrEx>
          <w:tblLayout w:type="fixed"/>
          <w:tblCellMar>
            <w:top w:w="0" w:type="dxa"/>
            <w:left w:w="0" w:type="dxa"/>
            <w:bottom w:w="0" w:type="dxa"/>
            <w:right w:w="0"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2"/>
                <w:szCs w:val="22"/>
                <w:lang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立式钢琴</w:t>
            </w:r>
          </w:p>
        </w:tc>
        <w:tc>
          <w:tcPr>
            <w:tcW w:w="6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color w:val="000000"/>
                <w:sz w:val="20"/>
                <w:szCs w:val="20"/>
                <w:lang w:bidi="ar"/>
              </w:rPr>
            </w:pPr>
            <w:r>
              <w:rPr>
                <w:rFonts w:hint="eastAsia"/>
                <w:color w:val="000000"/>
                <w:sz w:val="20"/>
                <w:szCs w:val="20"/>
                <w:lang w:bidi="ar"/>
              </w:rPr>
              <w:t>1、油漆：黑色PE不饱和树脂漆，漆黑且清澈透亮，硬度2H以上，以保证耐磨耐用。</w:t>
            </w:r>
            <w:r>
              <w:rPr>
                <w:rFonts w:hint="eastAsia"/>
                <w:color w:val="000000"/>
                <w:sz w:val="20"/>
                <w:szCs w:val="20"/>
                <w:lang w:bidi="ar"/>
              </w:rPr>
              <w:br w:type="textWrapping"/>
            </w:r>
            <w:r>
              <w:rPr>
                <w:rFonts w:hint="eastAsia"/>
                <w:color w:val="000000"/>
                <w:sz w:val="20"/>
                <w:szCs w:val="20"/>
                <w:lang w:bidi="ar"/>
              </w:rPr>
              <w:t>▲2、音板：选用天然优质云松实木复合而成，气候适应性强，共振性好，音源丰富。球形音板工艺，低中高音区的先天音色统一。</w:t>
            </w:r>
            <w:r>
              <w:rPr>
                <w:rFonts w:hint="eastAsia"/>
                <w:color w:val="000000"/>
                <w:sz w:val="20"/>
                <w:szCs w:val="20"/>
                <w:lang w:bidi="ar"/>
              </w:rPr>
              <w:br w:type="textWrapping"/>
            </w:r>
            <w:r>
              <w:rPr>
                <w:rFonts w:hint="eastAsia"/>
                <w:color w:val="000000"/>
                <w:sz w:val="20"/>
                <w:szCs w:val="20"/>
                <w:lang w:bidi="ar"/>
              </w:rPr>
              <w:t>3、桥码：A级色木</w:t>
            </w:r>
            <w:r>
              <w:rPr>
                <w:rFonts w:hint="eastAsia"/>
                <w:color w:val="000000"/>
                <w:sz w:val="20"/>
                <w:szCs w:val="20"/>
                <w:lang w:bidi="ar"/>
              </w:rPr>
              <w:br w:type="textWrapping"/>
            </w:r>
            <w:r>
              <w:rPr>
                <w:rFonts w:hint="eastAsia"/>
                <w:color w:val="000000"/>
                <w:sz w:val="20"/>
                <w:szCs w:val="20"/>
                <w:lang w:bidi="ar"/>
              </w:rPr>
              <w:t>4、钢板：用HT150材料铸制而成，承重力为16吨以上。</w:t>
            </w:r>
            <w:r>
              <w:rPr>
                <w:rFonts w:hint="eastAsia"/>
                <w:color w:val="000000"/>
                <w:sz w:val="20"/>
                <w:szCs w:val="20"/>
                <w:lang w:bidi="ar"/>
              </w:rPr>
              <w:br w:type="textWrapping"/>
            </w:r>
            <w:r>
              <w:rPr>
                <w:rFonts w:hint="eastAsia"/>
                <w:color w:val="000000"/>
                <w:sz w:val="20"/>
                <w:szCs w:val="20"/>
                <w:lang w:bidi="ar"/>
              </w:rPr>
              <w:t>▲5、琴弦：采用优质钢丝，悬臂式结构，最大张力145Kg以上，最小张力不少于50Kg。</w:t>
            </w:r>
            <w:r>
              <w:rPr>
                <w:rFonts w:hint="eastAsia"/>
                <w:color w:val="000000"/>
                <w:sz w:val="20"/>
                <w:szCs w:val="20"/>
                <w:lang w:bidi="ar"/>
              </w:rPr>
              <w:br w:type="textWrapping"/>
            </w:r>
            <w:r>
              <w:rPr>
                <w:rFonts w:hint="eastAsia"/>
                <w:color w:val="000000"/>
                <w:sz w:val="20"/>
                <w:szCs w:val="20"/>
                <w:lang w:bidi="ar"/>
              </w:rPr>
              <w:t>▲6、击弦机:(1)击弦机采用新材料ABS，弦槌击弦距离不少于43mm，弦槌无晃动；(2)止音器呢毡，平音头毡密度为0.16～0.22MM，三角毡密度为0.25mm～0.30mm；(3)色泽均匀一致，无分层，调整到位后，制音头离弦、贴弦一致，动作整齐、有效。(4)各部位采用专用呢，选用比木料耐久性更高的金属和塑料部件。</w:t>
            </w:r>
            <w:r>
              <w:rPr>
                <w:rFonts w:hint="eastAsia"/>
                <w:color w:val="000000"/>
                <w:sz w:val="20"/>
                <w:szCs w:val="20"/>
                <w:lang w:bidi="ar"/>
              </w:rPr>
              <w:br w:type="textWrapping"/>
            </w:r>
            <w:r>
              <w:rPr>
                <w:rFonts w:hint="eastAsia"/>
                <w:color w:val="000000"/>
                <w:sz w:val="20"/>
                <w:szCs w:val="20"/>
                <w:lang w:bidi="ar"/>
              </w:rPr>
              <w:t>7、弦槌：采用白木制作，呢毡密度为0.4～0.9R的钢琴弦槌呢毡，色泽均匀一致，音色甜美、柔和，经久耐用。</w:t>
            </w:r>
            <w:r>
              <w:rPr>
                <w:rFonts w:hint="eastAsia"/>
                <w:color w:val="000000"/>
                <w:sz w:val="20"/>
                <w:szCs w:val="20"/>
                <w:lang w:bidi="ar"/>
              </w:rPr>
              <w:br w:type="textWrapping"/>
            </w:r>
            <w:r>
              <w:rPr>
                <w:rFonts w:hint="eastAsia"/>
                <w:color w:val="000000"/>
                <w:sz w:val="20"/>
                <w:szCs w:val="20"/>
                <w:lang w:bidi="ar"/>
              </w:rPr>
              <w:t>8、键盘：键盘经过先进的干燥，防潮处理，大幅提升键盘质量的稳定性。白键采用独特的三层交错裁切胶合技术。黑键为普通键，拥有优质上佳的触感。键皮采用塑料材料，键盘表面硬度为2H以上，以提高键皮表面的耐磨性和耐用性。</w:t>
            </w:r>
            <w:r>
              <w:rPr>
                <w:rFonts w:hint="eastAsia"/>
                <w:color w:val="000000"/>
                <w:sz w:val="20"/>
                <w:szCs w:val="20"/>
                <w:lang w:bidi="ar"/>
              </w:rPr>
              <w:br w:type="textWrapping"/>
            </w:r>
            <w:r>
              <w:rPr>
                <w:rFonts w:hint="eastAsia"/>
                <w:color w:val="000000"/>
                <w:sz w:val="20"/>
                <w:szCs w:val="20"/>
                <w:lang w:bidi="ar"/>
              </w:rPr>
              <w:t>▲9、中盘：采用中盘加固设计，外观呈“T”字型，利于中盘加固，不易变形。选用实木拼板结合使其耐变形。</w:t>
            </w:r>
            <w:r>
              <w:rPr>
                <w:rFonts w:hint="eastAsia"/>
                <w:color w:val="000000"/>
                <w:sz w:val="20"/>
                <w:szCs w:val="20"/>
                <w:lang w:bidi="ar"/>
              </w:rPr>
              <w:br w:type="textWrapping"/>
            </w:r>
            <w:r>
              <w:rPr>
                <w:rFonts w:hint="eastAsia"/>
                <w:color w:val="000000"/>
                <w:sz w:val="20"/>
                <w:szCs w:val="20"/>
                <w:lang w:bidi="ar"/>
              </w:rPr>
              <w:t>10、踏板：镀金踏板控制性能强，踏下踏板无杂音，力度控制舒适，琴槌的有效击程比例均匀，延音止音性能高效。</w:t>
            </w:r>
            <w:r>
              <w:rPr>
                <w:rFonts w:hint="eastAsia"/>
                <w:color w:val="000000"/>
                <w:sz w:val="20"/>
                <w:szCs w:val="20"/>
                <w:lang w:bidi="ar"/>
              </w:rPr>
              <w:br w:type="textWrapping"/>
            </w:r>
            <w:r>
              <w:rPr>
                <w:rFonts w:hint="eastAsia"/>
                <w:color w:val="000000"/>
                <w:sz w:val="20"/>
                <w:szCs w:val="20"/>
                <w:lang w:bidi="ar"/>
              </w:rPr>
              <w:t>11、五金件：白铜脚踏板、脚轮等五金件，经过防锈、防氧化处理，部分部件镀金处理。</w:t>
            </w:r>
            <w:r>
              <w:rPr>
                <w:rFonts w:hint="eastAsia"/>
                <w:color w:val="000000"/>
                <w:sz w:val="20"/>
                <w:szCs w:val="20"/>
                <w:lang w:bidi="ar"/>
              </w:rPr>
              <w:br w:type="textWrapping"/>
            </w:r>
            <w:r>
              <w:rPr>
                <w:rFonts w:hint="eastAsia"/>
                <w:color w:val="000000"/>
                <w:sz w:val="20"/>
                <w:szCs w:val="20"/>
                <w:lang w:bidi="ar"/>
              </w:rPr>
              <w:t>12、弦轴板：高品质枫木、榉木热压粘合弦轴板，确保钢琴突出稳定性。</w:t>
            </w:r>
            <w:r>
              <w:rPr>
                <w:rFonts w:hint="eastAsia"/>
                <w:color w:val="000000"/>
                <w:sz w:val="20"/>
                <w:szCs w:val="20"/>
                <w:lang w:bidi="ar"/>
              </w:rPr>
              <w:br w:type="textWrapping"/>
            </w:r>
            <w:r>
              <w:rPr>
                <w:rFonts w:hint="eastAsia"/>
                <w:color w:val="000000"/>
                <w:sz w:val="20"/>
                <w:szCs w:val="20"/>
                <w:lang w:bidi="ar"/>
              </w:rPr>
              <w:t>13、弦轴木套：所有弦轴木套无开裂。</w:t>
            </w:r>
            <w:r>
              <w:rPr>
                <w:rFonts w:hint="eastAsia"/>
                <w:color w:val="000000"/>
                <w:sz w:val="20"/>
                <w:szCs w:val="20"/>
                <w:lang w:bidi="ar"/>
              </w:rPr>
              <w:br w:type="textWrapping"/>
            </w:r>
            <w:r>
              <w:rPr>
                <w:rFonts w:hint="eastAsia"/>
                <w:color w:val="000000"/>
                <w:sz w:val="20"/>
                <w:szCs w:val="20"/>
                <w:lang w:bidi="ar"/>
              </w:rPr>
              <w:t>14、踏板连接杆：采用不锈钢金属制造，耐用性强，脚踏负荷在3.5KG±0.5KG左右。</w:t>
            </w:r>
            <w:r>
              <w:rPr>
                <w:rFonts w:hint="eastAsia"/>
                <w:color w:val="000000"/>
                <w:sz w:val="20"/>
                <w:szCs w:val="20"/>
                <w:lang w:bidi="ar"/>
              </w:rPr>
              <w:br w:type="textWrapping"/>
            </w:r>
            <w:r>
              <w:rPr>
                <w:rFonts w:hint="eastAsia"/>
                <w:color w:val="000000"/>
                <w:sz w:val="20"/>
                <w:szCs w:val="20"/>
                <w:lang w:bidi="ar"/>
              </w:rPr>
              <w:t>15、环保工艺：钢琴外壳及部件添加甲醛缓释涂层工艺，有效降低钢琴油漆有害气体排放，辅助挥发，使产品有害物质含量降低到国际钢琴标准以下。</w:t>
            </w:r>
            <w:r>
              <w:rPr>
                <w:rFonts w:hint="eastAsia"/>
                <w:color w:val="000000"/>
                <w:sz w:val="20"/>
                <w:szCs w:val="20"/>
                <w:lang w:bidi="ar"/>
              </w:rPr>
              <w:br w:type="textWrapping"/>
            </w:r>
            <w:r>
              <w:rPr>
                <w:rFonts w:hint="eastAsia"/>
                <w:color w:val="000000"/>
                <w:sz w:val="20"/>
                <w:szCs w:val="20"/>
                <w:lang w:bidi="ar"/>
              </w:rPr>
              <w:t>16、调音：钢琴经过7次调律，大师整理，保证音色手感完美统一，品质卓越。</w:t>
            </w:r>
            <w:r>
              <w:rPr>
                <w:rFonts w:hint="eastAsia"/>
                <w:color w:val="000000"/>
                <w:sz w:val="20"/>
                <w:szCs w:val="20"/>
                <w:lang w:bidi="ar"/>
              </w:rPr>
              <w:br w:type="textWrapping"/>
            </w:r>
            <w:r>
              <w:rPr>
                <w:rFonts w:hint="eastAsia"/>
                <w:color w:val="000000"/>
                <w:sz w:val="20"/>
                <w:szCs w:val="20"/>
                <w:lang w:bidi="ar"/>
              </w:rPr>
              <w:t>17、钢琴背架框由白松木制作而成，采用榫卯法制造完成，使钢琴琴律更加稳定，延长了钢琴使用寿命及整体稳定性。</w:t>
            </w:r>
            <w:r>
              <w:rPr>
                <w:rFonts w:hint="eastAsia"/>
                <w:color w:val="000000"/>
                <w:sz w:val="20"/>
                <w:szCs w:val="20"/>
                <w:lang w:bidi="ar"/>
              </w:rPr>
              <w:br w:type="textWrapping"/>
            </w:r>
            <w:r>
              <w:rPr>
                <w:rFonts w:hint="eastAsia"/>
                <w:color w:val="000000"/>
                <w:sz w:val="20"/>
                <w:szCs w:val="20"/>
                <w:lang w:bidi="ar"/>
              </w:rPr>
              <w:t>▲18、缓降装置：特有液压缓降器，防止琴盖伤手。</w:t>
            </w:r>
            <w:r>
              <w:rPr>
                <w:rFonts w:hint="eastAsia"/>
                <w:color w:val="000000"/>
                <w:sz w:val="20"/>
                <w:szCs w:val="20"/>
                <w:lang w:bidi="ar"/>
              </w:rPr>
              <w:br w:type="textWrapping"/>
            </w:r>
            <w:r>
              <w:rPr>
                <w:rFonts w:hint="eastAsia"/>
                <w:color w:val="000000"/>
                <w:sz w:val="20"/>
                <w:szCs w:val="20"/>
                <w:lang w:bidi="ar"/>
              </w:rPr>
              <w:t>19、配件：琴凳、琴罩、琴键布、脚垫、擦琴布、钢琴业用蜡水。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right="430" w:rightChars="205"/>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_GB2312" w:eastAsia="仿宋_GB2312" w:cs="仿宋_GB2312"/>
                <w:color w:val="000000"/>
                <w:sz w:val="24"/>
              </w:rPr>
            </w:pPr>
            <w:r>
              <w:rPr>
                <w:rFonts w:hint="eastAsia"/>
                <w:color w:val="000000"/>
                <w:sz w:val="22"/>
                <w:szCs w:val="22"/>
                <w:lang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三角钢琴</w:t>
            </w:r>
          </w:p>
          <w:p>
            <w:pPr>
              <w:jc w:val="center"/>
              <w:textAlignment w:val="center"/>
              <w:rPr>
                <w:color w:val="000000"/>
                <w:sz w:val="20"/>
                <w:szCs w:val="20"/>
              </w:rPr>
            </w:pPr>
            <w:r>
              <w:rPr>
                <w:rFonts w:hint="eastAsia"/>
                <w:color w:val="000000"/>
                <w:sz w:val="20"/>
                <w:szCs w:val="20"/>
                <w:lang w:bidi="ar"/>
              </w:rPr>
              <w:t>（核心产品）</w:t>
            </w:r>
          </w:p>
        </w:tc>
        <w:tc>
          <w:tcPr>
            <w:tcW w:w="6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color w:val="000000"/>
                <w:sz w:val="20"/>
                <w:szCs w:val="20"/>
              </w:rPr>
            </w:pPr>
            <w:r>
              <w:rPr>
                <w:rFonts w:hint="eastAsia"/>
                <w:color w:val="000000"/>
                <w:sz w:val="20"/>
                <w:szCs w:val="20"/>
                <w:lang w:bidi="ar"/>
              </w:rPr>
              <w:t>1、油漆：黑色PE不饱和树脂漆，漆黑且清澈透亮，硬度2H以上，以保证耐磨耐用。</w:t>
            </w:r>
            <w:r>
              <w:rPr>
                <w:rFonts w:hint="eastAsia"/>
                <w:color w:val="000000"/>
                <w:sz w:val="20"/>
                <w:szCs w:val="20"/>
                <w:lang w:bidi="ar"/>
              </w:rPr>
              <w:br w:type="textWrapping"/>
            </w:r>
            <w:r>
              <w:rPr>
                <w:rFonts w:hint="eastAsia"/>
                <w:color w:val="000000"/>
                <w:sz w:val="20"/>
                <w:szCs w:val="20"/>
                <w:lang w:bidi="ar"/>
              </w:rPr>
              <w:t>▲2、音板：选用天然优质云松实木复合而成，气候适应性强，共振性好，音源丰富。球形音板工艺，低中高音区的先天音色统一。</w:t>
            </w:r>
            <w:r>
              <w:rPr>
                <w:rFonts w:hint="eastAsia"/>
                <w:color w:val="000000"/>
                <w:sz w:val="20"/>
                <w:szCs w:val="20"/>
                <w:lang w:bidi="ar"/>
              </w:rPr>
              <w:br w:type="textWrapping"/>
            </w:r>
            <w:r>
              <w:rPr>
                <w:rFonts w:hint="eastAsia"/>
                <w:color w:val="000000"/>
                <w:sz w:val="20"/>
                <w:szCs w:val="20"/>
                <w:lang w:bidi="ar"/>
              </w:rPr>
              <w:t>3、桥码：A级色木</w:t>
            </w:r>
            <w:r>
              <w:rPr>
                <w:rFonts w:hint="eastAsia"/>
                <w:color w:val="000000"/>
                <w:sz w:val="20"/>
                <w:szCs w:val="20"/>
                <w:lang w:bidi="ar"/>
              </w:rPr>
              <w:br w:type="textWrapping"/>
            </w:r>
            <w:r>
              <w:rPr>
                <w:rFonts w:hint="eastAsia"/>
                <w:color w:val="000000"/>
                <w:sz w:val="20"/>
                <w:szCs w:val="20"/>
                <w:lang w:bidi="ar"/>
              </w:rPr>
              <w:t>4、钢板：用HT150材料铸制而成，承重力为16吨以上。</w:t>
            </w:r>
            <w:r>
              <w:rPr>
                <w:rFonts w:hint="eastAsia"/>
                <w:color w:val="000000"/>
                <w:sz w:val="20"/>
                <w:szCs w:val="20"/>
                <w:lang w:bidi="ar"/>
              </w:rPr>
              <w:br w:type="textWrapping"/>
            </w:r>
            <w:r>
              <w:rPr>
                <w:rFonts w:hint="eastAsia"/>
                <w:color w:val="000000"/>
                <w:sz w:val="20"/>
                <w:szCs w:val="20"/>
                <w:lang w:bidi="ar"/>
              </w:rPr>
              <w:t>▲5、琴弦：采用优质钢丝，悬臂式结构，最大张力145Kg以上，最小张力不少于50Kg。</w:t>
            </w:r>
            <w:r>
              <w:rPr>
                <w:rFonts w:hint="eastAsia"/>
                <w:color w:val="000000"/>
                <w:sz w:val="20"/>
                <w:szCs w:val="20"/>
                <w:lang w:bidi="ar"/>
              </w:rPr>
              <w:br w:type="textWrapping"/>
            </w:r>
            <w:r>
              <w:rPr>
                <w:rFonts w:hint="eastAsia"/>
                <w:color w:val="000000"/>
                <w:sz w:val="20"/>
                <w:szCs w:val="20"/>
                <w:lang w:bidi="ar"/>
              </w:rPr>
              <w:t>▲6、击弦机:(1)击弦机采用新材料ABS，弦槌击弦距离不少于43mm，弦槌无晃动；(2)止音器呢毡，平音头毡密度为0.16～0.22MM，三角毡密度为0.25mm～0.30mm；(3)色泽均匀一致，无分层，调整到位后，制音头离弦、贴弦一致，动作整齐、有效。(4)各部位采用专用呢，选用比木料耐久性更高的金属和塑料部件。</w:t>
            </w:r>
            <w:r>
              <w:rPr>
                <w:rFonts w:hint="eastAsia"/>
                <w:color w:val="000000"/>
                <w:sz w:val="20"/>
                <w:szCs w:val="20"/>
                <w:lang w:bidi="ar"/>
              </w:rPr>
              <w:br w:type="textWrapping"/>
            </w:r>
            <w:r>
              <w:rPr>
                <w:rFonts w:hint="eastAsia"/>
                <w:color w:val="000000"/>
                <w:sz w:val="20"/>
                <w:szCs w:val="20"/>
                <w:lang w:bidi="ar"/>
              </w:rPr>
              <w:t>7、弦槌：采用白木制作，呢毡密度为0.4～0.9R的钢琴弦槌呢毡，色泽均匀一致，音色甜美、柔和，经久耐用。</w:t>
            </w:r>
            <w:r>
              <w:rPr>
                <w:rFonts w:hint="eastAsia"/>
                <w:color w:val="000000"/>
                <w:sz w:val="20"/>
                <w:szCs w:val="20"/>
                <w:lang w:bidi="ar"/>
              </w:rPr>
              <w:br w:type="textWrapping"/>
            </w:r>
            <w:r>
              <w:rPr>
                <w:rFonts w:hint="eastAsia"/>
                <w:color w:val="000000"/>
                <w:sz w:val="20"/>
                <w:szCs w:val="20"/>
                <w:lang w:bidi="ar"/>
              </w:rPr>
              <w:t>8、键盘：键盘经过先进的干燥，防潮处理，大幅提升键盘质量的稳定性。白键采用独特的三层交错裁切胶合技术。黑键为普通键，拥有优质上佳的触感。键皮采用塑料材料，键盘表面硬度为2H以上，以提高键皮表面的耐磨性和耐用性。</w:t>
            </w:r>
            <w:r>
              <w:rPr>
                <w:rFonts w:hint="eastAsia"/>
                <w:color w:val="000000"/>
                <w:sz w:val="20"/>
                <w:szCs w:val="20"/>
                <w:lang w:bidi="ar"/>
              </w:rPr>
              <w:br w:type="textWrapping"/>
            </w:r>
            <w:r>
              <w:rPr>
                <w:rFonts w:hint="eastAsia"/>
                <w:color w:val="000000"/>
                <w:sz w:val="20"/>
                <w:szCs w:val="20"/>
                <w:lang w:bidi="ar"/>
              </w:rPr>
              <w:t>▲9、中盘：采用中盘加固设计，外观呈“T”字型，利于中盘加固，不易变形。选用实木拼板结合使其耐变形。</w:t>
            </w:r>
            <w:r>
              <w:rPr>
                <w:rFonts w:hint="eastAsia"/>
                <w:color w:val="000000"/>
                <w:sz w:val="20"/>
                <w:szCs w:val="20"/>
                <w:lang w:bidi="ar"/>
              </w:rPr>
              <w:br w:type="textWrapping"/>
            </w:r>
            <w:r>
              <w:rPr>
                <w:rFonts w:hint="eastAsia"/>
                <w:color w:val="000000"/>
                <w:sz w:val="20"/>
                <w:szCs w:val="20"/>
                <w:lang w:bidi="ar"/>
              </w:rPr>
              <w:t>10、踏板：镀金踏板控制性能强，踏下踏板无杂音，力度控制舒适，琴槌的有效击程比例均匀，延音止音性能高效。</w:t>
            </w:r>
            <w:r>
              <w:rPr>
                <w:rFonts w:hint="eastAsia"/>
                <w:color w:val="000000"/>
                <w:sz w:val="20"/>
                <w:szCs w:val="20"/>
                <w:lang w:bidi="ar"/>
              </w:rPr>
              <w:br w:type="textWrapping"/>
            </w:r>
            <w:r>
              <w:rPr>
                <w:rFonts w:hint="eastAsia"/>
                <w:color w:val="000000"/>
                <w:sz w:val="20"/>
                <w:szCs w:val="20"/>
                <w:lang w:bidi="ar"/>
              </w:rPr>
              <w:t>11、五金件：白铜脚踏板、脚轮等五金件，经过防锈、防氧化处理，部分部件镀金处理。</w:t>
            </w:r>
            <w:r>
              <w:rPr>
                <w:rFonts w:hint="eastAsia"/>
                <w:color w:val="000000"/>
                <w:sz w:val="20"/>
                <w:szCs w:val="20"/>
                <w:lang w:bidi="ar"/>
              </w:rPr>
              <w:br w:type="textWrapping"/>
            </w:r>
            <w:r>
              <w:rPr>
                <w:rFonts w:hint="eastAsia"/>
                <w:color w:val="000000"/>
                <w:sz w:val="20"/>
                <w:szCs w:val="20"/>
                <w:lang w:bidi="ar"/>
              </w:rPr>
              <w:t>12、弦轴板：高品质枫木、榉木热压粘合弦轴板，确保钢琴突出稳定性。</w:t>
            </w:r>
            <w:r>
              <w:rPr>
                <w:rFonts w:hint="eastAsia"/>
                <w:color w:val="000000"/>
                <w:sz w:val="20"/>
                <w:szCs w:val="20"/>
                <w:lang w:bidi="ar"/>
              </w:rPr>
              <w:br w:type="textWrapping"/>
            </w:r>
            <w:r>
              <w:rPr>
                <w:rFonts w:hint="eastAsia"/>
                <w:color w:val="000000"/>
                <w:sz w:val="20"/>
                <w:szCs w:val="20"/>
                <w:lang w:bidi="ar"/>
              </w:rPr>
              <w:t>13、弦轴木套：所有弦轴木套无开裂。</w:t>
            </w:r>
            <w:r>
              <w:rPr>
                <w:rFonts w:hint="eastAsia"/>
                <w:color w:val="000000"/>
                <w:sz w:val="20"/>
                <w:szCs w:val="20"/>
                <w:lang w:bidi="ar"/>
              </w:rPr>
              <w:br w:type="textWrapping"/>
            </w:r>
            <w:r>
              <w:rPr>
                <w:rFonts w:hint="eastAsia"/>
                <w:color w:val="000000"/>
                <w:sz w:val="20"/>
                <w:szCs w:val="20"/>
                <w:lang w:bidi="ar"/>
              </w:rPr>
              <w:t>14、踏板连接杆：采用不锈钢金属制造，耐用性强，脚踏负荷在3.5KG±0.5KG左右。</w:t>
            </w:r>
            <w:r>
              <w:rPr>
                <w:rFonts w:hint="eastAsia"/>
                <w:color w:val="000000"/>
                <w:sz w:val="20"/>
                <w:szCs w:val="20"/>
                <w:lang w:bidi="ar"/>
              </w:rPr>
              <w:br w:type="textWrapping"/>
            </w:r>
            <w:r>
              <w:rPr>
                <w:rFonts w:hint="eastAsia"/>
                <w:color w:val="000000"/>
                <w:sz w:val="20"/>
                <w:szCs w:val="20"/>
                <w:lang w:bidi="ar"/>
              </w:rPr>
              <w:t>15、环保工艺：钢琴外壳及部件添加甲醛缓释涂层工艺，有效降低钢琴油漆有害气体排放，辅助挥发，使产品有害物质含量降低到国际钢琴标准以下。</w:t>
            </w:r>
            <w:r>
              <w:rPr>
                <w:rFonts w:hint="eastAsia"/>
                <w:color w:val="000000"/>
                <w:sz w:val="20"/>
                <w:szCs w:val="20"/>
                <w:lang w:bidi="ar"/>
              </w:rPr>
              <w:br w:type="textWrapping"/>
            </w:r>
            <w:r>
              <w:rPr>
                <w:rFonts w:hint="eastAsia"/>
                <w:color w:val="000000"/>
                <w:sz w:val="20"/>
                <w:szCs w:val="20"/>
                <w:lang w:bidi="ar"/>
              </w:rPr>
              <w:t>16、调音：钢琴经过7次调律，大师整理，保证音色手感完美统一，品质卓越。</w:t>
            </w:r>
            <w:r>
              <w:rPr>
                <w:rFonts w:hint="eastAsia"/>
                <w:color w:val="000000"/>
                <w:sz w:val="20"/>
                <w:szCs w:val="20"/>
                <w:lang w:bidi="ar"/>
              </w:rPr>
              <w:br w:type="textWrapping"/>
            </w:r>
            <w:r>
              <w:rPr>
                <w:rFonts w:hint="eastAsia"/>
                <w:color w:val="000000"/>
                <w:sz w:val="20"/>
                <w:szCs w:val="20"/>
                <w:lang w:bidi="ar"/>
              </w:rPr>
              <w:t>17、钢琴背架框由白松木制作而成，采用榫卯法制造完成，使钢琴琴律更加稳定，延长了钢琴使用寿命及整体稳定性。</w:t>
            </w:r>
            <w:r>
              <w:rPr>
                <w:rFonts w:hint="eastAsia"/>
                <w:color w:val="000000"/>
                <w:sz w:val="20"/>
                <w:szCs w:val="20"/>
                <w:lang w:bidi="ar"/>
              </w:rPr>
              <w:br w:type="textWrapping"/>
            </w:r>
            <w:r>
              <w:rPr>
                <w:rFonts w:hint="eastAsia"/>
                <w:color w:val="000000"/>
                <w:sz w:val="20"/>
                <w:szCs w:val="20"/>
                <w:lang w:bidi="ar"/>
              </w:rPr>
              <w:t>▲18、缓降装置：特有液压缓降器，防止琴盖伤手。</w:t>
            </w:r>
            <w:r>
              <w:rPr>
                <w:rFonts w:hint="eastAsia"/>
                <w:color w:val="000000"/>
                <w:sz w:val="20"/>
                <w:szCs w:val="20"/>
                <w:lang w:bidi="ar"/>
              </w:rPr>
              <w:br w:type="textWrapping"/>
            </w:r>
            <w:r>
              <w:rPr>
                <w:rFonts w:hint="eastAsia"/>
                <w:color w:val="000000"/>
                <w:sz w:val="20"/>
                <w:szCs w:val="20"/>
                <w:lang w:bidi="ar"/>
              </w:rPr>
              <w:t>19、配件：琴凳、琴罩、琴键布、脚垫、擦琴布、钢琴业用蜡水。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000000"/>
                <w:sz w:val="22"/>
                <w:szCs w:val="22"/>
              </w:rPr>
            </w:pPr>
            <w:r>
              <w:rPr>
                <w:rFonts w:hint="eastAsia"/>
                <w:color w:val="000000"/>
                <w:sz w:val="22"/>
                <w:szCs w:val="22"/>
                <w:lang w:bidi="ar"/>
              </w:rPr>
              <w:t>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rPr>
            </w:pPr>
            <w:r>
              <w:rPr>
                <w:rFonts w:hint="eastAsia"/>
                <w:color w:val="000000"/>
                <w:sz w:val="20"/>
                <w:szCs w:val="20"/>
                <w:lang w:bidi="ar"/>
              </w:rPr>
              <w:t>尤克里里</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rPr>
            </w:pPr>
            <w:r>
              <w:rPr>
                <w:rFonts w:hint="eastAsia"/>
                <w:color w:val="000000"/>
                <w:sz w:val="20"/>
                <w:szCs w:val="20"/>
                <w:lang w:bidi="ar"/>
              </w:rPr>
              <w:t>尺寸：23寸</w:t>
            </w:r>
            <w:r>
              <w:rPr>
                <w:rFonts w:hint="eastAsia"/>
                <w:color w:val="000000"/>
                <w:sz w:val="20"/>
                <w:szCs w:val="20"/>
                <w:lang w:bidi="ar"/>
              </w:rPr>
              <w:br w:type="textWrapping"/>
            </w:r>
            <w:r>
              <w:rPr>
                <w:rFonts w:hint="eastAsia"/>
                <w:color w:val="000000"/>
                <w:sz w:val="20"/>
                <w:szCs w:val="20"/>
                <w:lang w:bidi="ar"/>
              </w:rPr>
              <w:t>1、面、底侧板：桃花芯木</w:t>
            </w:r>
            <w:r>
              <w:rPr>
                <w:rFonts w:hint="eastAsia"/>
                <w:color w:val="000000"/>
                <w:sz w:val="20"/>
                <w:szCs w:val="20"/>
                <w:lang w:bidi="ar"/>
              </w:rPr>
              <w:br w:type="textWrapping"/>
            </w:r>
            <w:r>
              <w:rPr>
                <w:rFonts w:hint="eastAsia"/>
                <w:color w:val="000000"/>
                <w:sz w:val="20"/>
                <w:szCs w:val="20"/>
                <w:lang w:bidi="ar"/>
              </w:rPr>
              <w:t>2、琴颈：奥古曼</w:t>
            </w:r>
            <w:r>
              <w:rPr>
                <w:rFonts w:hint="eastAsia"/>
                <w:color w:val="000000"/>
                <w:sz w:val="20"/>
                <w:szCs w:val="20"/>
                <w:lang w:bidi="ar"/>
              </w:rPr>
              <w:br w:type="textWrapping"/>
            </w:r>
            <w:r>
              <w:rPr>
                <w:rFonts w:hint="eastAsia"/>
                <w:color w:val="000000"/>
                <w:sz w:val="20"/>
                <w:szCs w:val="20"/>
                <w:lang w:bidi="ar"/>
              </w:rPr>
              <w:t>3、指板/下码：玫瑰木</w:t>
            </w:r>
            <w:r>
              <w:rPr>
                <w:rFonts w:hint="eastAsia"/>
                <w:color w:val="000000"/>
                <w:sz w:val="20"/>
                <w:szCs w:val="20"/>
                <w:lang w:bidi="ar"/>
              </w:rPr>
              <w:br w:type="textWrapping"/>
            </w:r>
            <w:r>
              <w:rPr>
                <w:rFonts w:hint="eastAsia"/>
                <w:color w:val="000000"/>
                <w:sz w:val="20"/>
                <w:szCs w:val="20"/>
                <w:lang w:bidi="ar"/>
              </w:rPr>
              <w:t>4、上下枕：牛骨</w:t>
            </w:r>
            <w:r>
              <w:rPr>
                <w:rFonts w:hint="eastAsia"/>
                <w:color w:val="000000"/>
                <w:sz w:val="20"/>
                <w:szCs w:val="20"/>
                <w:lang w:bidi="ar"/>
              </w:rPr>
              <w:br w:type="textWrapping"/>
            </w:r>
            <w:r>
              <w:rPr>
                <w:rFonts w:hint="eastAsia"/>
                <w:color w:val="000000"/>
                <w:sz w:val="20"/>
                <w:szCs w:val="20"/>
                <w:lang w:bidi="ar"/>
              </w:rPr>
              <w:t>5、弦钮：磨砂黑头全封闭</w:t>
            </w:r>
            <w:r>
              <w:rPr>
                <w:rFonts w:hint="eastAsia"/>
                <w:color w:val="000000"/>
                <w:sz w:val="20"/>
                <w:szCs w:val="20"/>
                <w:lang w:bidi="ar"/>
              </w:rPr>
              <w:br w:type="textWrapping"/>
            </w:r>
            <w:r>
              <w:rPr>
                <w:rFonts w:hint="eastAsia"/>
                <w:color w:val="000000"/>
                <w:sz w:val="20"/>
                <w:szCs w:val="20"/>
                <w:lang w:bidi="ar"/>
              </w:rPr>
              <w:t>6、包边：桃花芯木边</w:t>
            </w:r>
            <w:r>
              <w:rPr>
                <w:rFonts w:hint="eastAsia"/>
                <w:color w:val="000000"/>
                <w:sz w:val="20"/>
                <w:szCs w:val="20"/>
                <w:lang w:bidi="ar"/>
              </w:rPr>
              <w:br w:type="textWrapping"/>
            </w:r>
            <w:r>
              <w:rPr>
                <w:rFonts w:hint="eastAsia"/>
                <w:color w:val="000000"/>
                <w:sz w:val="20"/>
                <w:szCs w:val="20"/>
                <w:lang w:bidi="ar"/>
              </w:rPr>
              <w:t>7、油漆：哑光漆</w:t>
            </w:r>
            <w:r>
              <w:rPr>
                <w:rFonts w:hint="eastAsia"/>
                <w:color w:val="000000"/>
                <w:sz w:val="20"/>
                <w:szCs w:val="20"/>
                <w:lang w:bidi="ar"/>
              </w:rPr>
              <w:br w:type="textWrapping"/>
            </w:r>
            <w:r>
              <w:rPr>
                <w:rFonts w:hint="eastAsia"/>
                <w:color w:val="000000"/>
                <w:sz w:val="20"/>
                <w:szCs w:val="20"/>
                <w:lang w:bidi="ar"/>
              </w:rPr>
              <w:t>▲8、辅料：琴包，背带，擦琴布，拨片，备用琴弦，调音器，教程。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drawing>
                <wp:inline distT="0" distB="0" distL="114300" distR="114300">
                  <wp:extent cx="981075" cy="1141730"/>
                  <wp:effectExtent l="0" t="0" r="952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981075" cy="114173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rPr>
                <w:rFonts w:hint="eastAsia"/>
                <w:color w:val="000000"/>
                <w:sz w:val="24"/>
                <w:lang w:bidi="ar"/>
              </w:rPr>
              <w:t>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手鼓</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尺寸：10寸</w:t>
            </w:r>
            <w:r>
              <w:rPr>
                <w:rFonts w:hint="eastAsia"/>
                <w:color w:val="000000"/>
                <w:sz w:val="20"/>
                <w:szCs w:val="20"/>
                <w:lang w:bidi="ar"/>
              </w:rPr>
              <w:br w:type="textWrapping"/>
            </w:r>
            <w:r>
              <w:rPr>
                <w:rFonts w:hint="eastAsia"/>
                <w:color w:val="000000"/>
                <w:sz w:val="20"/>
                <w:szCs w:val="20"/>
                <w:lang w:bidi="ar"/>
              </w:rPr>
              <w:t>▲1.材质：硬塑胶，抗压耐摔。</w:t>
            </w:r>
            <w:r>
              <w:rPr>
                <w:rFonts w:hint="eastAsia"/>
                <w:color w:val="000000"/>
                <w:sz w:val="20"/>
                <w:szCs w:val="20"/>
                <w:lang w:bidi="ar"/>
              </w:rPr>
              <w:br w:type="textWrapping"/>
            </w:r>
            <w:r>
              <w:rPr>
                <w:rFonts w:hint="eastAsia"/>
                <w:color w:val="000000"/>
                <w:sz w:val="20"/>
                <w:szCs w:val="20"/>
                <w:lang w:bidi="ar"/>
              </w:rPr>
              <w:t>▲2.说明：色彩鲜明，音色稳定轻脆。</w:t>
            </w:r>
            <w:r>
              <w:rPr>
                <w:rFonts w:hint="eastAsia"/>
                <w:color w:val="000000"/>
                <w:sz w:val="20"/>
                <w:szCs w:val="20"/>
                <w:lang w:bidi="ar"/>
              </w:rPr>
              <w:br w:type="textWrapping"/>
            </w:r>
            <w:r>
              <w:rPr>
                <w:rFonts w:hint="eastAsia"/>
                <w:color w:val="000000"/>
                <w:sz w:val="20"/>
                <w:szCs w:val="20"/>
                <w:lang w:bidi="ar"/>
              </w:rPr>
              <w:t>▲3.环保无毒，健康安全，不含增塑剂。</w:t>
            </w:r>
            <w:r>
              <w:rPr>
                <w:rFonts w:hint="eastAsia"/>
                <w:color w:val="000000"/>
                <w:sz w:val="20"/>
                <w:szCs w:val="20"/>
                <w:lang w:bidi="ar"/>
              </w:rPr>
              <w:br w:type="textWrapping"/>
            </w:r>
            <w:r>
              <w:rPr>
                <w:rFonts w:hint="eastAsia"/>
                <w:color w:val="000000"/>
                <w:sz w:val="20"/>
                <w:szCs w:val="20"/>
                <w:lang w:bidi="ar"/>
              </w:rPr>
              <w:t>▲4.钡≤5mg/kg、铅≤5mg/kg、镉≤5mg/kg、锑≤5mg/kg、硒≤5mg/kg、铬≤5mg/kg、汞≤5mg/kg、砷≤2.5mg/kg。</w:t>
            </w:r>
            <w:r>
              <w:rPr>
                <w:rFonts w:hint="eastAsia"/>
                <w:color w:val="000000"/>
                <w:sz w:val="20"/>
                <w:szCs w:val="20"/>
                <w:lang w:bidi="ar"/>
              </w:rPr>
              <w:br w:type="textWrapping"/>
            </w:r>
            <w:r>
              <w:rPr>
                <w:rFonts w:hint="eastAsia"/>
                <w:color w:val="000000"/>
                <w:sz w:val="20"/>
                <w:szCs w:val="20"/>
                <w:lang w:bidi="ar"/>
              </w:rPr>
              <w:t>▲5.检测标准：GB6675-2014《玩具安全》。</w:t>
            </w:r>
          </w:p>
          <w:p>
            <w:pPr>
              <w:pStyle w:val="2"/>
              <w:rPr>
                <w:lang w:bidi="ar"/>
              </w:rPr>
            </w:pPr>
            <w:r>
              <w:rPr>
                <w:rFonts w:hint="eastAsia"/>
                <w:color w:val="000000"/>
                <w:sz w:val="20"/>
                <w:szCs w:val="20"/>
                <w:lang w:bidi="ar"/>
              </w:rPr>
              <w:t>▲6</w:t>
            </w:r>
            <w:r>
              <w:rPr>
                <w:color w:val="000000"/>
                <w:sz w:val="20"/>
                <w:szCs w:val="20"/>
                <w:lang w:bidi="ar"/>
              </w:rPr>
              <w:t>.</w:t>
            </w:r>
            <w:r>
              <w:rPr>
                <w:rFonts w:hint="eastAsia"/>
                <w:color w:val="000000"/>
                <w:sz w:val="20"/>
                <w:szCs w:val="20"/>
                <w:lang w:bidi="ar"/>
              </w:rPr>
              <w:t>投标人须在投标文件中提供CM</w:t>
            </w:r>
            <w:r>
              <w:rPr>
                <w:color w:val="000000"/>
                <w:sz w:val="20"/>
                <w:szCs w:val="20"/>
                <w:lang w:bidi="ar"/>
              </w:rPr>
              <w:t>A</w:t>
            </w:r>
            <w:r>
              <w:rPr>
                <w:rFonts w:hint="eastAsia"/>
                <w:color w:val="000000"/>
                <w:sz w:val="20"/>
                <w:szCs w:val="20"/>
                <w:lang w:bidi="ar"/>
              </w:rPr>
              <w:t>资质检测机构出具的手鼓抽检合格报告的原件扫描件（原件备查）。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pPr>
            <w:r>
              <w:drawing>
                <wp:inline distT="0" distB="0" distL="114300" distR="114300">
                  <wp:extent cx="1033780" cy="781050"/>
                  <wp:effectExtent l="0" t="0" r="13970" b="0"/>
                  <wp:docPr id="40" name="Picture 23" descr="Hand 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3" descr="Hand Dr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33780" cy="78105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4"/>
                <w:lang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铃鼓</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rPr>
            </w:pPr>
            <w:r>
              <w:rPr>
                <w:rFonts w:hint="eastAsia"/>
                <w:color w:val="000000"/>
                <w:sz w:val="20"/>
                <w:szCs w:val="20"/>
                <w:lang w:bidi="ar"/>
              </w:rPr>
              <w:t>木色六寸牛皮铃鼓</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Arial" w:hAnsi="Arial" w:cs="Arial"/>
                <w:color w:val="000000"/>
                <w:sz w:val="20"/>
                <w:szCs w:val="20"/>
                <w:lang w:bidi="ar"/>
              </w:rPr>
            </w:pPr>
            <w:r>
              <w:drawing>
                <wp:inline distT="0" distB="0" distL="114300" distR="114300">
                  <wp:extent cx="855980" cy="704850"/>
                  <wp:effectExtent l="0" t="0" r="1270" b="0"/>
                  <wp:docPr id="10" name="图片 1" descr="1561653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561653898(1)"/>
                          <pic:cNvPicPr>
                            <a:picLocks noChangeAspect="1" noChangeArrowheads="1"/>
                          </pic:cNvPicPr>
                        </pic:nvPicPr>
                        <pic:blipFill>
                          <a:blip r:embed="rId11" cstate="print"/>
                          <a:srcRect/>
                          <a:stretch>
                            <a:fillRect/>
                          </a:stretch>
                        </pic:blipFill>
                        <pic:spPr>
                          <a:xfrm>
                            <a:off x="0" y="0"/>
                            <a:ext cx="855980" cy="70485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加长鱼蛙</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rPr>
            </w:pPr>
            <w:r>
              <w:rPr>
                <w:rFonts w:hint="eastAsia"/>
                <w:color w:val="000000"/>
                <w:sz w:val="22"/>
                <w:szCs w:val="22"/>
                <w:lang w:bidi="ar"/>
              </w:rPr>
              <w:t>32cm±2cm，木制加沟鱼娃，附棒子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045845" cy="498475"/>
                  <wp:effectExtent l="0" t="0" r="1905" b="15875"/>
                  <wp:docPr id="7" name="Picture 197" descr="C:\Users\Lenovo\AppData\Roaming\Tencent\Users\859813750\QQ\WinTemp\RichOle\(T3CIN)6@PNP9[F0~JS~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7" descr="C:\Users\Lenovo\AppData\Roaming\Tencent\Users\859813750\QQ\WinTemp\RichOle\(T3CIN)6@PNP9[F0~JS~C$9.jpg"/>
                          <pic:cNvPicPr>
                            <a:picLocks noChangeAspect="1"/>
                          </pic:cNvPicPr>
                        </pic:nvPicPr>
                        <pic:blipFill>
                          <a:blip r:embed="rId12"/>
                          <a:stretch>
                            <a:fillRect/>
                          </a:stretch>
                        </pic:blipFill>
                        <pic:spPr>
                          <a:xfrm>
                            <a:off x="0" y="0"/>
                            <a:ext cx="1045845" cy="49847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木制小沙球</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刻花木制沙锤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009650" cy="514350"/>
                  <wp:effectExtent l="0" t="0" r="0" b="0"/>
                  <wp:docPr id="23" name="图片 22" descr="cp05"/>
                  <wp:cNvGraphicFramePr/>
                  <a:graphic xmlns:a="http://schemas.openxmlformats.org/drawingml/2006/main">
                    <a:graphicData uri="http://schemas.openxmlformats.org/drawingml/2006/picture">
                      <pic:pic xmlns:pic="http://schemas.openxmlformats.org/drawingml/2006/picture">
                        <pic:nvPicPr>
                          <pic:cNvPr id="23" name="图片 22" descr="cp05"/>
                          <pic:cNvPicPr/>
                        </pic:nvPicPr>
                        <pic:blipFill>
                          <a:blip r:embed="rId13" cstate="print"/>
                          <a:srcRect/>
                          <a:stretch>
                            <a:fillRect/>
                          </a:stretch>
                        </pic:blipFill>
                        <pic:spPr>
                          <a:xfrm>
                            <a:off x="0" y="0"/>
                            <a:ext cx="1009650" cy="51435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七铃手铃</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七铃手铃，牛皮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038225" cy="762000"/>
                  <wp:effectExtent l="0" t="0" r="9525" b="0"/>
                  <wp:docPr id="24" name="图片 23" descr="x3b"/>
                  <wp:cNvGraphicFramePr/>
                  <a:graphic xmlns:a="http://schemas.openxmlformats.org/drawingml/2006/main">
                    <a:graphicData uri="http://schemas.openxmlformats.org/drawingml/2006/picture">
                      <pic:pic xmlns:pic="http://schemas.openxmlformats.org/drawingml/2006/picture">
                        <pic:nvPicPr>
                          <pic:cNvPr id="24" name="图片 23" descr="x3b"/>
                          <pic:cNvPicPr/>
                        </pic:nvPicPr>
                        <pic:blipFill>
                          <a:blip r:embed="rId14" cstate="print"/>
                          <a:srcRect/>
                          <a:stretch>
                            <a:fillRect/>
                          </a:stretch>
                        </pic:blipFill>
                        <pic:spPr>
                          <a:xfrm>
                            <a:off x="0" y="0"/>
                            <a:ext cx="1038225" cy="76200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二十一铃大棒铃</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木把棒铃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390525" cy="657225"/>
                  <wp:effectExtent l="0" t="0" r="9525" b="9525"/>
                  <wp:docPr id="25" name="图片 24" descr="x1b"/>
                  <wp:cNvGraphicFramePr/>
                  <a:graphic xmlns:a="http://schemas.openxmlformats.org/drawingml/2006/main">
                    <a:graphicData uri="http://schemas.openxmlformats.org/drawingml/2006/picture">
                      <pic:pic xmlns:pic="http://schemas.openxmlformats.org/drawingml/2006/picture">
                        <pic:nvPicPr>
                          <pic:cNvPr id="25" name="图片 24" descr="x1b"/>
                          <pic:cNvPicPr/>
                        </pic:nvPicPr>
                        <pic:blipFill>
                          <a:blip r:embed="rId15" cstate="print"/>
                          <a:srcRect r="63063"/>
                          <a:stretch>
                            <a:fillRect/>
                          </a:stretch>
                        </pic:blipFill>
                        <pic:spPr>
                          <a:xfrm>
                            <a:off x="0" y="0"/>
                            <a:ext cx="390525" cy="657225"/>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8音颗铃</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8音颗铃手摇，8个/套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057275" cy="609600"/>
                  <wp:effectExtent l="0" t="0" r="9525" b="0"/>
                  <wp:docPr id="26" name="图片 25" descr="17"/>
                  <wp:cNvGraphicFramePr/>
                  <a:graphic xmlns:a="http://schemas.openxmlformats.org/drawingml/2006/main">
                    <a:graphicData uri="http://schemas.openxmlformats.org/drawingml/2006/picture">
                      <pic:pic xmlns:pic="http://schemas.openxmlformats.org/drawingml/2006/picture">
                        <pic:nvPicPr>
                          <pic:cNvPr id="26" name="图片 25" descr="17"/>
                          <pic:cNvPicPr/>
                        </pic:nvPicPr>
                        <pic:blipFill>
                          <a:blip r:embed="rId16" cstate="print"/>
                          <a:srcRect/>
                          <a:stretch>
                            <a:fillRect/>
                          </a:stretch>
                        </pic:blipFill>
                        <pic:spPr>
                          <a:xfrm>
                            <a:off x="0" y="0"/>
                            <a:ext cx="1057275" cy="60960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木制刮棒</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木制刮棒</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085850" cy="685800"/>
                  <wp:effectExtent l="0" t="0" r="0" b="0"/>
                  <wp:docPr id="27" name="图片 26" descr="cp25"/>
                  <wp:cNvGraphicFramePr/>
                  <a:graphic xmlns:a="http://schemas.openxmlformats.org/drawingml/2006/main">
                    <a:graphicData uri="http://schemas.openxmlformats.org/drawingml/2006/picture">
                      <pic:pic xmlns:pic="http://schemas.openxmlformats.org/drawingml/2006/picture">
                        <pic:nvPicPr>
                          <pic:cNvPr id="27" name="图片 26" descr="cp25"/>
                          <pic:cNvPicPr/>
                        </pic:nvPicPr>
                        <pic:blipFill>
                          <a:blip r:embed="rId17" cstate="print"/>
                          <a:srcRect/>
                          <a:stretch>
                            <a:fillRect/>
                          </a:stretch>
                        </pic:blipFill>
                        <pic:spPr>
                          <a:xfrm>
                            <a:off x="0" y="0"/>
                            <a:ext cx="1085850" cy="68580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儿童打棒</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儿童打棒</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123950" cy="800100"/>
                  <wp:effectExtent l="0" t="0" r="0" b="0"/>
                  <wp:docPr id="28" name="图片 27" descr="cp21"/>
                  <wp:cNvGraphicFramePr/>
                  <a:graphic xmlns:a="http://schemas.openxmlformats.org/drawingml/2006/main">
                    <a:graphicData uri="http://schemas.openxmlformats.org/drawingml/2006/picture">
                      <pic:pic xmlns:pic="http://schemas.openxmlformats.org/drawingml/2006/picture">
                        <pic:nvPicPr>
                          <pic:cNvPr id="28" name="图片 27" descr="cp21"/>
                          <pic:cNvPicPr/>
                        </pic:nvPicPr>
                        <pic:blipFill>
                          <a:blip r:embed="rId18" cstate="print"/>
                          <a:srcRect/>
                          <a:stretch>
                            <a:fillRect/>
                          </a:stretch>
                        </pic:blipFill>
                        <pic:spPr>
                          <a:xfrm>
                            <a:off x="0" y="0"/>
                            <a:ext cx="1123950" cy="80010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木质响板</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原木色枣木响板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sz w:val="20"/>
                <w:szCs w:val="20"/>
                <w:lang w:bidi="ar"/>
              </w:rPr>
            </w:pPr>
            <w:r>
              <w:drawing>
                <wp:inline distT="0" distB="0" distL="114300" distR="114300">
                  <wp:extent cx="1143000" cy="704850"/>
                  <wp:effectExtent l="0" t="0" r="0" b="0"/>
                  <wp:docPr id="29" name="图片 28" descr="cp28"/>
                  <wp:cNvGraphicFramePr/>
                  <a:graphic xmlns:a="http://schemas.openxmlformats.org/drawingml/2006/main">
                    <a:graphicData uri="http://schemas.openxmlformats.org/drawingml/2006/picture">
                      <pic:pic xmlns:pic="http://schemas.openxmlformats.org/drawingml/2006/picture">
                        <pic:nvPicPr>
                          <pic:cNvPr id="29" name="图片 28" descr="cp28"/>
                          <pic:cNvPicPr/>
                        </pic:nvPicPr>
                        <pic:blipFill>
                          <a:blip r:embed="rId19" cstate="print"/>
                          <a:srcRect/>
                          <a:stretch>
                            <a:fillRect/>
                          </a:stretch>
                        </pic:blipFill>
                        <pic:spPr>
                          <a:xfrm>
                            <a:off x="0" y="0"/>
                            <a:ext cx="1143000" cy="70485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加沟单响筒</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木制加沟单响筒，棒子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sz w:val="20"/>
                <w:szCs w:val="20"/>
                <w:lang w:bidi="ar"/>
              </w:rPr>
            </w:pPr>
            <w:r>
              <w:drawing>
                <wp:inline distT="0" distB="0" distL="114300" distR="114300">
                  <wp:extent cx="349885" cy="800100"/>
                  <wp:effectExtent l="0" t="0" r="12065" b="0"/>
                  <wp:docPr id="30" name="图片 29" descr="b15b"/>
                  <wp:cNvGraphicFramePr/>
                  <a:graphic xmlns:a="http://schemas.openxmlformats.org/drawingml/2006/main">
                    <a:graphicData uri="http://schemas.openxmlformats.org/drawingml/2006/picture">
                      <pic:pic xmlns:pic="http://schemas.openxmlformats.org/drawingml/2006/picture">
                        <pic:nvPicPr>
                          <pic:cNvPr id="30" name="图片 29" descr="b15b"/>
                          <pic:cNvPicPr/>
                        </pic:nvPicPr>
                        <pic:blipFill>
                          <a:blip r:embed="rId20" cstate="print"/>
                          <a:srcRect r="69389"/>
                          <a:stretch>
                            <a:fillRect/>
                          </a:stretch>
                        </pic:blipFill>
                        <pic:spPr>
                          <a:xfrm>
                            <a:off x="0" y="0"/>
                            <a:ext cx="349885" cy="80010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双响筒</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木制双响筒，棒子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423545" cy="798830"/>
                  <wp:effectExtent l="0" t="0" r="14605" b="1270"/>
                  <wp:docPr id="31" name="图片 30" descr="b5b"/>
                  <wp:cNvGraphicFramePr/>
                  <a:graphic xmlns:a="http://schemas.openxmlformats.org/drawingml/2006/main">
                    <a:graphicData uri="http://schemas.openxmlformats.org/drawingml/2006/picture">
                      <pic:pic xmlns:pic="http://schemas.openxmlformats.org/drawingml/2006/picture">
                        <pic:nvPicPr>
                          <pic:cNvPr id="31" name="图片 30" descr="b5b"/>
                          <pic:cNvPicPr/>
                        </pic:nvPicPr>
                        <pic:blipFill>
                          <a:blip r:embed="rId21" cstate="print"/>
                          <a:srcRect l="41421" t="3602" r="22131"/>
                          <a:stretch>
                            <a:fillRect/>
                          </a:stretch>
                        </pic:blipFill>
                        <pic:spPr>
                          <a:xfrm>
                            <a:off x="0" y="0"/>
                            <a:ext cx="423545" cy="79883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低音方梆子</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木制低音方梆子，棒子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162050" cy="584200"/>
                  <wp:effectExtent l="0" t="0" r="0" b="6350"/>
                  <wp:docPr id="32" name="图片 31" descr="1561654740(1)"/>
                  <wp:cNvGraphicFramePr/>
                  <a:graphic xmlns:a="http://schemas.openxmlformats.org/drawingml/2006/main">
                    <a:graphicData uri="http://schemas.openxmlformats.org/drawingml/2006/picture">
                      <pic:pic xmlns:pic="http://schemas.openxmlformats.org/drawingml/2006/picture">
                        <pic:nvPicPr>
                          <pic:cNvPr id="32" name="图片 31" descr="1561654740(1)"/>
                          <pic:cNvPicPr/>
                        </pic:nvPicPr>
                        <pic:blipFill>
                          <a:blip r:embed="rId22" cstate="print"/>
                          <a:srcRect t="38047"/>
                          <a:stretch>
                            <a:fillRect/>
                          </a:stretch>
                        </pic:blipFill>
                        <pic:spPr>
                          <a:xfrm>
                            <a:off x="0" y="0"/>
                            <a:ext cx="1162050" cy="58420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高音方梆子</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木制高音方梆子，棒子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162050" cy="584200"/>
                  <wp:effectExtent l="0" t="0" r="0" b="6350"/>
                  <wp:docPr id="3" name="图片 31" descr="1561654740(1)"/>
                  <wp:cNvGraphicFramePr/>
                  <a:graphic xmlns:a="http://schemas.openxmlformats.org/drawingml/2006/main">
                    <a:graphicData uri="http://schemas.openxmlformats.org/drawingml/2006/picture">
                      <pic:pic xmlns:pic="http://schemas.openxmlformats.org/drawingml/2006/picture">
                        <pic:nvPicPr>
                          <pic:cNvPr id="3" name="图片 31" descr="1561654740(1)"/>
                          <pic:cNvPicPr/>
                        </pic:nvPicPr>
                        <pic:blipFill>
                          <a:blip r:embed="rId22" cstate="print"/>
                          <a:srcRect t="38047"/>
                          <a:stretch>
                            <a:fillRect/>
                          </a:stretch>
                        </pic:blipFill>
                        <pic:spPr>
                          <a:xfrm>
                            <a:off x="0" y="0"/>
                            <a:ext cx="1162050" cy="58420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班戈鼓</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牛皮浅木色6寸+7寸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162050" cy="933450"/>
                  <wp:effectExtent l="0" t="0" r="0" b="0"/>
                  <wp:docPr id="34" name="图片 33" descr="1"/>
                  <wp:cNvGraphicFramePr/>
                  <a:graphic xmlns:a="http://schemas.openxmlformats.org/drawingml/2006/main">
                    <a:graphicData uri="http://schemas.openxmlformats.org/drawingml/2006/picture">
                      <pic:pic xmlns:pic="http://schemas.openxmlformats.org/drawingml/2006/picture">
                        <pic:nvPicPr>
                          <pic:cNvPr id="34" name="图片 33" descr="1"/>
                          <pic:cNvPicPr/>
                        </pic:nvPicPr>
                        <pic:blipFill>
                          <a:blip r:embed="rId23" cstate="print"/>
                          <a:srcRect/>
                          <a:stretch>
                            <a:fillRect/>
                          </a:stretch>
                        </pic:blipFill>
                        <pic:spPr>
                          <a:xfrm>
                            <a:off x="0" y="0"/>
                            <a:ext cx="1162050" cy="93345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19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非洲鼓</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非洲鼓8英寸，雨林图案</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drawing>
                <wp:inline distT="0" distB="0" distL="114300" distR="114300">
                  <wp:extent cx="1181100" cy="1028700"/>
                  <wp:effectExtent l="0" t="0" r="0" b="0"/>
                  <wp:docPr id="35" name="图片 34" descr="1561653065(1)"/>
                  <wp:cNvGraphicFramePr/>
                  <a:graphic xmlns:a="http://schemas.openxmlformats.org/drawingml/2006/main">
                    <a:graphicData uri="http://schemas.openxmlformats.org/drawingml/2006/picture">
                      <pic:pic xmlns:pic="http://schemas.openxmlformats.org/drawingml/2006/picture">
                        <pic:nvPicPr>
                          <pic:cNvPr id="35" name="图片 34" descr="1561653065(1)"/>
                          <pic:cNvPicPr/>
                        </pic:nvPicPr>
                        <pic:blipFill>
                          <a:blip r:embed="rId24" cstate="print"/>
                          <a:stretch>
                            <a:fillRect/>
                          </a:stretch>
                        </pic:blipFill>
                        <pic:spPr>
                          <a:xfrm>
                            <a:off x="0" y="0"/>
                            <a:ext cx="1181100" cy="102870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20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高低梆子</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木制高低梆子，棒子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912495" cy="722630"/>
                  <wp:effectExtent l="0" t="0" r="1905" b="1270"/>
                  <wp:docPr id="8" name="Picture 176" descr="C:\Users\Lenovo\AppData\Roaming\Tencent\Users\859813750\QQ\WinTemp\RichOle\A%]TL$7CV$)UQ6226K6ZC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6" descr="C:\Users\Lenovo\AppData\Roaming\Tencent\Users\859813750\QQ\WinTemp\RichOle\A%]TL$7CV$)UQ6226K6ZCPI.jpg"/>
                          <pic:cNvPicPr>
                            <a:picLocks noChangeAspect="1"/>
                          </pic:cNvPicPr>
                        </pic:nvPicPr>
                        <pic:blipFill>
                          <a:blip r:embed="rId25"/>
                          <a:stretch>
                            <a:fillRect/>
                          </a:stretch>
                        </pic:blipFill>
                        <pic:spPr>
                          <a:xfrm>
                            <a:off x="0" y="0"/>
                            <a:ext cx="912495" cy="72263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21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三角铁</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金属镀镍三角铁t6，棒子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sz w:val="20"/>
                <w:szCs w:val="20"/>
                <w:lang w:bidi="ar"/>
              </w:rPr>
            </w:pPr>
            <w:r>
              <w:drawing>
                <wp:inline distT="0" distB="0" distL="114300" distR="114300">
                  <wp:extent cx="1172210" cy="864235"/>
                  <wp:effectExtent l="0" t="0" r="8890" b="12065"/>
                  <wp:docPr id="9" name="Picture 202" descr="C:\Users\Lenovo\AppData\Roaming\Tencent\Users\859813750\QQ\WinTemp\RichOle\8PFPUGL9$RTEM8X@MK71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2" descr="C:\Users\Lenovo\AppData\Roaming\Tencent\Users\859813750\QQ\WinTemp\RichOle\8PFPUGL9$RTEM8X@MK712]U.jpg"/>
                          <pic:cNvPicPr>
                            <a:picLocks noChangeAspect="1"/>
                          </pic:cNvPicPr>
                        </pic:nvPicPr>
                        <pic:blipFill>
                          <a:blip r:embed="rId26"/>
                          <a:stretch>
                            <a:fillRect/>
                          </a:stretch>
                        </pic:blipFill>
                        <pic:spPr>
                          <a:xfrm>
                            <a:off x="0" y="0"/>
                            <a:ext cx="1172210" cy="86423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22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大棒钟</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木把大棒钟，镀铜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847725" cy="904875"/>
                  <wp:effectExtent l="0" t="0" r="9525" b="9525"/>
                  <wp:docPr id="38" name="图片 37" descr="cp34"/>
                  <wp:cNvGraphicFramePr/>
                  <a:graphic xmlns:a="http://schemas.openxmlformats.org/drawingml/2006/main">
                    <a:graphicData uri="http://schemas.openxmlformats.org/drawingml/2006/picture">
                      <pic:pic xmlns:pic="http://schemas.openxmlformats.org/drawingml/2006/picture">
                        <pic:nvPicPr>
                          <pic:cNvPr id="38" name="图片 37" descr="cp34"/>
                          <pic:cNvPicPr/>
                        </pic:nvPicPr>
                        <pic:blipFill>
                          <a:blip r:embed="rId27" cstate="print"/>
                          <a:srcRect l="31008"/>
                          <a:stretch>
                            <a:fillRect/>
                          </a:stretch>
                        </pic:blipFill>
                        <pic:spPr>
                          <a:xfrm>
                            <a:off x="0" y="0"/>
                            <a:ext cx="847725" cy="904875"/>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23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大雨声筒</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木质彩色大雨声筒</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2"/>
                <w:szCs w:val="22"/>
                <w:lang w:bidi="ar"/>
              </w:rPr>
            </w:pPr>
            <w:r>
              <w:drawing>
                <wp:inline distT="0" distB="0" distL="114300" distR="114300">
                  <wp:extent cx="1228725" cy="933450"/>
                  <wp:effectExtent l="0" t="0" r="9525" b="0"/>
                  <wp:docPr id="39" name="图片 38" descr="C:\Users\ADMINI~1\AppData\Local\Temp\WeChat Files\d76f8d0e4deef2cb16090b4dd34a1dd.jpg"/>
                  <wp:cNvGraphicFramePr/>
                  <a:graphic xmlns:a="http://schemas.openxmlformats.org/drawingml/2006/main">
                    <a:graphicData uri="http://schemas.openxmlformats.org/drawingml/2006/picture">
                      <pic:pic xmlns:pic="http://schemas.openxmlformats.org/drawingml/2006/picture">
                        <pic:nvPicPr>
                          <pic:cNvPr id="39" name="图片 38" descr="C:\Users\ADMINI~1\AppData\Local\Temp\WeChat Files\d76f8d0e4deef2cb16090b4dd34a1dd.jpg"/>
                          <pic:cNvPicPr/>
                        </pic:nvPicPr>
                        <pic:blipFill>
                          <a:blip r:embed="rId28" cstate="print"/>
                          <a:srcRect/>
                          <a:stretch>
                            <a:fillRect/>
                          </a:stretch>
                        </pic:blipFill>
                        <pic:spPr>
                          <a:xfrm>
                            <a:off x="0" y="0"/>
                            <a:ext cx="1228725" cy="933450"/>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2"/>
                <w:szCs w:val="22"/>
                <w:lang w:bidi="ar"/>
              </w:rPr>
              <w:t>24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双排塑料铃圈</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双排塑料铃圈</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sz w:val="20"/>
                <w:szCs w:val="20"/>
                <w:lang w:bidi="ar"/>
              </w:rPr>
            </w:pPr>
            <w:r>
              <w:drawing>
                <wp:inline distT="0" distB="0" distL="114300" distR="114300">
                  <wp:extent cx="630555" cy="590550"/>
                  <wp:effectExtent l="0" t="0" r="17145" b="0"/>
                  <wp:docPr id="4" name="Picture 174" descr="C:\Users\Lenovo\AppData\Roaming\Tencent\Users\859813750\QQ\WinTemp\RichOle\~7NM`{EBF}MTKE0WV{7S%Z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4" descr="C:\Users\Lenovo\AppData\Roaming\Tencent\Users\859813750\QQ\WinTemp\RichOle\~7NM`{EBF}MTKE0WV{7S%ZF.jpg"/>
                          <pic:cNvPicPr>
                            <a:picLocks noChangeAspect="1"/>
                          </pic:cNvPicPr>
                        </pic:nvPicPr>
                        <pic:blipFill>
                          <a:blip r:embed="rId29"/>
                          <a:stretch>
                            <a:fillRect/>
                          </a:stretch>
                        </pic:blipFill>
                        <pic:spPr>
                          <a:xfrm>
                            <a:off x="0" y="0"/>
                            <a:ext cx="630555" cy="5905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2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4"/>
                <w:lang w:bidi="ar"/>
              </w:rPr>
            </w:pPr>
            <w:r>
              <w:rPr>
                <w:rFonts w:hint="eastAsia"/>
                <w:color w:val="000000"/>
                <w:sz w:val="24"/>
                <w:lang w:bidi="ar"/>
              </w:rPr>
              <w:t>25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 w:val="20"/>
                <w:szCs w:val="20"/>
                <w:lang w:bidi="ar"/>
              </w:rPr>
            </w:pPr>
            <w:r>
              <w:rPr>
                <w:rFonts w:hint="eastAsia"/>
                <w:color w:val="000000"/>
                <w:sz w:val="20"/>
                <w:szCs w:val="20"/>
                <w:lang w:bidi="ar"/>
              </w:rPr>
              <w:t>木把金属珠子</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color w:val="000000"/>
                <w:sz w:val="20"/>
                <w:szCs w:val="20"/>
                <w:lang w:bidi="ar"/>
              </w:rPr>
            </w:pPr>
            <w:r>
              <w:rPr>
                <w:rFonts w:hint="eastAsia"/>
                <w:color w:val="000000"/>
                <w:sz w:val="20"/>
                <w:szCs w:val="20"/>
                <w:lang w:bidi="ar"/>
              </w:rPr>
              <w:t>木把金属珠子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微软雅黑" w:hAnsi="微软雅黑" w:eastAsia="微软雅黑" w:cs="微软雅黑"/>
                <w:color w:val="000000"/>
                <w:sz w:val="20"/>
                <w:szCs w:val="20"/>
                <w:lang w:bidi="ar"/>
              </w:rPr>
            </w:pPr>
            <w:r>
              <w:drawing>
                <wp:inline distT="0" distB="0" distL="114300" distR="114300">
                  <wp:extent cx="734060" cy="565150"/>
                  <wp:effectExtent l="0" t="0" r="8890" b="6350"/>
                  <wp:docPr id="5" name="Picture 65" descr="C:\Users\Lenovo\AppData\Roaming\Tencent\Users\859813750\QQ\WinTemp\RichOle\Z%YUKH(A2[MR)UT(L~2D~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5" descr="C:\Users\Lenovo\AppData\Roaming\Tencent\Users\859813750\QQ\WinTemp\RichOle\Z%YUKH(A2[MR)UT(L~2D~GH.jpg"/>
                          <pic:cNvPicPr>
                            <a:picLocks noChangeAspect="1"/>
                          </pic:cNvPicPr>
                        </pic:nvPicPr>
                        <pic:blipFill>
                          <a:blip r:embed="rId30"/>
                          <a:stretch>
                            <a:fillRect/>
                          </a:stretch>
                        </pic:blipFill>
                        <pic:spPr>
                          <a:xfrm>
                            <a:off x="0" y="0"/>
                            <a:ext cx="734060" cy="565150"/>
                          </a:xfrm>
                          <a:prstGeom prst="rect">
                            <a:avLst/>
                          </a:prstGeom>
                          <a:noFill/>
                          <a:ln w="9525">
                            <a:noFill/>
                          </a:ln>
                        </pic:spPr>
                      </pic:pic>
                    </a:graphicData>
                  </a:graphic>
                </wp:inline>
              </w:drawing>
            </w:r>
          </w:p>
        </w:tc>
      </w:tr>
    </w:tbl>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备注：</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1</w:t>
      </w:r>
      <w:r>
        <w:rPr>
          <w:rFonts w:cs="Times New Roman"/>
          <w:kern w:val="2"/>
          <w:szCs w:val="21"/>
        </w:rPr>
        <w:t>.技术要求分为一般技术要求</w:t>
      </w:r>
      <w:r>
        <w:rPr>
          <w:rFonts w:hint="eastAsia" w:cs="Times New Roman"/>
          <w:kern w:val="2"/>
          <w:szCs w:val="21"/>
        </w:rPr>
        <w:t>、</w:t>
      </w:r>
      <w:r>
        <w:rPr>
          <w:rFonts w:cs="Times New Roman"/>
          <w:kern w:val="2"/>
          <w:szCs w:val="21"/>
        </w:rPr>
        <w:t>重要技术要求</w:t>
      </w:r>
      <w:r>
        <w:rPr>
          <w:rFonts w:hint="eastAsia" w:cs="Times New Roman"/>
          <w:kern w:val="2"/>
          <w:szCs w:val="21"/>
        </w:rPr>
        <w:t>（以“▲”标注）</w:t>
      </w:r>
      <w:r>
        <w:rPr>
          <w:rFonts w:cs="Times New Roman"/>
          <w:kern w:val="2"/>
          <w:szCs w:val="21"/>
        </w:rPr>
        <w:t>和实质性技术要求</w:t>
      </w:r>
      <w:r>
        <w:rPr>
          <w:rFonts w:hint="eastAsia" w:cs="Times New Roman"/>
          <w:kern w:val="2"/>
          <w:szCs w:val="21"/>
        </w:rPr>
        <w:t>（以</w:t>
      </w:r>
      <w:r>
        <w:rPr>
          <w:rFonts w:cs="Times New Roman"/>
          <w:kern w:val="2"/>
          <w:szCs w:val="21"/>
        </w:rPr>
        <w:t>”</w:t>
      </w:r>
      <w:r>
        <w:rPr>
          <w:rFonts w:hint="eastAsia" w:cs="Times New Roman"/>
          <w:kern w:val="2"/>
          <w:szCs w:val="21"/>
        </w:rPr>
        <w:t>★</w:t>
      </w:r>
      <w:r>
        <w:rPr>
          <w:rFonts w:cs="Times New Roman"/>
          <w:kern w:val="2"/>
          <w:szCs w:val="21"/>
        </w:rPr>
        <w:t>”</w:t>
      </w:r>
      <w:r>
        <w:rPr>
          <w:rFonts w:hint="eastAsia" w:cs="Times New Roman"/>
          <w:kern w:val="2"/>
          <w:szCs w:val="21"/>
        </w:rPr>
        <w:t>标注）。一般技术要求和重要技术要求若出现不响应或负偏离，其综合评分的相关分数将予以扣减，但不作为投标无效条款。实质性技术要求（以</w:t>
      </w:r>
      <w:r>
        <w:rPr>
          <w:rFonts w:cs="Times New Roman"/>
          <w:kern w:val="2"/>
          <w:szCs w:val="21"/>
        </w:rPr>
        <w:t>”</w:t>
      </w:r>
      <w:r>
        <w:rPr>
          <w:rFonts w:hint="eastAsia" w:cs="Times New Roman"/>
          <w:kern w:val="2"/>
          <w:szCs w:val="21"/>
        </w:rPr>
        <w:t>★</w:t>
      </w:r>
      <w:r>
        <w:rPr>
          <w:rFonts w:cs="Times New Roman"/>
          <w:kern w:val="2"/>
          <w:szCs w:val="21"/>
        </w:rPr>
        <w:t>”</w:t>
      </w:r>
      <w:r>
        <w:rPr>
          <w:rFonts w:hint="eastAsia" w:cs="Times New Roman"/>
          <w:kern w:val="2"/>
          <w:szCs w:val="21"/>
        </w:rPr>
        <w:t>标注）若出现不响应或任何一项负偏离，将导致投标无效。</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2.若“招标技术要求”要求对投标产品的技术参数提供相应的证明资料，以证明投标人响应的真实性，投标人应按照招标文件的要求提供证明资料</w:t>
      </w:r>
      <w:r>
        <w:rPr>
          <w:rFonts w:hint="eastAsia" w:cs="Times New Roman"/>
          <w:kern w:val="2"/>
          <w:szCs w:val="21"/>
        </w:rPr>
        <w:t>（例如：</w:t>
      </w:r>
      <w:r>
        <w:rPr>
          <w:rFonts w:cs="Times New Roman"/>
          <w:kern w:val="2"/>
          <w:szCs w:val="21"/>
        </w:rPr>
        <w:t>制造商公布的产品说明书、或产品彩页、或我国政府机构出具的产品检验和核准证件等</w:t>
      </w:r>
      <w:r>
        <w:rPr>
          <w:rFonts w:hint="eastAsia" w:cs="Times New Roman"/>
          <w:kern w:val="2"/>
          <w:szCs w:val="21"/>
        </w:rPr>
        <w:t>）</w:t>
      </w:r>
      <w:r>
        <w:rPr>
          <w:rFonts w:cs="Times New Roman"/>
          <w:kern w:val="2"/>
          <w:szCs w:val="21"/>
        </w:rPr>
        <w:t>。投标人应在</w:t>
      </w:r>
      <w:r>
        <w:rPr>
          <w:rFonts w:hint="eastAsia" w:cs="Times New Roman"/>
          <w:kern w:val="2"/>
          <w:szCs w:val="21"/>
        </w:rPr>
        <w:t>《技术规格偏离表》</w:t>
      </w:r>
      <w:r>
        <w:rPr>
          <w:rFonts w:cs="Times New Roman"/>
          <w:kern w:val="2"/>
          <w:szCs w:val="21"/>
        </w:rPr>
        <w:t>"说明"一栏中列出技术参数的证明资料名称，并指明该证明资料在投标文件中的具体位置。</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cs="Times New Roman"/>
          <w:kern w:val="2"/>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cs="Times New Roman"/>
          <w:kern w:val="2"/>
          <w:szCs w:val="21"/>
        </w:rPr>
        <w:t>未达到以上提供要求的，评标委员会有权认定为不合格响应，其相关分数予以扣减。</w:t>
      </w:r>
    </w:p>
    <w:p>
      <w:pPr>
        <w:numPr>
          <w:ilvl w:val="0"/>
          <w:numId w:val="26"/>
        </w:numPr>
        <w:adjustRightInd/>
        <w:snapToGrid/>
        <w:spacing w:before="280" w:after="290" w:line="377" w:lineRule="auto"/>
        <w:jc w:val="left"/>
        <w:outlineLvl w:val="2"/>
        <w:rPr>
          <w:b/>
          <w:sz w:val="24"/>
        </w:rPr>
      </w:pPr>
      <w:r>
        <w:rPr>
          <w:rFonts w:hint="eastAsia"/>
          <w:b/>
          <w:sz w:val="24"/>
        </w:rPr>
        <w:t>商务需求</w:t>
      </w:r>
    </w:p>
    <w:tbl>
      <w:tblPr>
        <w:tblStyle w:val="4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71"/>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Align w:val="center"/>
          </w:tcPr>
          <w:p>
            <w:pPr>
              <w:spacing w:line="240" w:lineRule="auto"/>
              <w:jc w:val="center"/>
              <w:rPr>
                <w:b/>
                <w:szCs w:val="21"/>
              </w:rPr>
            </w:pPr>
            <w:r>
              <w:rPr>
                <w:rFonts w:hint="eastAsia"/>
                <w:b/>
                <w:szCs w:val="21"/>
              </w:rPr>
              <w:t>序号</w:t>
            </w:r>
          </w:p>
        </w:tc>
        <w:tc>
          <w:tcPr>
            <w:tcW w:w="2171" w:type="dxa"/>
            <w:vAlign w:val="center"/>
          </w:tcPr>
          <w:p>
            <w:pPr>
              <w:spacing w:line="240" w:lineRule="auto"/>
              <w:jc w:val="center"/>
              <w:rPr>
                <w:b/>
                <w:szCs w:val="21"/>
              </w:rPr>
            </w:pPr>
            <w:r>
              <w:rPr>
                <w:rFonts w:hint="eastAsia"/>
                <w:b/>
                <w:szCs w:val="21"/>
              </w:rPr>
              <w:t>目录</w:t>
            </w:r>
          </w:p>
        </w:tc>
        <w:tc>
          <w:tcPr>
            <w:tcW w:w="5940" w:type="dxa"/>
            <w:vAlign w:val="center"/>
          </w:tcPr>
          <w:p>
            <w:pPr>
              <w:spacing w:line="240" w:lineRule="auto"/>
              <w:jc w:val="center"/>
              <w:rPr>
                <w:b/>
                <w:szCs w:val="21"/>
              </w:rPr>
            </w:pPr>
            <w:r>
              <w:rPr>
                <w:rFonts w:hint="eastAsia"/>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820" w:type="dxa"/>
            <w:gridSpan w:val="3"/>
            <w:vAlign w:val="center"/>
          </w:tcPr>
          <w:p>
            <w:pPr>
              <w:spacing w:line="240" w:lineRule="auto"/>
              <w:rPr>
                <w:b/>
                <w:szCs w:val="21"/>
              </w:rPr>
            </w:pPr>
            <w:r>
              <w:rPr>
                <w:rFonts w:hint="eastAsia"/>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Align w:val="center"/>
          </w:tcPr>
          <w:p>
            <w:pPr>
              <w:spacing w:line="240" w:lineRule="auto"/>
              <w:jc w:val="center"/>
              <w:rPr>
                <w:b/>
                <w:szCs w:val="21"/>
              </w:rPr>
            </w:pPr>
            <w:r>
              <w:rPr>
                <w:rFonts w:hint="eastAsia"/>
                <w:b/>
                <w:szCs w:val="21"/>
              </w:rPr>
              <w:t>1</w:t>
            </w:r>
          </w:p>
        </w:tc>
        <w:tc>
          <w:tcPr>
            <w:tcW w:w="2171" w:type="dxa"/>
            <w:vAlign w:val="center"/>
          </w:tcPr>
          <w:p>
            <w:pPr>
              <w:spacing w:line="240" w:lineRule="auto"/>
              <w:rPr>
                <w:szCs w:val="21"/>
              </w:rPr>
            </w:pPr>
            <w:r>
              <w:rPr>
                <w:rFonts w:hint="eastAsia"/>
                <w:szCs w:val="21"/>
              </w:rPr>
              <w:t>维修响应及故障解决时间</w:t>
            </w:r>
          </w:p>
        </w:tc>
        <w:tc>
          <w:tcPr>
            <w:tcW w:w="5940" w:type="dxa"/>
            <w:vAlign w:val="center"/>
          </w:tcPr>
          <w:p>
            <w:pPr>
              <w:spacing w:line="240" w:lineRule="auto"/>
              <w:rPr>
                <w:b/>
                <w:szCs w:val="21"/>
              </w:rPr>
            </w:pPr>
            <w:r>
              <w:rPr>
                <w:rFonts w:hint="eastAsia"/>
                <w:szCs w:val="21"/>
              </w:rPr>
              <w:t>货物免费保修期</w:t>
            </w:r>
            <w:r>
              <w:rPr>
                <w:rFonts w:hint="eastAsia"/>
                <w:b/>
                <w:bCs/>
                <w:szCs w:val="21"/>
                <w:u w:val="single"/>
              </w:rPr>
              <w:t>3</w:t>
            </w:r>
            <w:r>
              <w:rPr>
                <w:rFonts w:hint="eastAsia"/>
                <w:szCs w:val="21"/>
              </w:rPr>
              <w:t>年，时间自最终验收合格并交付使用之日起计算。在保修期内，一旦发生质量问题，投标人保证在接到通知24小时内赶到现场进行修理或更换。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Align w:val="center"/>
          </w:tcPr>
          <w:p>
            <w:pPr>
              <w:spacing w:line="240" w:lineRule="auto"/>
              <w:jc w:val="center"/>
              <w:rPr>
                <w:b/>
                <w:szCs w:val="21"/>
              </w:rPr>
            </w:pPr>
            <w:r>
              <w:rPr>
                <w:rFonts w:hint="eastAsia"/>
                <w:b/>
                <w:szCs w:val="21"/>
              </w:rPr>
              <w:t>2</w:t>
            </w:r>
          </w:p>
        </w:tc>
        <w:tc>
          <w:tcPr>
            <w:tcW w:w="2171" w:type="dxa"/>
            <w:vAlign w:val="center"/>
          </w:tcPr>
          <w:p>
            <w:pPr>
              <w:spacing w:line="240" w:lineRule="auto"/>
              <w:rPr>
                <w:b/>
                <w:szCs w:val="21"/>
              </w:rPr>
            </w:pPr>
            <w:r>
              <w:rPr>
                <w:rFonts w:hint="eastAsia"/>
                <w:szCs w:val="21"/>
              </w:rPr>
              <w:t>其他</w:t>
            </w:r>
          </w:p>
        </w:tc>
        <w:tc>
          <w:tcPr>
            <w:tcW w:w="5940" w:type="dxa"/>
            <w:vAlign w:val="center"/>
          </w:tcPr>
          <w:p>
            <w:pPr>
              <w:spacing w:line="240" w:lineRule="auto"/>
              <w:rPr>
                <w:b/>
                <w:szCs w:val="21"/>
              </w:rPr>
            </w:pPr>
            <w:r>
              <w:rPr>
                <w:rFonts w:hint="eastAsia"/>
                <w:bCs/>
                <w:szCs w:val="21"/>
              </w:rPr>
              <w:t>投标人应按其投标文件中的承诺，进行其他售后服务工作，进行技术培训服务要求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820" w:type="dxa"/>
            <w:gridSpan w:val="3"/>
            <w:vAlign w:val="center"/>
          </w:tcPr>
          <w:p>
            <w:pPr>
              <w:spacing w:line="240" w:lineRule="auto"/>
              <w:rPr>
                <w:b/>
                <w:szCs w:val="21"/>
              </w:rPr>
            </w:pPr>
            <w:r>
              <w:rPr>
                <w:rFonts w:hint="eastAsia"/>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spacing w:line="240" w:lineRule="auto"/>
              <w:jc w:val="center"/>
              <w:rPr>
                <w:b/>
                <w:szCs w:val="21"/>
              </w:rPr>
            </w:pPr>
            <w:r>
              <w:rPr>
                <w:rFonts w:hint="eastAsia"/>
                <w:b/>
                <w:szCs w:val="21"/>
              </w:rPr>
              <w:t>1</w:t>
            </w:r>
          </w:p>
        </w:tc>
        <w:tc>
          <w:tcPr>
            <w:tcW w:w="2171" w:type="dxa"/>
            <w:vMerge w:val="restart"/>
            <w:vAlign w:val="center"/>
          </w:tcPr>
          <w:p>
            <w:pPr>
              <w:spacing w:line="240" w:lineRule="auto"/>
              <w:jc w:val="center"/>
              <w:rPr>
                <w:szCs w:val="21"/>
              </w:rPr>
            </w:pPr>
            <w:r>
              <w:rPr>
                <w:rFonts w:hint="eastAsia"/>
                <w:szCs w:val="21"/>
              </w:rPr>
              <w:t>关于交货</w:t>
            </w:r>
          </w:p>
        </w:tc>
        <w:tc>
          <w:tcPr>
            <w:tcW w:w="5940" w:type="dxa"/>
            <w:vAlign w:val="center"/>
          </w:tcPr>
          <w:p>
            <w:pPr>
              <w:spacing w:line="240" w:lineRule="auto"/>
              <w:jc w:val="left"/>
              <w:rPr>
                <w:szCs w:val="21"/>
              </w:rPr>
            </w:pPr>
            <w:r>
              <w:rPr>
                <w:rFonts w:hint="eastAsia"/>
                <w:szCs w:val="21"/>
              </w:rPr>
              <w:t>1.1合同签订之日起60个日历日内完成生产、安装、测试和验收，中标方将全部货物运抵指定地点，并且全部设备安装调试完毕、验收合格且交付使用。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spacing w:line="240" w:lineRule="auto"/>
              <w:jc w:val="center"/>
              <w:rPr>
                <w:b/>
                <w:szCs w:val="21"/>
              </w:rPr>
            </w:pPr>
          </w:p>
        </w:tc>
        <w:tc>
          <w:tcPr>
            <w:tcW w:w="2171" w:type="dxa"/>
            <w:vMerge w:val="continue"/>
            <w:vAlign w:val="center"/>
          </w:tcPr>
          <w:p>
            <w:pPr>
              <w:spacing w:line="240" w:lineRule="auto"/>
              <w:jc w:val="center"/>
              <w:rPr>
                <w:szCs w:val="21"/>
              </w:rPr>
            </w:pPr>
          </w:p>
        </w:tc>
        <w:tc>
          <w:tcPr>
            <w:tcW w:w="5940" w:type="dxa"/>
            <w:vAlign w:val="center"/>
          </w:tcPr>
          <w:p>
            <w:pPr>
              <w:spacing w:line="240" w:lineRule="auto"/>
              <w:jc w:val="left"/>
              <w:rPr>
                <w:szCs w:val="21"/>
              </w:rPr>
            </w:pPr>
            <w:r>
              <w:rPr>
                <w:rFonts w:hint="eastAsia"/>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spacing w:line="240" w:lineRule="auto"/>
              <w:jc w:val="center"/>
              <w:rPr>
                <w:b/>
                <w:szCs w:val="21"/>
              </w:rPr>
            </w:pPr>
            <w:r>
              <w:rPr>
                <w:rFonts w:hint="eastAsia"/>
                <w:b/>
                <w:szCs w:val="21"/>
              </w:rPr>
              <w:t>2</w:t>
            </w:r>
          </w:p>
        </w:tc>
        <w:tc>
          <w:tcPr>
            <w:tcW w:w="2171" w:type="dxa"/>
            <w:vMerge w:val="restart"/>
            <w:vAlign w:val="center"/>
          </w:tcPr>
          <w:p>
            <w:pPr>
              <w:spacing w:line="240" w:lineRule="auto"/>
              <w:jc w:val="center"/>
              <w:rPr>
                <w:szCs w:val="21"/>
              </w:rPr>
            </w:pPr>
            <w:r>
              <w:rPr>
                <w:rFonts w:hint="eastAsia"/>
                <w:szCs w:val="21"/>
              </w:rPr>
              <w:t>关于验收</w:t>
            </w:r>
          </w:p>
        </w:tc>
        <w:tc>
          <w:tcPr>
            <w:tcW w:w="5940" w:type="dxa"/>
            <w:vAlign w:val="center"/>
          </w:tcPr>
          <w:p>
            <w:pPr>
              <w:spacing w:line="240" w:lineRule="auto"/>
              <w:jc w:val="left"/>
              <w:rPr>
                <w:szCs w:val="21"/>
              </w:rPr>
            </w:pPr>
            <w:r>
              <w:rPr>
                <w:rFonts w:hint="eastAsia"/>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709" w:type="dxa"/>
            <w:vMerge w:val="continue"/>
            <w:vAlign w:val="center"/>
          </w:tcPr>
          <w:p>
            <w:pPr>
              <w:spacing w:line="240" w:lineRule="auto"/>
              <w:jc w:val="center"/>
              <w:rPr>
                <w:b/>
                <w:szCs w:val="21"/>
              </w:rPr>
            </w:pPr>
          </w:p>
        </w:tc>
        <w:tc>
          <w:tcPr>
            <w:tcW w:w="2171" w:type="dxa"/>
            <w:vMerge w:val="continue"/>
            <w:vAlign w:val="center"/>
          </w:tcPr>
          <w:p>
            <w:pPr>
              <w:spacing w:line="240" w:lineRule="auto"/>
              <w:jc w:val="center"/>
              <w:rPr>
                <w:szCs w:val="21"/>
              </w:rPr>
            </w:pPr>
          </w:p>
        </w:tc>
        <w:tc>
          <w:tcPr>
            <w:tcW w:w="5940" w:type="dxa"/>
            <w:vAlign w:val="center"/>
          </w:tcPr>
          <w:p>
            <w:pPr>
              <w:spacing w:line="240" w:lineRule="auto"/>
              <w:jc w:val="left"/>
              <w:rPr>
                <w:szCs w:val="21"/>
              </w:rPr>
            </w:pPr>
            <w:r>
              <w:rPr>
                <w:rFonts w:hint="eastAsia"/>
                <w:szCs w:val="21"/>
              </w:rPr>
              <w:t>2.2当满足以下条件时，采购单位才向中标人签发货物验收报告：</w:t>
            </w:r>
          </w:p>
          <w:p>
            <w:pPr>
              <w:spacing w:line="240" w:lineRule="auto"/>
              <w:jc w:val="left"/>
              <w:rPr>
                <w:szCs w:val="21"/>
              </w:rPr>
            </w:pPr>
            <w:r>
              <w:rPr>
                <w:rFonts w:hint="eastAsia"/>
                <w:szCs w:val="21"/>
              </w:rPr>
              <w:t>a、中标人已按照合同规定提供了全部产品及完整的技术资料。</w:t>
            </w:r>
          </w:p>
          <w:p>
            <w:pPr>
              <w:spacing w:line="240" w:lineRule="auto"/>
              <w:jc w:val="left"/>
              <w:rPr>
                <w:szCs w:val="21"/>
              </w:rPr>
            </w:pPr>
            <w:r>
              <w:rPr>
                <w:rFonts w:hint="eastAsia"/>
                <w:szCs w:val="21"/>
              </w:rPr>
              <w:t>b、货物符合招标文件技术规格书的要求，性能满足要求。</w:t>
            </w:r>
          </w:p>
          <w:p>
            <w:pPr>
              <w:spacing w:line="240" w:lineRule="auto"/>
              <w:jc w:val="left"/>
              <w:rPr>
                <w:szCs w:val="21"/>
              </w:rPr>
            </w:pPr>
            <w:r>
              <w:rPr>
                <w:rFonts w:hint="eastAsia"/>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709" w:type="dxa"/>
            <w:vAlign w:val="center"/>
          </w:tcPr>
          <w:p>
            <w:pPr>
              <w:spacing w:line="240" w:lineRule="auto"/>
              <w:jc w:val="center"/>
              <w:rPr>
                <w:szCs w:val="21"/>
              </w:rPr>
            </w:pPr>
            <w:r>
              <w:rPr>
                <w:rFonts w:hint="eastAsia"/>
                <w:b/>
                <w:szCs w:val="21"/>
              </w:rPr>
              <w:t>3</w:t>
            </w:r>
          </w:p>
        </w:tc>
        <w:tc>
          <w:tcPr>
            <w:tcW w:w="2171" w:type="dxa"/>
            <w:vAlign w:val="center"/>
          </w:tcPr>
          <w:p>
            <w:pPr>
              <w:spacing w:line="240" w:lineRule="auto"/>
              <w:jc w:val="center"/>
              <w:rPr>
                <w:szCs w:val="21"/>
              </w:rPr>
            </w:pPr>
            <w:r>
              <w:rPr>
                <w:rFonts w:hint="eastAsia"/>
                <w:szCs w:val="21"/>
              </w:rPr>
              <w:t>付款方式</w:t>
            </w:r>
          </w:p>
        </w:tc>
        <w:tc>
          <w:tcPr>
            <w:tcW w:w="5940" w:type="dxa"/>
            <w:vAlign w:val="center"/>
          </w:tcPr>
          <w:p>
            <w:pPr>
              <w:spacing w:line="240" w:lineRule="auto"/>
              <w:jc w:val="left"/>
              <w:rPr>
                <w:szCs w:val="21"/>
              </w:rPr>
            </w:pPr>
            <w:r>
              <w:rPr>
                <w:rFonts w:hint="eastAsia"/>
                <w:bCs/>
                <w:szCs w:val="21"/>
              </w:rPr>
              <w:t>合同清单中所有设备送到指定地点、安装调试完成且经甲方验收合格后，甲方按相关程序向乙方支付</w:t>
            </w:r>
            <w:r>
              <w:rPr>
                <w:rFonts w:hint="eastAsia"/>
                <w:b/>
                <w:szCs w:val="21"/>
              </w:rPr>
              <w:t xml:space="preserve"> </w:t>
            </w:r>
            <w:r>
              <w:rPr>
                <w:rFonts w:hint="eastAsia"/>
                <w:b/>
                <w:color w:val="000000"/>
                <w:szCs w:val="21"/>
                <w:u w:val="single"/>
              </w:rPr>
              <w:t xml:space="preserve">95 </w:t>
            </w:r>
            <w:r>
              <w:rPr>
                <w:rFonts w:hint="eastAsia"/>
                <w:color w:val="000000"/>
                <w:szCs w:val="21"/>
              </w:rPr>
              <w:t>%</w:t>
            </w:r>
            <w:r>
              <w:rPr>
                <w:rFonts w:hint="eastAsia"/>
                <w:bCs/>
                <w:szCs w:val="21"/>
              </w:rPr>
              <w:t>，余款</w:t>
            </w:r>
            <w:r>
              <w:rPr>
                <w:rFonts w:hint="eastAsia"/>
                <w:bCs/>
                <w:szCs w:val="21"/>
                <w:u w:val="single"/>
              </w:rPr>
              <w:t xml:space="preserve"> </w:t>
            </w:r>
            <w:r>
              <w:rPr>
                <w:rFonts w:hint="eastAsia"/>
                <w:b/>
                <w:szCs w:val="21"/>
                <w:u w:val="single"/>
              </w:rPr>
              <w:t>5</w:t>
            </w:r>
            <w:r>
              <w:rPr>
                <w:rFonts w:hint="eastAsia"/>
                <w:bCs/>
                <w:szCs w:val="21"/>
                <w:u w:val="single"/>
              </w:rPr>
              <w:t xml:space="preserve"> </w:t>
            </w:r>
            <w:r>
              <w:rPr>
                <w:rFonts w:hint="eastAsia"/>
                <w:bCs/>
                <w:szCs w:val="21"/>
              </w:rPr>
              <w:t>%待质保期满，无质量问题且经招标人确认后无息支付。</w:t>
            </w:r>
          </w:p>
        </w:tc>
      </w:tr>
    </w:tbl>
    <w:p>
      <w:pPr>
        <w:numPr>
          <w:ilvl w:val="0"/>
          <w:numId w:val="26"/>
        </w:numPr>
        <w:adjustRightInd/>
        <w:snapToGrid/>
        <w:spacing w:before="280" w:after="290" w:line="377" w:lineRule="auto"/>
        <w:jc w:val="left"/>
        <w:outlineLvl w:val="2"/>
        <w:rPr>
          <w:b/>
          <w:sz w:val="24"/>
        </w:rPr>
      </w:pPr>
      <w:r>
        <w:rPr>
          <w:rFonts w:hint="eastAsia"/>
          <w:b/>
          <w:sz w:val="24"/>
        </w:rPr>
        <w:t>政策导向</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1</w:t>
      </w:r>
      <w:r>
        <w:rPr>
          <w:rFonts w:hint="eastAsia"/>
          <w:kern w:val="2"/>
        </w:rPr>
        <w:t>.</w:t>
      </w:r>
      <w:r>
        <w:rPr>
          <w:kern w:val="2"/>
        </w:rPr>
        <w:t>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2</w:t>
      </w:r>
      <w:r>
        <w:rPr>
          <w:rFonts w:hint="eastAsia"/>
          <w:kern w:val="2"/>
        </w:rPr>
        <w:t>.根据《深圳市人民政府关于印发深圳市贯彻落实守信联合激励和失信联合惩戒制度实施方案的通知》（深府〔</w:t>
      </w:r>
      <w:r>
        <w:rPr>
          <w:kern w:val="2"/>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120" w:beforeLines="50" w:line="300" w:lineRule="auto"/>
        <w:ind w:firstLine="420" w:firstLineChars="200"/>
        <w:rPr>
          <w:kern w:val="2"/>
        </w:rPr>
      </w:pPr>
    </w:p>
    <w:p>
      <w:pPr>
        <w:widowControl w:val="0"/>
        <w:shd w:val="clear" w:color="auto" w:fill="auto"/>
        <w:tabs>
          <w:tab w:val="clear" w:pos="426"/>
        </w:tabs>
        <w:adjustRightInd/>
        <w:snapToGrid/>
        <w:spacing w:before="120" w:beforeLines="50" w:line="300" w:lineRule="auto"/>
        <w:ind w:firstLine="420" w:firstLineChars="200"/>
        <w:rPr>
          <w:kern w:val="2"/>
        </w:rPr>
      </w:pPr>
    </w:p>
    <w:p>
      <w:pPr>
        <w:widowControl w:val="0"/>
        <w:shd w:val="clear" w:color="auto" w:fill="auto"/>
        <w:tabs>
          <w:tab w:val="clear" w:pos="426"/>
        </w:tabs>
        <w:adjustRightInd/>
        <w:snapToGrid/>
        <w:spacing w:before="120" w:beforeLines="50" w:line="300" w:lineRule="auto"/>
        <w:ind w:firstLine="420" w:firstLineChars="200"/>
        <w:rPr>
          <w:kern w:val="2"/>
        </w:rPr>
      </w:pPr>
    </w:p>
    <w:p>
      <w:pPr>
        <w:pStyle w:val="33"/>
        <w:tabs>
          <w:tab w:val="clear" w:pos="426"/>
        </w:tabs>
      </w:pPr>
      <w:r>
        <w:br w:type="page"/>
      </w:r>
      <w:bookmarkStart w:id="38" w:name="_Toc5875391"/>
      <w:r>
        <w:rPr>
          <w:rFonts w:hint="eastAsia"/>
        </w:rPr>
        <w:t>第四章</w:t>
      </w:r>
      <w:bookmarkEnd w:id="36"/>
      <w:bookmarkEnd w:id="37"/>
      <w:r>
        <w:rPr>
          <w:rFonts w:hint="eastAsia"/>
        </w:rPr>
        <w:t xml:space="preserve"> 政府采购合同的签订、履约及验收</w:t>
      </w:r>
      <w:bookmarkEnd w:id="38"/>
    </w:p>
    <w:p>
      <w:pPr>
        <w:tabs>
          <w:tab w:val="clear" w:pos="426"/>
        </w:tabs>
        <w:jc w:val="center"/>
        <w:rPr>
          <w:b/>
          <w:sz w:val="24"/>
        </w:rPr>
      </w:pPr>
      <w:bookmarkStart w:id="39" w:name="_Toc432592818"/>
      <w:bookmarkStart w:id="40" w:name="_Toc398220526"/>
      <w:r>
        <w:rPr>
          <w:rFonts w:hint="eastAsia"/>
          <w:b/>
          <w:sz w:val="24"/>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（一）</w:t>
      </w:r>
      <w:r>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（二）</w:t>
      </w:r>
      <w:r>
        <w:rPr>
          <w:rFonts w:cs="Times New Roman"/>
          <w:kern w:val="2"/>
          <w:szCs w:val="21"/>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（三）</w:t>
      </w:r>
      <w:r>
        <w:rPr>
          <w:rFonts w:cs="Times New Roman"/>
          <w:kern w:val="2"/>
          <w:szCs w:val="21"/>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（四）</w:t>
      </w:r>
      <w:r>
        <w:rPr>
          <w:rFonts w:cs="Times New Roman"/>
          <w:kern w:val="2"/>
          <w:szCs w:val="21"/>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（五）</w:t>
      </w:r>
      <w:r>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rPr>
      </w:pPr>
      <w:r>
        <w:rPr>
          <w:rFonts w:cs="Times New Roman"/>
          <w:b/>
          <w:kern w:val="2"/>
          <w:szCs w:val="21"/>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（六）</w:t>
      </w:r>
      <w:r>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shd w:val="clear" w:color="auto" w:fill="auto"/>
        <w:tabs>
          <w:tab w:val="clear" w:pos="426"/>
        </w:tabs>
        <w:adjustRightInd/>
        <w:snapToGrid/>
        <w:spacing w:line="240" w:lineRule="auto"/>
        <w:jc w:val="left"/>
        <w:rPr>
          <w:b/>
          <w:sz w:val="24"/>
        </w:rPr>
      </w:pPr>
      <w:r>
        <w:rPr>
          <w:b/>
          <w:sz w:val="24"/>
        </w:rPr>
        <w:br w:type="page"/>
      </w:r>
    </w:p>
    <w:p>
      <w:pPr>
        <w:tabs>
          <w:tab w:val="clear" w:pos="426"/>
        </w:tabs>
        <w:jc w:val="center"/>
        <w:rPr>
          <w:b/>
          <w:sz w:val="24"/>
        </w:rPr>
      </w:pPr>
    </w:p>
    <w:p>
      <w:pPr>
        <w:tabs>
          <w:tab w:val="clear" w:pos="426"/>
        </w:tabs>
        <w:jc w:val="center"/>
        <w:rPr>
          <w:b/>
          <w:sz w:val="24"/>
        </w:rPr>
      </w:pPr>
      <w:r>
        <w:rPr>
          <w:rFonts w:hint="eastAsia"/>
          <w:b/>
          <w:sz w:val="24"/>
        </w:rPr>
        <w:t>二、合同条款及格式</w:t>
      </w:r>
    </w:p>
    <w:p>
      <w:pPr>
        <w:tabs>
          <w:tab w:val="clear" w:pos="426"/>
        </w:tabs>
        <w:jc w:val="center"/>
        <w:rPr>
          <w:b/>
          <w:sz w:val="24"/>
        </w:rPr>
      </w:pPr>
      <w:r>
        <w:rPr>
          <w:rFonts w:hint="eastAsia"/>
          <w:b/>
          <w:sz w:val="24"/>
        </w:rPr>
        <w:t>有专业类别的格式合同范本请选择相应的合同</w:t>
      </w:r>
    </w:p>
    <w:p>
      <w:pPr>
        <w:tabs>
          <w:tab w:val="clear" w:pos="426"/>
        </w:tabs>
        <w:jc w:val="center"/>
        <w:rPr>
          <w:b/>
          <w:sz w:val="24"/>
        </w:rPr>
      </w:pPr>
      <w:r>
        <w:rPr>
          <w:rFonts w:hint="eastAsia"/>
          <w:b/>
          <w:sz w:val="24"/>
        </w:rPr>
        <w:t>（仅供参考）</w:t>
      </w:r>
    </w:p>
    <w:p>
      <w:pPr>
        <w:tabs>
          <w:tab w:val="clear" w:pos="426"/>
        </w:tabs>
      </w:pPr>
      <w:r>
        <w:rPr>
          <w:rFonts w:hint="eastAsia"/>
        </w:rPr>
        <w:t>甲方：</w:t>
      </w:r>
    </w:p>
    <w:p>
      <w:pPr>
        <w:tabs>
          <w:tab w:val="clear" w:pos="426"/>
        </w:tabs>
      </w:pPr>
      <w:r>
        <w:rPr>
          <w:rFonts w:hint="eastAsia"/>
        </w:rPr>
        <w:t>乙方：</w:t>
      </w:r>
    </w:p>
    <w:p>
      <w:pPr>
        <w:tabs>
          <w:tab w:val="clear" w:pos="426"/>
        </w:tabs>
        <w:rPr>
          <w:sz w:val="24"/>
        </w:rPr>
      </w:pPr>
    </w:p>
    <w:p>
      <w:pPr>
        <w:tabs>
          <w:tab w:val="clear" w:pos="426"/>
        </w:tabs>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pPr>
        <w:tabs>
          <w:tab w:val="clear" w:pos="426"/>
        </w:tabs>
        <w:ind w:firstLine="560"/>
        <w:rPr>
          <w:b/>
        </w:rPr>
      </w:pPr>
      <w:r>
        <w:rPr>
          <w:rFonts w:hint="eastAsia"/>
          <w:b/>
        </w:rPr>
        <w:t>第一条  合同标的</w:t>
      </w:r>
    </w:p>
    <w:p>
      <w:pPr>
        <w:tabs>
          <w:tab w:val="clear" w:pos="426"/>
        </w:tabs>
        <w:ind w:firstLine="560"/>
      </w:pPr>
      <w:r>
        <w:rPr>
          <w:rFonts w:hint="eastAsia"/>
        </w:rPr>
        <w:t>乙方根据甲方需求提供下列货物：</w:t>
      </w:r>
    </w:p>
    <w:p>
      <w:pPr>
        <w:tabs>
          <w:tab w:val="clear" w:pos="426"/>
        </w:tabs>
        <w:ind w:firstLine="560"/>
      </w:pPr>
      <w:r>
        <w:rPr>
          <w:rFonts w:hint="eastAsia"/>
        </w:rPr>
        <w:t>货物名称、规格及数量详见。</w:t>
      </w:r>
    </w:p>
    <w:p>
      <w:pPr>
        <w:tabs>
          <w:tab w:val="clear" w:pos="426"/>
        </w:tabs>
        <w:ind w:firstLine="560"/>
        <w:rPr>
          <w:b/>
        </w:rPr>
      </w:pPr>
      <w:r>
        <w:rPr>
          <w:rFonts w:hint="eastAsia"/>
          <w:b/>
        </w:rPr>
        <w:t>第二条  合同价款</w:t>
      </w:r>
    </w:p>
    <w:p>
      <w:pPr>
        <w:tabs>
          <w:tab w:val="clear" w:pos="426"/>
        </w:tabs>
        <w:ind w:firstLine="560"/>
      </w:pPr>
      <w:r>
        <w:rPr>
          <w:rFonts w:hint="eastAsia"/>
        </w:rPr>
        <w:t>本合同项下总价款为（大写）人民币，分项价款详见。本合同总价款已包括乙方为履行本合同义务所发生的一切费用，系固定不变价格，且不随通货膨胀的影响而波动。</w:t>
      </w:r>
    </w:p>
    <w:p>
      <w:pPr>
        <w:tabs>
          <w:tab w:val="clear" w:pos="426"/>
        </w:tabs>
        <w:ind w:firstLine="560"/>
        <w:rPr>
          <w:b/>
        </w:rPr>
      </w:pPr>
      <w:r>
        <w:rPr>
          <w:rFonts w:hint="eastAsia"/>
          <w:b/>
        </w:rPr>
        <w:t>第三条  权利保证</w:t>
      </w:r>
    </w:p>
    <w:p>
      <w:pPr>
        <w:tabs>
          <w:tab w:val="clear" w:pos="426"/>
        </w:tabs>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tabs>
          <w:tab w:val="clear" w:pos="426"/>
        </w:tabs>
        <w:ind w:firstLine="560"/>
        <w:rPr>
          <w:b/>
        </w:rPr>
      </w:pPr>
      <w:r>
        <w:rPr>
          <w:rFonts w:hint="eastAsia"/>
          <w:b/>
        </w:rPr>
        <w:t>第四条  质量保证</w:t>
      </w:r>
    </w:p>
    <w:p>
      <w:pPr>
        <w:tabs>
          <w:tab w:val="clear" w:pos="426"/>
        </w:tabs>
        <w:ind w:firstLine="560"/>
      </w:pPr>
      <w:r>
        <w:rPr>
          <w:rFonts w:hint="eastAsia"/>
        </w:rPr>
        <w:t>1.乙方所提供的货物的技术规格符合招标文件规定的技术规格，货物符合中华人民共和国的设计和制造生产标准或行业标准。</w:t>
      </w:r>
    </w:p>
    <w:p>
      <w:pPr>
        <w:tabs>
          <w:tab w:val="clear" w:pos="426"/>
        </w:tabs>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pPr>
        <w:tabs>
          <w:tab w:val="clear" w:pos="426"/>
        </w:tabs>
        <w:ind w:firstLine="560"/>
      </w:pPr>
      <w:r>
        <w:rPr>
          <w:rFonts w:hint="eastAsia"/>
        </w:rPr>
        <w:t>3.乙方保证交货时一并提供货物的质量合格凭证或文件。</w:t>
      </w:r>
    </w:p>
    <w:p>
      <w:pPr>
        <w:tabs>
          <w:tab w:val="clear" w:pos="426"/>
        </w:tabs>
        <w:ind w:firstLine="560"/>
        <w:rPr>
          <w:b/>
        </w:rPr>
      </w:pPr>
      <w:r>
        <w:rPr>
          <w:rFonts w:hint="eastAsia"/>
          <w:b/>
        </w:rPr>
        <w:t>第五条  交货和验收</w:t>
      </w:r>
    </w:p>
    <w:p>
      <w:pPr>
        <w:tabs>
          <w:tab w:val="clear" w:pos="426"/>
        </w:tabs>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pPr>
        <w:tabs>
          <w:tab w:val="clear" w:pos="426"/>
        </w:tabs>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pPr>
        <w:tabs>
          <w:tab w:val="clear" w:pos="426"/>
        </w:tabs>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tabs>
          <w:tab w:val="clear" w:pos="426"/>
        </w:tabs>
        <w:ind w:firstLine="560"/>
      </w:pPr>
      <w:r>
        <w:rPr>
          <w:rFonts w:hint="eastAsia"/>
        </w:rPr>
        <w:t>4.甲方应当在到货后的个工作日内对货物进行验收；需要乙方对货物或系统进行安装调试的，甲方应在货物安装调试完毕后的个工作日内进行质量验收。</w:t>
      </w:r>
    </w:p>
    <w:p>
      <w:pPr>
        <w:tabs>
          <w:tab w:val="clear" w:pos="426"/>
        </w:tabs>
        <w:ind w:firstLine="560"/>
        <w:rPr>
          <w:b/>
        </w:rPr>
      </w:pPr>
      <w:r>
        <w:rPr>
          <w:rFonts w:hint="eastAsia"/>
          <w:b/>
        </w:rPr>
        <w:t>第六条  保修及其他服务</w:t>
      </w:r>
    </w:p>
    <w:p>
      <w:pPr>
        <w:tabs>
          <w:tab w:val="clear" w:pos="426"/>
        </w:tabs>
        <w:ind w:firstLine="560"/>
      </w:pPr>
      <w:r>
        <w:rPr>
          <w:rFonts w:hint="eastAsia"/>
        </w:rPr>
        <w:t>1.乙方应按照国家有关法律法规规章和“三包”规定和招标文件的要求及乙方在投标文件的相关承诺提供保修及其他服务。</w:t>
      </w:r>
    </w:p>
    <w:p>
      <w:pPr>
        <w:tabs>
          <w:tab w:val="clear" w:pos="426"/>
        </w:tabs>
        <w:ind w:firstLine="560"/>
      </w:pPr>
      <w:r>
        <w:rPr>
          <w:rFonts w:hint="eastAsia"/>
        </w:rPr>
        <w:t>2.</w:t>
      </w:r>
      <w:r>
        <w:t>保修期内，乙方负责对其提供的货物进行维修和系统维护，不再收取任何费用。</w:t>
      </w:r>
      <w:r>
        <w:rPr>
          <w:rFonts w:hint="eastAsia"/>
        </w:rPr>
        <w:t>所有货物保修服务方式均为乙方上门保修，即由乙方派员到货物使用现场维修，由此产生的一切费用均由乙方承担。保修期后的货物维护另行协商。</w:t>
      </w:r>
    </w:p>
    <w:p>
      <w:pPr>
        <w:tabs>
          <w:tab w:val="clear" w:pos="426"/>
        </w:tabs>
        <w:ind w:firstLine="560"/>
        <w:rPr>
          <w:b/>
        </w:rPr>
      </w:pPr>
      <w:r>
        <w:rPr>
          <w:rFonts w:hint="eastAsia"/>
          <w:b/>
        </w:rPr>
        <w:t>第七条  履约保证金</w:t>
      </w:r>
    </w:p>
    <w:p>
      <w:pPr>
        <w:tabs>
          <w:tab w:val="clear" w:pos="426"/>
        </w:tabs>
        <w:ind w:firstLine="560"/>
      </w:pPr>
      <w:r>
        <w:rPr>
          <w:rFonts w:hint="eastAsia"/>
        </w:rPr>
        <w:t>1.乙方应在签订本合同之日，向甲方或甲方指定的机构提交履约保证金_________元。</w:t>
      </w:r>
    </w:p>
    <w:p>
      <w:pPr>
        <w:tabs>
          <w:tab w:val="clear" w:pos="426"/>
        </w:tabs>
        <w:ind w:firstLine="560"/>
      </w:pPr>
      <w:r>
        <w:rPr>
          <w:rFonts w:hint="eastAsia"/>
        </w:rPr>
        <w:t>2.如乙方未能履行合同规定的义务，甲方有权从履约保证金中取得补偿。</w:t>
      </w:r>
    </w:p>
    <w:p>
      <w:pPr>
        <w:tabs>
          <w:tab w:val="clear" w:pos="426"/>
        </w:tabs>
        <w:ind w:firstLine="560"/>
      </w:pPr>
      <w:r>
        <w:rPr>
          <w:rFonts w:hint="eastAsia"/>
        </w:rPr>
        <w:t>3.甲方在乙方履行完毕本合同项下全部义务后______天内无息退还乙方。</w:t>
      </w:r>
    </w:p>
    <w:p>
      <w:pPr>
        <w:tabs>
          <w:tab w:val="clear" w:pos="426"/>
        </w:tabs>
        <w:ind w:firstLine="560"/>
        <w:rPr>
          <w:b/>
        </w:rPr>
      </w:pPr>
      <w:r>
        <w:rPr>
          <w:rFonts w:hint="eastAsia"/>
          <w:b/>
        </w:rPr>
        <w:t>第八条   货款支付</w:t>
      </w:r>
    </w:p>
    <w:p>
      <w:pPr>
        <w:tabs>
          <w:tab w:val="clear" w:pos="426"/>
        </w:tabs>
        <w:ind w:firstLine="560"/>
        <w:rPr>
          <w:b/>
        </w:rPr>
      </w:pPr>
      <w:r>
        <w:rPr>
          <w:rFonts w:hint="eastAsia"/>
          <w:b/>
        </w:rPr>
        <w:t>第九条    违约责任</w:t>
      </w:r>
    </w:p>
    <w:p>
      <w:pPr>
        <w:tabs>
          <w:tab w:val="clear" w:pos="426"/>
        </w:tabs>
        <w:ind w:firstLine="560"/>
      </w:pPr>
      <w:r>
        <w:rPr>
          <w:rFonts w:hint="eastAsia"/>
        </w:rPr>
        <w:t>1.甲方无正当理由拒收货物、拒付货物款的，由甲方向乙方偿付合同总价的%违约金。</w:t>
      </w:r>
    </w:p>
    <w:p>
      <w:pPr>
        <w:tabs>
          <w:tab w:val="clear" w:pos="426"/>
        </w:tabs>
        <w:ind w:firstLine="560"/>
      </w:pPr>
      <w:r>
        <w:rPr>
          <w:rFonts w:hint="eastAsia"/>
        </w:rPr>
        <w:t>2.甲方未按合同规定的期限向乙方支付货款的，每逾期1天甲方向乙方偿付欠款总额的     ‰滞纳金，但累计滞纳金总额不超过欠款总额的% 。</w:t>
      </w:r>
    </w:p>
    <w:p>
      <w:pPr>
        <w:tabs>
          <w:tab w:val="clear" w:pos="426"/>
        </w:tabs>
        <w:ind w:firstLine="560"/>
      </w:pPr>
      <w:r>
        <w:rPr>
          <w:rFonts w:hint="eastAsia"/>
        </w:rPr>
        <w:t>3.</w:t>
      </w:r>
      <w:r>
        <w:t>乙方逾期交付货物的，每逾期1天，乙方向甲方偿付逾期交货部分货款总额的‰的滞纳金</w:t>
      </w:r>
      <w:r>
        <w:rPr>
          <w:rFonts w:hint="eastAsia"/>
        </w:rPr>
        <w:t>。如乙方逾期交货达天，甲方有权解除合同，履约保证金不予退回，同时乙方应向甲方支付合同总价％的违约金。</w:t>
      </w:r>
    </w:p>
    <w:p>
      <w:pPr>
        <w:tabs>
          <w:tab w:val="clear" w:pos="426"/>
        </w:tabs>
        <w:ind w:firstLine="560"/>
      </w:pPr>
      <w:r>
        <w:rPr>
          <w:rFonts w:hint="eastAsia"/>
        </w:rPr>
        <w:t>4.乙方所交付的货物品种、型号、规格不符合合同规定的，甲方有权拒收。甲方拒收的，乙方应向甲方支付货款总额%的违约金。</w:t>
      </w:r>
    </w:p>
    <w:p>
      <w:pPr>
        <w:tabs>
          <w:tab w:val="clear" w:pos="426"/>
        </w:tabs>
        <w:ind w:firstLine="560"/>
      </w:pPr>
      <w:r>
        <w:rPr>
          <w:rFonts w:hint="eastAsia"/>
        </w:rPr>
        <w:t>5.在乙方承诺的或国家规定的质量保证期内（取两者中最长的期限），</w:t>
      </w:r>
      <w:r>
        <w:t>如经乙方两次维修</w:t>
      </w:r>
      <w:r>
        <w:rPr>
          <w:rFonts w:hint="eastAsia"/>
        </w:rPr>
        <w:t>或更换</w:t>
      </w:r>
      <w:r>
        <w:t>，货物仍不能达到合同约定</w:t>
      </w:r>
      <w:r>
        <w:rPr>
          <w:rFonts w:hint="eastAsia"/>
        </w:rPr>
        <w:t>的</w:t>
      </w:r>
      <w:r>
        <w:t>质量标准，甲方有权退货，乙方</w:t>
      </w:r>
      <w:r>
        <w:rPr>
          <w:rFonts w:hint="eastAsia"/>
        </w:rPr>
        <w:t>应</w:t>
      </w:r>
      <w:r>
        <w:t>退回全部货款</w:t>
      </w:r>
      <w:r>
        <w:rPr>
          <w:rFonts w:hint="eastAsia"/>
        </w:rPr>
        <w:t>并</w:t>
      </w:r>
      <w:r>
        <w:t>赔偿甲方因此遭受的损失。</w:t>
      </w:r>
    </w:p>
    <w:p>
      <w:pPr>
        <w:tabs>
          <w:tab w:val="clear" w:pos="426"/>
        </w:tabs>
        <w:ind w:firstLine="560"/>
      </w:pPr>
      <w:r>
        <w:rPr>
          <w:rFonts w:hint="eastAsia"/>
        </w:rPr>
        <w:t>6.乙方未履行本合同项下的其他义务或违反其在投标文件中的相关承诺的，应按合同总价款的%向甲方承担违约责任。</w:t>
      </w:r>
    </w:p>
    <w:p>
      <w:pPr>
        <w:tabs>
          <w:tab w:val="clear" w:pos="426"/>
        </w:tabs>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pPr>
        <w:tabs>
          <w:tab w:val="clear" w:pos="426"/>
        </w:tabs>
        <w:ind w:firstLine="560"/>
        <w:rPr>
          <w:b/>
        </w:rPr>
      </w:pPr>
      <w:r>
        <w:rPr>
          <w:rFonts w:hint="eastAsia"/>
          <w:b/>
        </w:rPr>
        <w:t>第十条    合同的变更和终止</w:t>
      </w:r>
    </w:p>
    <w:p>
      <w:pPr>
        <w:tabs>
          <w:tab w:val="clear" w:pos="426"/>
        </w:tabs>
        <w:ind w:firstLine="560"/>
      </w:pPr>
      <w:r>
        <w:rPr>
          <w:rFonts w:hint="eastAsia"/>
        </w:rPr>
        <w:t>除《中华人民共和国政府采购法》第４９条、第５０条第二款规定的情形外，本合同一经签订，甲乙双方不得擅自变更、中止或终止合同。</w:t>
      </w:r>
    </w:p>
    <w:p>
      <w:pPr>
        <w:tabs>
          <w:tab w:val="clear" w:pos="426"/>
        </w:tabs>
        <w:ind w:firstLine="560"/>
        <w:rPr>
          <w:b/>
        </w:rPr>
      </w:pPr>
      <w:r>
        <w:rPr>
          <w:rFonts w:hint="eastAsia"/>
          <w:b/>
        </w:rPr>
        <w:t>第十一条   争议的解决</w:t>
      </w:r>
    </w:p>
    <w:p>
      <w:pPr>
        <w:tabs>
          <w:tab w:val="clear" w:pos="426"/>
        </w:tabs>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pPr>
        <w:tabs>
          <w:tab w:val="clear" w:pos="426"/>
        </w:tabs>
        <w:ind w:firstLine="560"/>
      </w:pPr>
      <w:r>
        <w:rPr>
          <w:rFonts w:hint="eastAsia"/>
        </w:rPr>
        <w:t>2.因履行本合同引起的或与本合同有关的争议，甲、乙双方应首先通过友好协商解决，如果协商不能解决争议，则向甲方所在地有管辖权的人民法院提起诉讼；</w:t>
      </w:r>
    </w:p>
    <w:p>
      <w:pPr>
        <w:tabs>
          <w:tab w:val="clear" w:pos="426"/>
        </w:tabs>
        <w:ind w:firstLine="560"/>
        <w:rPr>
          <w:b/>
        </w:rPr>
      </w:pPr>
      <w:r>
        <w:rPr>
          <w:rFonts w:hint="eastAsia"/>
          <w:b/>
        </w:rPr>
        <w:t>第十二条   合同生效及其他</w:t>
      </w:r>
    </w:p>
    <w:p>
      <w:pPr>
        <w:tabs>
          <w:tab w:val="clear" w:pos="426"/>
        </w:tabs>
        <w:ind w:firstLine="560"/>
      </w:pPr>
      <w:r>
        <w:rPr>
          <w:rFonts w:hint="eastAsia"/>
        </w:rPr>
        <w:t>1.下列文件均为本合同的组成部分：</w:t>
      </w:r>
    </w:p>
    <w:p>
      <w:pPr>
        <w:tabs>
          <w:tab w:val="clear" w:pos="426"/>
        </w:tabs>
        <w:ind w:firstLine="560"/>
      </w:pPr>
      <w:r>
        <w:rPr>
          <w:rFonts w:hint="eastAsia"/>
        </w:rPr>
        <w:t>（1）号招标文件、答疑及补充通知；</w:t>
      </w:r>
    </w:p>
    <w:p>
      <w:pPr>
        <w:tabs>
          <w:tab w:val="clear" w:pos="426"/>
        </w:tabs>
        <w:ind w:firstLine="560"/>
      </w:pPr>
      <w:r>
        <w:rPr>
          <w:rFonts w:hint="eastAsia"/>
        </w:rPr>
        <w:t>（2）乙方的投标文件；</w:t>
      </w:r>
    </w:p>
    <w:p>
      <w:pPr>
        <w:tabs>
          <w:tab w:val="clear" w:pos="426"/>
        </w:tabs>
        <w:ind w:firstLine="560"/>
      </w:pPr>
      <w:r>
        <w:rPr>
          <w:rFonts w:hint="eastAsia"/>
        </w:rPr>
        <w:t>（3）本合同执行中甲乙双方共同签署的补充与修正文件。</w:t>
      </w:r>
    </w:p>
    <w:p>
      <w:pPr>
        <w:tabs>
          <w:tab w:val="clear" w:pos="426"/>
        </w:tabs>
        <w:ind w:firstLine="560"/>
      </w:pPr>
      <w:r>
        <w:rPr>
          <w:rFonts w:hint="eastAsia"/>
        </w:rPr>
        <w:t>2.本合同一式份，甲、乙方双方各执份，具有同等法律效力。本合同自双方法定代表人（或授权代表）签字并盖章之日起生效。</w:t>
      </w:r>
    </w:p>
    <w:p>
      <w:pPr>
        <w:tabs>
          <w:tab w:val="clear" w:pos="426"/>
        </w:tabs>
        <w:ind w:firstLine="560"/>
      </w:pPr>
    </w:p>
    <w:p>
      <w:pPr>
        <w:tabs>
          <w:tab w:val="clear" w:pos="426"/>
        </w:tabs>
        <w:ind w:firstLine="560"/>
      </w:pPr>
    </w:p>
    <w:p>
      <w:pPr>
        <w:tabs>
          <w:tab w:val="clear" w:pos="426"/>
        </w:tabs>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pPr>
        <w:tabs>
          <w:tab w:val="clear" w:pos="426"/>
        </w:tabs>
        <w:ind w:firstLine="560"/>
      </w:pPr>
      <w:r>
        <w:rPr>
          <w:rFonts w:hint="eastAsia"/>
        </w:rPr>
        <w:t>法定代表人：    法定代表人：</w:t>
      </w:r>
    </w:p>
    <w:p>
      <w:pPr>
        <w:tabs>
          <w:tab w:val="clear" w:pos="426"/>
        </w:tabs>
        <w:ind w:firstLine="560"/>
        <w:rPr>
          <w:u w:val="single"/>
        </w:rPr>
      </w:pPr>
      <w:r>
        <w:rPr>
          <w:rFonts w:hint="eastAsia"/>
        </w:rPr>
        <w:t>委托代理人：    委托代理人：</w:t>
      </w:r>
    </w:p>
    <w:p>
      <w:pPr>
        <w:tabs>
          <w:tab w:val="clear" w:pos="426"/>
        </w:tabs>
        <w:ind w:firstLine="525" w:firstLineChars="250"/>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p>
    <w:p>
      <w:pPr>
        <w:shd w:val="clear" w:color="auto" w:fill="auto"/>
        <w:tabs>
          <w:tab w:val="clear" w:pos="426"/>
        </w:tabs>
        <w:adjustRightInd/>
        <w:snapToGrid/>
        <w:spacing w:line="240" w:lineRule="auto"/>
        <w:jc w:val="left"/>
        <w:rPr>
          <w:color w:val="000000"/>
          <w:sz w:val="24"/>
        </w:rPr>
      </w:pPr>
      <w:r>
        <w:rPr>
          <w:color w:val="000000"/>
          <w:sz w:val="24"/>
        </w:rPr>
        <w:br w:type="page"/>
      </w:r>
    </w:p>
    <w:p>
      <w:pPr>
        <w:tabs>
          <w:tab w:val="clear" w:pos="426"/>
        </w:tabs>
        <w:jc w:val="center"/>
        <w:rPr>
          <w:b/>
          <w:sz w:val="24"/>
        </w:rPr>
      </w:pPr>
    </w:p>
    <w:p>
      <w:pPr>
        <w:tabs>
          <w:tab w:val="clear" w:pos="426"/>
        </w:tabs>
        <w:jc w:val="center"/>
        <w:rPr>
          <w:b/>
          <w:sz w:val="24"/>
        </w:rPr>
      </w:pPr>
      <w:r>
        <w:rPr>
          <w:rFonts w:hint="eastAsia"/>
          <w:b/>
          <w:sz w:val="24"/>
        </w:rPr>
        <w:t>三、履约担保</w:t>
      </w:r>
    </w:p>
    <w:p>
      <w:pPr>
        <w:tabs>
          <w:tab w:val="clear" w:pos="426"/>
        </w:tabs>
        <w:ind w:left="6094" w:leftChars="2902"/>
        <w:rPr>
          <w:sz w:val="22"/>
          <w:szCs w:val="22"/>
        </w:rPr>
      </w:pPr>
    </w:p>
    <w:p>
      <w:pPr>
        <w:tabs>
          <w:tab w:val="clear" w:pos="426"/>
        </w:tabs>
        <w:ind w:left="6094" w:leftChars="2902"/>
        <w:rPr>
          <w:u w:val="single"/>
        </w:rPr>
      </w:pPr>
      <w:r>
        <w:rPr>
          <w:rFonts w:hint="eastAsia"/>
          <w:sz w:val="22"/>
          <w:szCs w:val="22"/>
        </w:rPr>
        <w:t>保函编号：</w:t>
      </w:r>
    </w:p>
    <w:p>
      <w:pPr>
        <w:tabs>
          <w:tab w:val="clear" w:pos="426"/>
        </w:tabs>
        <w:rPr>
          <w:sz w:val="22"/>
          <w:szCs w:val="22"/>
        </w:rPr>
      </w:pPr>
      <w:r>
        <w:rPr>
          <w:rFonts w:hint="eastAsia"/>
          <w:sz w:val="22"/>
          <w:szCs w:val="22"/>
        </w:rPr>
        <w:t xml:space="preserve">致：: </w:t>
      </w:r>
    </w:p>
    <w:p>
      <w:pPr>
        <w:tabs>
          <w:tab w:val="clear" w:pos="426"/>
        </w:tabs>
      </w:pPr>
      <w:r>
        <w:rPr>
          <w:rFonts w:hint="eastAsia"/>
        </w:rPr>
        <w:t xml:space="preserve">鉴于 </w:t>
      </w:r>
      <w:r>
        <w:rPr>
          <w:rFonts w:hint="eastAsia"/>
          <w:u w:val="single"/>
        </w:rPr>
        <w:t xml:space="preserve">     （被保护人)       </w:t>
      </w:r>
      <w:r>
        <w:rPr>
          <w:rFonts w:hint="eastAsia"/>
        </w:rPr>
        <w:t>已于贵方签订了</w:t>
      </w:r>
      <w:r>
        <w:rPr>
          <w:rFonts w:hint="eastAsia"/>
          <w:u w:val="single"/>
        </w:rPr>
        <w:t xml:space="preserve">  （项目名称）（招标项目编号：      ）  </w:t>
      </w:r>
      <w:r>
        <w:rPr>
          <w:rFonts w:hint="eastAsia"/>
        </w:rPr>
        <w:t>的</w:t>
      </w:r>
      <w:r>
        <w:rPr>
          <w:rFonts w:hint="eastAsia"/>
          <w:u w:val="single"/>
        </w:rPr>
        <w:t xml:space="preserve">  （采购合同名称）  </w:t>
      </w:r>
      <w:r>
        <w:rPr>
          <w:rFonts w:hint="eastAsia"/>
        </w:rPr>
        <w:t>采购合同（下称合同)，工期自</w:t>
      </w:r>
      <w:r>
        <w:rPr>
          <w:rFonts w:hint="eastAsia"/>
          <w:u w:val="single"/>
        </w:rPr>
        <w:t xml:space="preserve">       年   月   日</w:t>
      </w:r>
      <w:r>
        <w:rPr>
          <w:rFonts w:hint="eastAsia"/>
        </w:rPr>
        <w:t>至</w:t>
      </w:r>
      <w:r>
        <w:rPr>
          <w:rFonts w:hint="eastAsia"/>
          <w:u w:val="single"/>
        </w:rPr>
        <w:t xml:space="preserve">       年   月   日</w:t>
      </w:r>
      <w:r>
        <w:rPr>
          <w:rFonts w:hint="eastAsia"/>
        </w:rPr>
        <w:t>。我方接受被保证人的委托，在此向受益人提供不可撤销的履约保函：</w:t>
      </w:r>
    </w:p>
    <w:p>
      <w:pPr>
        <w:tabs>
          <w:tab w:val="clear" w:pos="426"/>
        </w:tabs>
      </w:pPr>
      <w:r>
        <w:rPr>
          <w:rFonts w:hint="eastAsia"/>
        </w:rPr>
        <w:t>1．本保证担保的最高担保金额为人民币</w:t>
      </w:r>
      <w:r>
        <w:rPr>
          <w:rFonts w:hint="eastAsia"/>
          <w:u w:val="single"/>
        </w:rPr>
        <w:t xml:space="preserve">   （小写)    </w:t>
      </w:r>
      <w:r>
        <w:rPr>
          <w:rFonts w:hint="eastAsia"/>
        </w:rPr>
        <w:t>元（</w:t>
      </w:r>
      <w:r>
        <w:rPr>
          <w:rFonts w:hint="eastAsia"/>
          <w:u w:val="single"/>
        </w:rPr>
        <w:t xml:space="preserve">   （大写)     </w:t>
      </w:r>
      <w:r>
        <w:rPr>
          <w:rFonts w:hint="eastAsia"/>
        </w:rPr>
        <w:t>元）。</w:t>
      </w:r>
    </w:p>
    <w:p>
      <w:pPr>
        <w:tabs>
          <w:tab w:val="clear" w:pos="426"/>
        </w:tabs>
      </w:pPr>
      <w:r>
        <w:rPr>
          <w:rFonts w:hint="eastAsia"/>
        </w:rPr>
        <w:t>2．本保证担保的保证期间自</w:t>
      </w:r>
      <w:r>
        <w:rPr>
          <w:rFonts w:hint="eastAsia"/>
          <w:u w:val="single"/>
        </w:rPr>
        <w:t xml:space="preserve">        年    月   日</w:t>
      </w:r>
      <w:r>
        <w:rPr>
          <w:rFonts w:hint="eastAsia"/>
        </w:rPr>
        <w:t>至</w:t>
      </w:r>
      <w:r>
        <w:rPr>
          <w:rFonts w:hint="eastAsia"/>
          <w:u w:val="single"/>
        </w:rPr>
        <w:t xml:space="preserve">        年   月   日</w:t>
      </w:r>
      <w:r>
        <w:rPr>
          <w:rFonts w:hint="eastAsia"/>
        </w:rPr>
        <w:t>。</w:t>
      </w:r>
    </w:p>
    <w:p>
      <w:pPr>
        <w:tabs>
          <w:tab w:val="clear" w:pos="426"/>
        </w:tabs>
      </w:pPr>
      <w:r>
        <w:rPr>
          <w:rFonts w:hint="eastAsia"/>
        </w:rPr>
        <w:t>3．在本保证担保的保证期间内，我方将在收到</w:t>
      </w:r>
      <w:r>
        <w:rPr>
          <w:rFonts w:hint="eastAsia"/>
          <w:u w:val="single"/>
        </w:rPr>
        <w:t xml:space="preserve">      （受益人）     </w:t>
      </w:r>
      <w:r>
        <w:rPr>
          <w:rFonts w:hint="eastAsia"/>
        </w:rPr>
        <w:t>法定代表人或其授权委托代理人签字确认并加盖公章的书面索赔通知后个工作日内，不争辩、不挑剔、不可撤销地向受益人支付索赔款，直至本保证的最高担保金额。</w:t>
      </w:r>
    </w:p>
    <w:p>
      <w:pPr>
        <w:tabs>
          <w:tab w:val="clear" w:pos="426"/>
        </w:tabs>
      </w:pPr>
      <w:r>
        <w:rPr>
          <w:rFonts w:hint="eastAsia"/>
        </w:rPr>
        <w:t>4．索赔通知应当说明索赔理由、索赔款额的计算方法，并必须在本保证担保的保证期间内送达我方。</w:t>
      </w:r>
    </w:p>
    <w:p>
      <w:pPr>
        <w:tabs>
          <w:tab w:val="clear" w:pos="426"/>
        </w:tabs>
      </w:pPr>
      <w:r>
        <w:rPr>
          <w:rFonts w:hint="eastAsia"/>
        </w:rPr>
        <w:t>5．本保证担保项下的权利不得转让。</w:t>
      </w:r>
    </w:p>
    <w:p>
      <w:pPr>
        <w:tabs>
          <w:tab w:val="clear" w:pos="426"/>
        </w:tabs>
      </w:pPr>
      <w:r>
        <w:rPr>
          <w:rFonts w:hint="eastAsia"/>
        </w:rPr>
        <w:t>6．我方提供本保证担保后，受益人与被保证人对合同进行修订的，应当将修订后的合同原件送我方备案。</w:t>
      </w:r>
    </w:p>
    <w:p>
      <w:pPr>
        <w:tabs>
          <w:tab w:val="clear" w:pos="426"/>
        </w:tabs>
      </w:pPr>
      <w:r>
        <w:rPr>
          <w:rFonts w:hint="eastAsia"/>
        </w:rPr>
        <w:t>7．本保证担保的保证期间届满，或我方向受益人支付的索赔款已达本保证担保的最高担保金额，我方的保证责任免除。</w:t>
      </w:r>
    </w:p>
    <w:p>
      <w:pPr>
        <w:tabs>
          <w:tab w:val="clear" w:pos="426"/>
        </w:tabs>
      </w:pPr>
      <w:r>
        <w:rPr>
          <w:rFonts w:hint="eastAsia"/>
        </w:rPr>
        <w:t>8．本保证担保适用中华人民共和国法律。</w:t>
      </w:r>
    </w:p>
    <w:p>
      <w:pPr>
        <w:tabs>
          <w:tab w:val="clear" w:pos="426"/>
        </w:tabs>
      </w:pPr>
      <w:r>
        <w:rPr>
          <w:rFonts w:hint="eastAsia"/>
        </w:rPr>
        <w:t>9．本保证担保以中文文本为准，涂改无效。</w:t>
      </w:r>
    </w:p>
    <w:p>
      <w:pPr>
        <w:tabs>
          <w:tab w:val="clear" w:pos="426"/>
        </w:tabs>
      </w:pPr>
    </w:p>
    <w:p>
      <w:pPr>
        <w:tabs>
          <w:tab w:val="clear" w:pos="426"/>
        </w:tabs>
      </w:pPr>
      <w:r>
        <w:rPr>
          <w:rFonts w:hint="eastAsia"/>
        </w:rPr>
        <w:t>（本保函失效后，请将原件退回我方注销)</w:t>
      </w:r>
    </w:p>
    <w:p>
      <w:pPr>
        <w:tabs>
          <w:tab w:val="clear" w:pos="426"/>
        </w:tabs>
      </w:pPr>
    </w:p>
    <w:p>
      <w:pPr>
        <w:tabs>
          <w:tab w:val="clear" w:pos="426"/>
        </w:tabs>
      </w:pPr>
      <w:r>
        <w:rPr>
          <w:rFonts w:hint="eastAsia"/>
        </w:rPr>
        <w:t>保证人名称（公章)：</w:t>
      </w:r>
    </w:p>
    <w:p>
      <w:pPr>
        <w:tabs>
          <w:tab w:val="clear" w:pos="426"/>
        </w:tabs>
      </w:pPr>
      <w:r>
        <w:rPr>
          <w:rFonts w:hint="eastAsia"/>
        </w:rPr>
        <w:t>法定代表人或委托代理人（签字)：</w:t>
      </w:r>
    </w:p>
    <w:p>
      <w:pPr>
        <w:tabs>
          <w:tab w:val="clear" w:pos="426"/>
        </w:tabs>
      </w:pPr>
      <w:r>
        <w:rPr>
          <w:rFonts w:hint="eastAsia"/>
        </w:rPr>
        <w:t>单位地址：</w:t>
      </w:r>
    </w:p>
    <w:p>
      <w:pPr>
        <w:tabs>
          <w:tab w:val="clear" w:pos="426"/>
        </w:tabs>
      </w:pPr>
      <w:r>
        <w:rPr>
          <w:rFonts w:hint="eastAsia"/>
        </w:rPr>
        <w:t>电话：传真：</w:t>
      </w:r>
    </w:p>
    <w:p>
      <w:pPr>
        <w:tabs>
          <w:tab w:val="clear" w:pos="426"/>
        </w:tabs>
      </w:pPr>
      <w:r>
        <w:rPr>
          <w:rFonts w:hint="eastAsia"/>
        </w:rPr>
        <w:t>日期：</w:t>
      </w:r>
    </w:p>
    <w:p>
      <w:pPr>
        <w:tabs>
          <w:tab w:val="clear" w:pos="426"/>
        </w:tabs>
      </w:pPr>
    </w:p>
    <w:p>
      <w:pPr>
        <w:tabs>
          <w:tab w:val="clear" w:pos="426"/>
        </w:tabs>
      </w:pPr>
      <w:r>
        <w:rPr>
          <w:rFonts w:hint="eastAsia"/>
        </w:rPr>
        <w:t>说明：《履约担保》为中标后提交履约保函时所用，投标文件中无需提供《履约担保》。</w:t>
      </w:r>
    </w:p>
    <w:p>
      <w:pPr>
        <w:shd w:val="clear" w:color="auto" w:fill="auto"/>
        <w:tabs>
          <w:tab w:val="clear" w:pos="426"/>
        </w:tabs>
        <w:adjustRightInd/>
        <w:snapToGrid/>
        <w:spacing w:line="240" w:lineRule="auto"/>
        <w:jc w:val="left"/>
      </w:pPr>
      <w:r>
        <w:br w:type="page"/>
      </w:r>
    </w:p>
    <w:p>
      <w:pPr>
        <w:tabs>
          <w:tab w:val="clear" w:pos="426"/>
        </w:tabs>
      </w:pPr>
    </w:p>
    <w:p>
      <w:pPr>
        <w:tabs>
          <w:tab w:val="clear" w:pos="426"/>
        </w:tabs>
        <w:jc w:val="center"/>
        <w:rPr>
          <w:b/>
          <w:sz w:val="24"/>
        </w:rPr>
      </w:pPr>
      <w:r>
        <w:rPr>
          <w:rFonts w:hint="eastAsia"/>
          <w:b/>
          <w:sz w:val="24"/>
        </w:rPr>
        <w:t>四、政府采购履约情况反馈表</w:t>
      </w:r>
    </w:p>
    <w:p>
      <w:pPr>
        <w:tabs>
          <w:tab w:val="clear" w:pos="426"/>
        </w:tabs>
        <w:jc w:val="center"/>
        <w:rPr>
          <w:b/>
          <w:sz w:val="24"/>
        </w:rPr>
      </w:pPr>
    </w:p>
    <w:p>
      <w:pPr>
        <w:tabs>
          <w:tab w:val="clear" w:pos="426"/>
        </w:tabs>
        <w:rPr>
          <w:u w:val="single"/>
        </w:rPr>
      </w:pPr>
      <w:r>
        <w:rPr>
          <w:rFonts w:hint="eastAsia"/>
        </w:rPr>
        <w:t>采购单位名称：联系人及电话：</w:t>
      </w:r>
    </w:p>
    <w:tbl>
      <w:tblPr>
        <w:tblStyle w:val="44"/>
        <w:tblW w:w="957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pPr>
            <w:r>
              <w:rPr>
                <w:rFonts w:hint="eastAsia"/>
              </w:rPr>
              <w:t>采购项目名称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项目编号</w:t>
            </w:r>
          </w:p>
        </w:tc>
        <w:tc>
          <w:tcPr>
            <w:tcW w:w="2291" w:type="dxa"/>
            <w:vAlign w:val="center"/>
          </w:tcPr>
          <w:p>
            <w:pPr>
              <w:pStyle w:val="7"/>
              <w:tabs>
                <w:tab w:val="clear" w:pos="426"/>
              </w:tabs>
              <w:spacing w:line="240" w:lineRule="auto"/>
              <w:jc w:val="both"/>
              <w:rPr>
                <w:rFonts w:ascii="宋体"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pPr>
            <w:r>
              <w:rPr>
                <w:rFonts w:hint="eastAsia"/>
              </w:rPr>
              <w:t>中标人名称</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供应商</w:t>
            </w:r>
          </w:p>
          <w:p>
            <w:pPr>
              <w:tabs>
                <w:tab w:val="clear" w:pos="426"/>
              </w:tabs>
              <w:spacing w:line="240" w:lineRule="auto"/>
            </w:pPr>
            <w:r>
              <w:rPr>
                <w:rFonts w:hint="eastAsia"/>
              </w:rPr>
              <w:t>联系人及电话</w:t>
            </w:r>
          </w:p>
        </w:tc>
        <w:tc>
          <w:tcPr>
            <w:tcW w:w="2291" w:type="dxa"/>
            <w:vAlign w:val="center"/>
          </w:tcPr>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pPr>
            <w:r>
              <w:rPr>
                <w:rFonts w:hint="eastAsia"/>
              </w:rPr>
              <w:t>中标金额</w:t>
            </w:r>
          </w:p>
        </w:tc>
        <w:tc>
          <w:tcPr>
            <w:tcW w:w="2704" w:type="dxa"/>
            <w:vAlign w:val="center"/>
          </w:tcPr>
          <w:p>
            <w:pPr>
              <w:tabs>
                <w:tab w:val="clear" w:pos="426"/>
              </w:tabs>
              <w:spacing w:line="240" w:lineRule="auto"/>
            </w:pPr>
          </w:p>
        </w:tc>
        <w:tc>
          <w:tcPr>
            <w:tcW w:w="2125" w:type="dxa"/>
            <w:vAlign w:val="center"/>
          </w:tcPr>
          <w:p>
            <w:pPr>
              <w:tabs>
                <w:tab w:val="clear" w:pos="426"/>
              </w:tabs>
              <w:spacing w:line="240" w:lineRule="auto"/>
            </w:pPr>
            <w:r>
              <w:rPr>
                <w:rFonts w:hint="eastAsia"/>
              </w:rPr>
              <w:t>合同履约时间</w:t>
            </w:r>
          </w:p>
        </w:tc>
        <w:tc>
          <w:tcPr>
            <w:tcW w:w="2291" w:type="dxa"/>
            <w:vAlign w:val="center"/>
          </w:tcPr>
          <w:p>
            <w:pPr>
              <w:tabs>
                <w:tab w:val="clear" w:pos="426"/>
              </w:tabs>
              <w:spacing w:line="240" w:lineRule="auto"/>
            </w:pPr>
            <w:r>
              <w:rPr>
                <w:rFonts w:hint="eastAsia"/>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pPr>
            <w:r>
              <w:rPr>
                <w:rFonts w:hint="eastAsia"/>
              </w:rPr>
              <w:t>履约情况评价</w:t>
            </w:r>
          </w:p>
        </w:tc>
        <w:tc>
          <w:tcPr>
            <w:tcW w:w="1546" w:type="dxa"/>
            <w:gridSpan w:val="2"/>
            <w:tcBorders>
              <w:right w:val="single" w:color="auto" w:sz="4" w:space="0"/>
            </w:tcBorders>
            <w:vAlign w:val="center"/>
          </w:tcPr>
          <w:p>
            <w:pPr>
              <w:tabs>
                <w:tab w:val="clear" w:pos="426"/>
              </w:tabs>
              <w:spacing w:line="240" w:lineRule="auto"/>
              <w:jc w:val="center"/>
            </w:pPr>
            <w:r>
              <w:rPr>
                <w:rFonts w:hint="eastAsia"/>
              </w:rPr>
              <w:t>总体评价</w:t>
            </w:r>
          </w:p>
        </w:tc>
        <w:tc>
          <w:tcPr>
            <w:tcW w:w="7120" w:type="dxa"/>
            <w:gridSpan w:val="3"/>
            <w:tcBorders>
              <w:left w:val="single" w:color="auto" w:sz="4" w:space="0"/>
            </w:tcBorders>
            <w:vAlign w:val="center"/>
          </w:tcPr>
          <w:p>
            <w:pPr>
              <w:tabs>
                <w:tab w:val="clear" w:pos="426"/>
              </w:tabs>
              <w:spacing w:line="240" w:lineRule="auto"/>
            </w:pPr>
            <w:r>
              <w:rPr>
                <w:rFonts w:hint="eastAsia"/>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pPr>
          </w:p>
        </w:tc>
        <w:tc>
          <w:tcPr>
            <w:tcW w:w="773" w:type="dxa"/>
            <w:vMerge w:val="restart"/>
            <w:tcBorders>
              <w:right w:val="single" w:color="auto" w:sz="4" w:space="0"/>
            </w:tcBorders>
            <w:vAlign w:val="center"/>
          </w:tcPr>
          <w:p>
            <w:pPr>
              <w:tabs>
                <w:tab w:val="clear" w:pos="426"/>
              </w:tabs>
              <w:spacing w:line="240" w:lineRule="auto"/>
              <w:jc w:val="center"/>
            </w:pPr>
            <w:r>
              <w:rPr>
                <w:rFonts w:hint="eastAsia"/>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质量方面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价格方面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服务方面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时间方面</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环境保护</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pPr>
          </w:p>
        </w:tc>
        <w:tc>
          <w:tcPr>
            <w:tcW w:w="773" w:type="dxa"/>
            <w:vMerge w:val="continue"/>
            <w:tcBorders>
              <w:right w:val="single" w:color="auto" w:sz="4" w:space="0"/>
            </w:tcBorders>
            <w:vAlign w:val="center"/>
          </w:tcPr>
          <w:p>
            <w:pPr>
              <w:tabs>
                <w:tab w:val="clear" w:pos="426"/>
              </w:tabs>
              <w:spacing w:line="240" w:lineRule="auto"/>
            </w:pPr>
          </w:p>
        </w:tc>
        <w:tc>
          <w:tcPr>
            <w:tcW w:w="773" w:type="dxa"/>
            <w:tcBorders>
              <w:left w:val="single" w:color="auto" w:sz="4" w:space="0"/>
              <w:right w:val="single" w:color="auto" w:sz="4" w:space="0"/>
            </w:tcBorders>
            <w:vAlign w:val="center"/>
          </w:tcPr>
          <w:p>
            <w:pPr>
              <w:tabs>
                <w:tab w:val="clear" w:pos="426"/>
              </w:tabs>
              <w:spacing w:line="240" w:lineRule="auto"/>
              <w:jc w:val="center"/>
            </w:pPr>
            <w:r>
              <w:rPr>
                <w:rFonts w:hint="eastAsia"/>
              </w:rPr>
              <w:t>其他</w:t>
            </w:r>
          </w:p>
        </w:tc>
        <w:tc>
          <w:tcPr>
            <w:tcW w:w="7120" w:type="dxa"/>
            <w:gridSpan w:val="3"/>
            <w:tcBorders>
              <w:left w:val="single" w:color="auto" w:sz="4" w:space="0"/>
            </w:tcBorders>
            <w:vAlign w:val="center"/>
          </w:tcPr>
          <w:p>
            <w:pPr>
              <w:tabs>
                <w:tab w:val="clear" w:pos="426"/>
              </w:tabs>
              <w:spacing w:line="240" w:lineRule="auto"/>
            </w:pPr>
            <w:r>
              <w:rPr>
                <w:rFonts w:hint="eastAsia"/>
              </w:rPr>
              <w:t xml:space="preserve">评价内容为：                    </w:t>
            </w:r>
          </w:p>
          <w:p>
            <w:pPr>
              <w:tabs>
                <w:tab w:val="clear" w:pos="426"/>
              </w:tabs>
              <w:spacing w:line="240" w:lineRule="auto"/>
            </w:pPr>
            <w:r>
              <w:rPr>
                <w:rFonts w:hint="eastAsia"/>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pPr>
            <w:r>
              <w:rPr>
                <w:rFonts w:hint="eastAsia"/>
              </w:rPr>
              <w:t>具体情况说明</w:t>
            </w:r>
          </w:p>
        </w:tc>
        <w:tc>
          <w:tcPr>
            <w:tcW w:w="7893" w:type="dxa"/>
            <w:gridSpan w:val="4"/>
          </w:tcPr>
          <w:p>
            <w:pPr>
              <w:tabs>
                <w:tab w:val="clear" w:pos="426"/>
              </w:tabs>
              <w:spacing w:line="240" w:lineRule="auto"/>
            </w:pPr>
          </w:p>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pPr>
            <w:r>
              <w:rPr>
                <w:rFonts w:hint="eastAsia"/>
              </w:rPr>
              <w:t>采购单位意见</w:t>
            </w:r>
          </w:p>
          <w:p>
            <w:pPr>
              <w:tabs>
                <w:tab w:val="clear" w:pos="426"/>
              </w:tabs>
              <w:spacing w:line="240" w:lineRule="auto"/>
            </w:pPr>
            <w:r>
              <w:rPr>
                <w:rFonts w:hint="eastAsia"/>
              </w:rPr>
              <w:t>（公章）</w:t>
            </w:r>
          </w:p>
        </w:tc>
        <w:tc>
          <w:tcPr>
            <w:tcW w:w="7893" w:type="dxa"/>
            <w:gridSpan w:val="4"/>
            <w:vAlign w:val="center"/>
          </w:tcPr>
          <w:p>
            <w:pPr>
              <w:tabs>
                <w:tab w:val="clear" w:pos="426"/>
              </w:tabs>
              <w:spacing w:line="240" w:lineRule="auto"/>
            </w:pPr>
          </w:p>
          <w:p>
            <w:pPr>
              <w:tabs>
                <w:tab w:val="clear" w:pos="426"/>
              </w:tabs>
              <w:spacing w:line="240" w:lineRule="auto"/>
            </w:pPr>
          </w:p>
          <w:p>
            <w:pPr>
              <w:tabs>
                <w:tab w:val="clear" w:pos="426"/>
              </w:tabs>
              <w:spacing w:line="240" w:lineRule="auto"/>
            </w:pPr>
          </w:p>
          <w:p>
            <w:pPr>
              <w:tabs>
                <w:tab w:val="clear" w:pos="426"/>
              </w:tabs>
              <w:spacing w:line="240" w:lineRule="auto"/>
            </w:pPr>
            <w:r>
              <w:rPr>
                <w:rFonts w:hint="eastAsia"/>
              </w:rPr>
              <w:t>日期：   年   月   日</w:t>
            </w:r>
          </w:p>
        </w:tc>
      </w:tr>
    </w:tbl>
    <w:p>
      <w:pPr>
        <w:tabs>
          <w:tab w:val="clear" w:pos="426"/>
        </w:tabs>
      </w:pPr>
      <w:r>
        <w:rPr>
          <w:rFonts w:hint="eastAsia"/>
        </w:rPr>
        <w:t>说明：</w:t>
      </w:r>
    </w:p>
    <w:p>
      <w:pPr>
        <w:tabs>
          <w:tab w:val="clear" w:pos="426"/>
        </w:tabs>
        <w:ind w:firstLine="424" w:firstLineChars="202"/>
      </w:pPr>
      <w:r>
        <w:rPr>
          <w:rFonts w:hint="eastAsia"/>
        </w:rPr>
        <w:t>1、本表为采购单位向深圳市政府采购中心反映政府采购项目履约情况时所用；</w:t>
      </w:r>
    </w:p>
    <w:p>
      <w:pPr>
        <w:tabs>
          <w:tab w:val="clear" w:pos="426"/>
        </w:tabs>
        <w:ind w:firstLine="424" w:firstLineChars="202"/>
      </w:pPr>
      <w:r>
        <w:rPr>
          <w:rFonts w:hint="eastAsia"/>
        </w:rPr>
        <w:t>2、履约情况评价分为优、良、中、差四个等级，请在对应的框前打“√”，然后在“具体情况说明”一栏详细说明有关情况。</w:t>
      </w:r>
    </w:p>
    <w:p>
      <w:pPr>
        <w:pStyle w:val="33"/>
        <w:tabs>
          <w:tab w:val="clear" w:pos="426"/>
        </w:tabs>
      </w:pPr>
      <w:r>
        <w:br w:type="page"/>
      </w:r>
      <w:bookmarkStart w:id="41" w:name="_Toc5875392"/>
      <w:r>
        <w:rPr>
          <w:rFonts w:hint="eastAsia"/>
        </w:rPr>
        <w:t>第五章 投标文件格式、附件</w:t>
      </w:r>
      <w:bookmarkEnd w:id="39"/>
      <w:bookmarkEnd w:id="40"/>
      <w:bookmarkEnd w:id="41"/>
    </w:p>
    <w:p>
      <w:pPr>
        <w:tabs>
          <w:tab w:val="clear" w:pos="426"/>
        </w:tabs>
      </w:pPr>
      <w:r>
        <w:rPr>
          <w:rStyle w:val="59"/>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p>
    <w:p>
      <w:pPr>
        <w:tabs>
          <w:tab w:val="clear" w:pos="426"/>
        </w:tabs>
      </w:pPr>
    </w:p>
    <w:p>
      <w:pPr>
        <w:tabs>
          <w:tab w:val="clear" w:pos="426"/>
        </w:tabs>
      </w:pPr>
      <w:r>
        <w:rPr>
          <w:rFonts w:hint="eastAsia"/>
        </w:rPr>
        <w:t>投标文件组成：</w:t>
      </w:r>
    </w:p>
    <w:p>
      <w:pPr>
        <w:tabs>
          <w:tab w:val="clear" w:pos="426"/>
        </w:tabs>
      </w:pPr>
    </w:p>
    <w:p>
      <w:pPr>
        <w:tabs>
          <w:tab w:val="clear" w:pos="426"/>
        </w:tabs>
        <w:spacing w:line="240" w:lineRule="auto"/>
      </w:pPr>
      <w:r>
        <w:rPr>
          <w:rFonts w:hint="eastAsia"/>
        </w:rPr>
        <w:t>密封袋封条格式</w:t>
      </w:r>
    </w:p>
    <w:p>
      <w:pPr>
        <w:tabs>
          <w:tab w:val="clear" w:pos="426"/>
        </w:tabs>
        <w:spacing w:line="240" w:lineRule="auto"/>
      </w:pPr>
      <w:r>
        <w:rPr>
          <w:rFonts w:hint="eastAsia"/>
        </w:rPr>
        <w:t>投标文件封面格式</w:t>
      </w:r>
    </w:p>
    <w:p>
      <w:pPr>
        <w:tabs>
          <w:tab w:val="clear" w:pos="426"/>
        </w:tabs>
        <w:spacing w:line="240" w:lineRule="auto"/>
      </w:pPr>
      <w:r>
        <w:rPr>
          <w:rFonts w:hint="eastAsia"/>
        </w:rPr>
        <w:t>目录（目录格式自定）</w:t>
      </w:r>
    </w:p>
    <w:p>
      <w:pPr>
        <w:tabs>
          <w:tab w:val="clear" w:pos="426"/>
        </w:tabs>
        <w:spacing w:line="240" w:lineRule="auto"/>
      </w:pPr>
      <w:r>
        <w:rPr>
          <w:rFonts w:hint="eastAsia"/>
        </w:rPr>
        <w:t>评标指引表</w:t>
      </w:r>
    </w:p>
    <w:p>
      <w:pPr>
        <w:pStyle w:val="280"/>
        <w:numPr>
          <w:ilvl w:val="0"/>
          <w:numId w:val="28"/>
        </w:numPr>
        <w:spacing w:line="240" w:lineRule="auto"/>
        <w:ind w:left="567" w:leftChars="270" w:firstLineChars="0"/>
      </w:pPr>
      <w:r>
        <w:rPr>
          <w:rFonts w:hint="eastAsia"/>
        </w:rPr>
        <w:t>投标函</w:t>
      </w:r>
    </w:p>
    <w:p>
      <w:pPr>
        <w:pStyle w:val="280"/>
        <w:numPr>
          <w:ilvl w:val="0"/>
          <w:numId w:val="28"/>
        </w:numPr>
        <w:spacing w:line="240" w:lineRule="auto"/>
        <w:ind w:left="567" w:leftChars="270" w:firstLineChars="0"/>
      </w:pPr>
      <w:r>
        <w:rPr>
          <w:rFonts w:hint="eastAsia"/>
        </w:rPr>
        <w:t>投标保证金缴纳承诺函</w:t>
      </w:r>
    </w:p>
    <w:p>
      <w:pPr>
        <w:pStyle w:val="280"/>
        <w:numPr>
          <w:ilvl w:val="0"/>
          <w:numId w:val="28"/>
        </w:numPr>
        <w:spacing w:line="240" w:lineRule="auto"/>
        <w:ind w:left="567" w:leftChars="270" w:firstLineChars="0"/>
      </w:pPr>
      <w:r>
        <w:rPr>
          <w:rFonts w:hint="eastAsia"/>
        </w:rPr>
        <w:t>政府采购投标及履约承诺函</w:t>
      </w:r>
    </w:p>
    <w:p>
      <w:pPr>
        <w:pStyle w:val="280"/>
        <w:numPr>
          <w:ilvl w:val="0"/>
          <w:numId w:val="28"/>
        </w:numPr>
        <w:spacing w:line="240" w:lineRule="auto"/>
        <w:ind w:left="567" w:leftChars="270" w:firstLineChars="0"/>
      </w:pPr>
      <w:r>
        <w:rPr>
          <w:rFonts w:hint="eastAsia"/>
        </w:rPr>
        <w:t>法定代表人授权委托书、法定代表人证明书</w:t>
      </w:r>
    </w:p>
    <w:p>
      <w:pPr>
        <w:pStyle w:val="280"/>
        <w:numPr>
          <w:ilvl w:val="0"/>
          <w:numId w:val="28"/>
        </w:numPr>
        <w:spacing w:line="240" w:lineRule="auto"/>
        <w:ind w:left="567" w:leftChars="270" w:firstLineChars="0"/>
      </w:pPr>
      <w:r>
        <w:rPr>
          <w:rFonts w:hint="eastAsia"/>
        </w:rPr>
        <w:t>投标人基本情况表</w:t>
      </w:r>
    </w:p>
    <w:p>
      <w:pPr>
        <w:pStyle w:val="280"/>
        <w:numPr>
          <w:ilvl w:val="0"/>
          <w:numId w:val="28"/>
        </w:numPr>
        <w:spacing w:line="240" w:lineRule="auto"/>
        <w:ind w:left="567" w:leftChars="270" w:firstLineChars="0"/>
      </w:pPr>
      <w:r>
        <w:rPr>
          <w:rFonts w:hint="eastAsia"/>
        </w:rPr>
        <w:t>开标一览表（报价表）</w:t>
      </w:r>
    </w:p>
    <w:p>
      <w:pPr>
        <w:pStyle w:val="280"/>
        <w:numPr>
          <w:ilvl w:val="0"/>
          <w:numId w:val="28"/>
        </w:numPr>
        <w:spacing w:line="240" w:lineRule="auto"/>
        <w:ind w:left="567" w:leftChars="270" w:firstLineChars="0"/>
      </w:pPr>
      <w:r>
        <w:rPr>
          <w:rFonts w:hint="eastAsia"/>
        </w:rPr>
        <w:t>投标分项报价表</w:t>
      </w:r>
    </w:p>
    <w:p>
      <w:pPr>
        <w:pStyle w:val="280"/>
        <w:numPr>
          <w:ilvl w:val="0"/>
          <w:numId w:val="28"/>
        </w:numPr>
        <w:spacing w:line="240" w:lineRule="auto"/>
        <w:ind w:left="567" w:leftChars="270" w:firstLineChars="0"/>
      </w:pPr>
      <w:r>
        <w:rPr>
          <w:rFonts w:hint="eastAsia"/>
        </w:rPr>
        <w:t>货物说明一览表</w:t>
      </w:r>
    </w:p>
    <w:p>
      <w:pPr>
        <w:pStyle w:val="280"/>
        <w:numPr>
          <w:ilvl w:val="0"/>
          <w:numId w:val="28"/>
        </w:numPr>
        <w:spacing w:line="240" w:lineRule="auto"/>
        <w:ind w:left="567" w:leftChars="270" w:firstLineChars="0"/>
      </w:pPr>
      <w:r>
        <w:rPr>
          <w:rFonts w:hint="eastAsia" w:ascii="宋体" w:hAnsi="宋体" w:cs="宋体"/>
          <w:kern w:val="0"/>
          <w:szCs w:val="21"/>
        </w:rPr>
        <w:t>产品授权或代理情况</w:t>
      </w:r>
    </w:p>
    <w:p>
      <w:pPr>
        <w:pStyle w:val="280"/>
        <w:numPr>
          <w:ilvl w:val="0"/>
          <w:numId w:val="28"/>
        </w:numPr>
        <w:spacing w:line="240" w:lineRule="auto"/>
        <w:ind w:left="567" w:leftChars="270" w:firstLineChars="0"/>
      </w:pPr>
      <w:r>
        <w:rPr>
          <w:rFonts w:hint="eastAsia" w:ascii="宋体" w:hAnsi="宋体"/>
          <w:szCs w:val="21"/>
        </w:rPr>
        <w:t>项目业绩</w:t>
      </w:r>
    </w:p>
    <w:p>
      <w:pPr>
        <w:pStyle w:val="280"/>
        <w:numPr>
          <w:ilvl w:val="0"/>
          <w:numId w:val="28"/>
        </w:numPr>
        <w:spacing w:line="240" w:lineRule="auto"/>
        <w:ind w:left="567" w:leftChars="270" w:firstLineChars="0"/>
      </w:pPr>
      <w:r>
        <w:rPr>
          <w:rFonts w:hint="eastAsia" w:ascii="宋体" w:hAnsi="宋体"/>
          <w:szCs w:val="21"/>
        </w:rPr>
        <w:t>诚信档案</w:t>
      </w:r>
    </w:p>
    <w:p>
      <w:pPr>
        <w:pStyle w:val="280"/>
        <w:numPr>
          <w:ilvl w:val="0"/>
          <w:numId w:val="28"/>
        </w:numPr>
        <w:spacing w:line="240" w:lineRule="auto"/>
        <w:ind w:left="567" w:leftChars="270" w:firstLineChars="0"/>
      </w:pPr>
      <w:r>
        <w:rPr>
          <w:rFonts w:hint="eastAsia" w:ascii="宋体" w:hAnsi="宋体"/>
          <w:szCs w:val="21"/>
        </w:rPr>
        <w:t>技术参数响应</w:t>
      </w:r>
    </w:p>
    <w:p>
      <w:pPr>
        <w:pStyle w:val="280"/>
        <w:numPr>
          <w:ilvl w:val="0"/>
          <w:numId w:val="28"/>
        </w:numPr>
        <w:spacing w:line="240" w:lineRule="auto"/>
        <w:ind w:left="567" w:leftChars="270" w:firstLineChars="0"/>
      </w:pPr>
      <w:r>
        <w:rPr>
          <w:rFonts w:hint="eastAsia" w:ascii="宋体" w:hAnsi="宋体"/>
          <w:szCs w:val="21"/>
        </w:rPr>
        <w:t>项目实施方案</w:t>
      </w:r>
    </w:p>
    <w:p>
      <w:pPr>
        <w:pStyle w:val="280"/>
        <w:numPr>
          <w:ilvl w:val="0"/>
          <w:numId w:val="28"/>
        </w:numPr>
        <w:spacing w:line="240" w:lineRule="auto"/>
        <w:ind w:left="567" w:leftChars="270" w:firstLineChars="0"/>
      </w:pPr>
      <w:r>
        <w:rPr>
          <w:rFonts w:hint="eastAsia" w:ascii="宋体" w:hAnsi="宋体"/>
          <w:szCs w:val="21"/>
        </w:rPr>
        <w:t>售后服务</w:t>
      </w:r>
    </w:p>
    <w:p>
      <w:pPr>
        <w:pStyle w:val="280"/>
        <w:numPr>
          <w:ilvl w:val="0"/>
          <w:numId w:val="28"/>
        </w:numPr>
        <w:spacing w:line="240" w:lineRule="auto"/>
        <w:ind w:left="567" w:leftChars="270" w:firstLineChars="0"/>
      </w:pPr>
      <w:r>
        <w:rPr>
          <w:rFonts w:hint="eastAsia" w:ascii="宋体" w:hAnsi="宋体"/>
          <w:szCs w:val="21"/>
        </w:rPr>
        <w:t>本地化服务保障</w:t>
      </w:r>
    </w:p>
    <w:p>
      <w:pPr>
        <w:pStyle w:val="280"/>
        <w:numPr>
          <w:ilvl w:val="0"/>
          <w:numId w:val="28"/>
        </w:numPr>
        <w:spacing w:line="240" w:lineRule="auto"/>
        <w:ind w:left="567" w:leftChars="270" w:firstLineChars="0"/>
      </w:pPr>
      <w:r>
        <w:rPr>
          <w:rFonts w:hint="eastAsia"/>
        </w:rPr>
        <w:t>中小企业声明函及残疾人福利性单位声明函（或省级以上监狱管理局、戒毒管理局（含新疆生产建设兵团）出具的属于监狱企业的证明文件）（可选）</w:t>
      </w:r>
    </w:p>
    <w:p>
      <w:pPr>
        <w:pStyle w:val="280"/>
        <w:numPr>
          <w:ilvl w:val="0"/>
          <w:numId w:val="28"/>
        </w:numPr>
        <w:spacing w:line="240" w:lineRule="auto"/>
        <w:ind w:left="567" w:leftChars="270" w:firstLineChars="0"/>
      </w:pPr>
      <w:r>
        <w:rPr>
          <w:rFonts w:hint="eastAsia"/>
        </w:rPr>
        <w:t>招标代理服务费承诺书</w:t>
      </w:r>
    </w:p>
    <w:p>
      <w:pPr>
        <w:pStyle w:val="280"/>
        <w:numPr>
          <w:ilvl w:val="0"/>
          <w:numId w:val="28"/>
        </w:numPr>
        <w:spacing w:line="240" w:lineRule="auto"/>
        <w:ind w:left="567" w:leftChars="270" w:firstLineChars="0"/>
        <w:rPr>
          <w:bCs/>
        </w:rPr>
      </w:pPr>
      <w:r>
        <w:rPr>
          <w:rFonts w:hint="eastAsia"/>
          <w:bCs/>
        </w:rPr>
        <w:t>招标文件要求的其他内容及投标人认为需要加以说明的其他内容</w:t>
      </w: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钢琴、奥尔夫乐器</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招标项目编号：</w:t>
      </w:r>
    </w:p>
    <w:p>
      <w:pPr>
        <w:tabs>
          <w:tab w:val="clear" w:pos="426"/>
        </w:tabs>
        <w:ind w:left="708" w:leftChars="337"/>
        <w:rPr>
          <w:sz w:val="28"/>
          <w:szCs w:val="28"/>
        </w:rPr>
      </w:pPr>
      <w:r>
        <w:rPr>
          <w:rFonts w:hint="eastAsia"/>
          <w:sz w:val="28"/>
          <w:szCs w:val="28"/>
        </w:rPr>
        <w:t>投标人名称（公章)：</w:t>
      </w:r>
    </w:p>
    <w:p>
      <w:pPr>
        <w:tabs>
          <w:tab w:val="clear" w:pos="426"/>
        </w:tabs>
        <w:ind w:left="708" w:leftChars="337"/>
        <w:rPr>
          <w:sz w:val="28"/>
          <w:szCs w:val="28"/>
        </w:rPr>
      </w:pPr>
      <w:r>
        <w:rPr>
          <w:rFonts w:hint="eastAsia"/>
          <w:sz w:val="28"/>
          <w:szCs w:val="28"/>
        </w:rPr>
        <w:t>投标人代表（签名）：</w:t>
      </w:r>
    </w:p>
    <w:p>
      <w:pPr>
        <w:tabs>
          <w:tab w:val="clear" w:pos="426"/>
        </w:tabs>
        <w:ind w:left="708" w:leftChars="337"/>
        <w:rPr>
          <w:sz w:val="28"/>
          <w:szCs w:val="28"/>
        </w:rPr>
      </w:pPr>
      <w:r>
        <w:rPr>
          <w:rFonts w:hint="eastAsia"/>
          <w:sz w:val="28"/>
          <w:szCs w:val="28"/>
        </w:rPr>
        <w:t>投标截止日期：</w:t>
      </w:r>
      <w:r>
        <w:rPr>
          <w:rFonts w:hint="eastAsia"/>
          <w:sz w:val="28"/>
          <w:szCs w:val="28"/>
          <w:u w:val="single"/>
        </w:rPr>
        <w:t xml:space="preserve">      年   月   日</w:t>
      </w:r>
      <w:r>
        <w:rPr>
          <w:sz w:val="28"/>
          <w:szCs w:val="28"/>
          <w:u w:val="single"/>
        </w:rPr>
        <w:t xml:space="preserve"> 时  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钢琴、奥尔夫乐器</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招标项目编号：</w:t>
      </w:r>
    </w:p>
    <w:p>
      <w:pPr>
        <w:tabs>
          <w:tab w:val="clear" w:pos="426"/>
        </w:tabs>
        <w:ind w:left="1275" w:leftChars="607"/>
        <w:rPr>
          <w:sz w:val="28"/>
          <w:szCs w:val="28"/>
        </w:rPr>
      </w:pPr>
      <w:r>
        <w:rPr>
          <w:rFonts w:hint="eastAsia"/>
          <w:sz w:val="28"/>
          <w:szCs w:val="28"/>
        </w:rPr>
        <w:t>投标人名称（公章)：</w:t>
      </w:r>
    </w:p>
    <w:p>
      <w:pPr>
        <w:tabs>
          <w:tab w:val="clear" w:pos="426"/>
        </w:tabs>
        <w:ind w:left="1275" w:leftChars="607"/>
        <w:rPr>
          <w:sz w:val="28"/>
          <w:szCs w:val="28"/>
        </w:rPr>
      </w:pPr>
      <w:r>
        <w:rPr>
          <w:rFonts w:hint="eastAsia"/>
          <w:sz w:val="28"/>
          <w:szCs w:val="28"/>
        </w:rPr>
        <w:t>投标人代表（签名）：</w:t>
      </w:r>
    </w:p>
    <w:p>
      <w:pPr>
        <w:tabs>
          <w:tab w:val="clear" w:pos="426"/>
        </w:tabs>
        <w:ind w:left="1275" w:leftChars="607"/>
        <w:rPr>
          <w:sz w:val="28"/>
          <w:szCs w:val="28"/>
        </w:rPr>
      </w:pPr>
      <w:r>
        <w:rPr>
          <w:rFonts w:hint="eastAsia"/>
          <w:sz w:val="28"/>
          <w:szCs w:val="28"/>
        </w:rPr>
        <w:t>投标日期：</w:t>
      </w:r>
      <w:r>
        <w:rPr>
          <w:rFonts w:hint="eastAsia"/>
          <w:sz w:val="28"/>
          <w:szCs w:val="28"/>
          <w:u w:val="single"/>
        </w:rPr>
        <w:t xml:space="preserve">                  年     月      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8"/>
        <w:tabs>
          <w:tab w:val="clear" w:pos="426"/>
        </w:tabs>
        <w:ind w:firstLine="0"/>
      </w:pPr>
      <w:r>
        <w:rPr>
          <w:rFonts w:hint="eastAsia"/>
        </w:rPr>
        <w:t>项目名称：</w:t>
      </w:r>
    </w:p>
    <w:p>
      <w:pPr>
        <w:pStyle w:val="8"/>
        <w:tabs>
          <w:tab w:val="clear" w:pos="426"/>
        </w:tabs>
        <w:ind w:firstLine="0"/>
      </w:pPr>
      <w:r>
        <w:rPr>
          <w:rFonts w:hint="eastAsia"/>
        </w:rPr>
        <w:t>招标项目编号：</w:t>
      </w:r>
    </w:p>
    <w:p>
      <w:pPr>
        <w:tabs>
          <w:tab w:val="clear" w:pos="426"/>
        </w:tabs>
        <w:jc w:val="center"/>
        <w:rPr>
          <w:b/>
        </w:rPr>
      </w:pPr>
      <w:r>
        <w:rPr>
          <w:rFonts w:hint="eastAsia"/>
          <w:b/>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pPr>
              <w:tabs>
                <w:tab w:val="clear" w:pos="426"/>
              </w:tabs>
              <w:adjustRightInd/>
              <w:snapToGrid/>
              <w:spacing w:line="240" w:lineRule="auto"/>
              <w:jc w:val="center"/>
            </w:pPr>
            <w:r>
              <w:rPr>
                <w:rFonts w:hint="eastAsia"/>
              </w:rPr>
              <w:t>营业执照</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shd w:val="clear" w:color="auto" w:fill="auto"/>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rPr>
                <w:color w:val="000000"/>
              </w:rP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2</w:t>
            </w:r>
          </w:p>
        </w:tc>
        <w:tc>
          <w:tcPr>
            <w:tcW w:w="4203" w:type="dxa"/>
            <w:gridSpan w:val="2"/>
            <w:vAlign w:val="center"/>
          </w:tcPr>
          <w:p>
            <w:pPr>
              <w:tabs>
                <w:tab w:val="clear" w:pos="426"/>
              </w:tabs>
              <w:adjustRightInd/>
              <w:snapToGrid/>
              <w:spacing w:line="240" w:lineRule="auto"/>
              <w:jc w:val="center"/>
              <w:rPr>
                <w:b/>
              </w:rPr>
            </w:pPr>
            <w:r>
              <w:rPr>
                <w:rFonts w:hint="eastAsia"/>
                <w:color w:val="000000"/>
              </w:rPr>
              <w:t>投标截止时间前投标保证金缴纳情况</w:t>
            </w:r>
          </w:p>
        </w:tc>
        <w:tc>
          <w:tcPr>
            <w:tcW w:w="3105" w:type="dxa"/>
            <w:gridSpan w:val="3"/>
            <w:vAlign w:val="center"/>
          </w:tcPr>
          <w:p>
            <w:pPr>
              <w:tabs>
                <w:tab w:val="clear" w:pos="426"/>
              </w:tabs>
              <w:adjustRightInd/>
              <w:snapToGrid/>
              <w:spacing w:line="240" w:lineRule="auto"/>
              <w:jc w:val="center"/>
            </w:pPr>
            <w:bookmarkStart w:id="42" w:name="_Hlk4694058"/>
            <w:r>
              <w:rPr>
                <w:rFonts w:hint="eastAsia"/>
              </w:rPr>
              <w:t>投标保证金缴纳承诺函</w:t>
            </w:r>
            <w:bookmarkEnd w:id="42"/>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5943" w:type="dxa"/>
            <w:gridSpan w:val="4"/>
            <w:vAlign w:val="center"/>
          </w:tcPr>
          <w:p>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pPr>
              <w:tabs>
                <w:tab w:val="clear" w:pos="426"/>
              </w:tabs>
              <w:adjustRightInd/>
              <w:snapToGrid/>
              <w:spacing w:line="240" w:lineRule="auto"/>
            </w:pPr>
            <w:r>
              <w:rPr>
                <w:rFonts w:hint="eastAsia"/>
              </w:rPr>
              <w:t>未出现将一个包中的内容拆开投标；</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pPr>
              <w:tabs>
                <w:tab w:val="clear" w:pos="426"/>
              </w:tabs>
              <w:adjustRightInd/>
              <w:snapToGrid/>
              <w:spacing w:line="240" w:lineRule="auto"/>
            </w:pPr>
            <w:r>
              <w:rPr>
                <w:rFonts w:hint="eastAsia"/>
              </w:rPr>
              <w:t>投标文件载明的免费保修期未低于招标文件规定的期限；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pPr>
              <w:tabs>
                <w:tab w:val="clear" w:pos="426"/>
              </w:tabs>
              <w:adjustRightInd/>
              <w:snapToGrid/>
              <w:spacing w:line="240" w:lineRule="auto"/>
            </w:pPr>
            <w:r>
              <w:rPr>
                <w:rFonts w:hint="eastAsia"/>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pPr>
              <w:tabs>
                <w:tab w:val="clear" w:pos="426"/>
              </w:tabs>
              <w:adjustRightInd/>
              <w:snapToGrid/>
              <w:spacing w:line="240" w:lineRule="auto"/>
            </w:pPr>
            <w:r>
              <w:rPr>
                <w:rFonts w:hint="eastAsia"/>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13</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投标文件不存在招标文件中规定的其它投标无效条款的；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14</w:t>
            </w:r>
          </w:p>
        </w:tc>
        <w:tc>
          <w:tcPr>
            <w:tcW w:w="5943" w:type="dxa"/>
            <w:gridSpan w:val="4"/>
            <w:vAlign w:val="center"/>
          </w:tcPr>
          <w:p>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评分类别</w:t>
            </w:r>
          </w:p>
        </w:tc>
        <w:tc>
          <w:tcPr>
            <w:tcW w:w="5499" w:type="dxa"/>
            <w:gridSpan w:val="2"/>
            <w:vAlign w:val="center"/>
          </w:tcPr>
          <w:p>
            <w:pPr>
              <w:tabs>
                <w:tab w:val="clear" w:pos="426"/>
              </w:tabs>
              <w:adjustRightInd/>
              <w:snapToGrid/>
              <w:spacing w:line="240" w:lineRule="auto"/>
              <w:jc w:val="center"/>
              <w:rPr>
                <w:b/>
              </w:rPr>
            </w:pPr>
            <w:r>
              <w:rPr>
                <w:rFonts w:hint="eastAsia"/>
                <w:b/>
              </w:rPr>
              <w:t>评分项目</w:t>
            </w:r>
          </w:p>
        </w:tc>
        <w:tc>
          <w:tcPr>
            <w:tcW w:w="1463" w:type="dxa"/>
            <w:gridSpan w:val="2"/>
            <w:vAlign w:val="center"/>
          </w:tcPr>
          <w:p>
            <w:pPr>
              <w:tabs>
                <w:tab w:val="clear" w:pos="426"/>
              </w:tabs>
              <w:adjustRightInd/>
              <w:snapToGrid/>
              <w:spacing w:line="240" w:lineRule="auto"/>
              <w:jc w:val="center"/>
              <w:rPr>
                <w:b/>
              </w:rPr>
            </w:pPr>
            <w:r>
              <w:rPr>
                <w:rFonts w:hint="eastAsia"/>
                <w:b/>
              </w:rPr>
              <w:t>对应章节</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价格部分</w:t>
            </w: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r>
              <w:rPr>
                <w:rFonts w:hint="eastAsia"/>
                <w:b/>
              </w:rPr>
              <w:t>商务部分</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r>
              <w:rPr>
                <w:rFonts w:hint="eastAsia"/>
                <w:b/>
              </w:rPr>
              <w:t xml:space="preserve">P  -P  </w:t>
            </w:r>
          </w:p>
        </w:tc>
      </w:tr>
    </w:tbl>
    <w:p>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tabs>
          <w:tab w:val="clear" w:pos="426"/>
        </w:tabs>
      </w:pPr>
    </w:p>
    <w:p>
      <w:pPr>
        <w:spacing w:line="240" w:lineRule="exact"/>
        <w:rPr>
          <w:b/>
        </w:rPr>
      </w:pPr>
    </w:p>
    <w:p>
      <w:pPr>
        <w:tabs>
          <w:tab w:val="clear" w:pos="426"/>
        </w:tabs>
        <w:ind w:firstLine="424" w:firstLineChars="201"/>
        <w:rPr>
          <w:b/>
        </w:rPr>
      </w:pPr>
    </w:p>
    <w:p>
      <w:pPr>
        <w:tabs>
          <w:tab w:val="clear" w:pos="426"/>
        </w:tabs>
        <w:ind w:firstLine="424" w:firstLineChars="201"/>
        <w:rPr>
          <w:b/>
          <w:color w:val="000000"/>
          <w:szCs w:val="21"/>
        </w:rPr>
      </w:pPr>
    </w:p>
    <w:p>
      <w:pPr>
        <w:tabs>
          <w:tab w:val="clear" w:pos="426"/>
        </w:tabs>
        <w:ind w:firstLine="424" w:firstLineChars="201"/>
        <w:rPr>
          <w:b/>
          <w:szCs w:val="21"/>
        </w:rPr>
      </w:pPr>
    </w:p>
    <w:p>
      <w:pPr>
        <w:numPr>
          <w:ilvl w:val="0"/>
          <w:numId w:val="29"/>
        </w:numPr>
        <w:adjustRightInd/>
        <w:snapToGrid/>
        <w:spacing w:before="280" w:after="290" w:line="377" w:lineRule="auto"/>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3" w:name="_Toc201997950"/>
      <w:bookmarkStart w:id="44" w:name="_Toc201719122"/>
      <w:bookmarkStart w:id="45" w:name="_Toc201742865"/>
      <w:bookmarkStart w:id="46" w:name="_Toc201743120"/>
      <w:r>
        <w:rPr>
          <w:rFonts w:hint="eastAsia" w:cs="Times New Roman"/>
          <w:bCs/>
          <w:kern w:val="2"/>
          <w:sz w:val="32"/>
          <w:szCs w:val="32"/>
        </w:rPr>
        <w:t>投标函</w:t>
      </w:r>
      <w:bookmarkEnd w:id="43"/>
      <w:bookmarkEnd w:id="44"/>
      <w:bookmarkEnd w:id="45"/>
      <w:bookmarkEnd w:id="46"/>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 xml:space="preserve">       （采购人名称)          </w:t>
      </w:r>
    </w:p>
    <w:p>
      <w:pPr>
        <w:spacing w:after="120" w:afterLines="50"/>
        <w:ind w:firstLine="420" w:firstLineChars="200"/>
        <w:rPr>
          <w:szCs w:val="21"/>
        </w:rPr>
      </w:pPr>
      <w:r>
        <w:rPr>
          <w:rFonts w:hint="eastAsia"/>
          <w:szCs w:val="21"/>
        </w:rPr>
        <w:t>1.根据已收到贵方的招标编号为的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120"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szCs w:val="21"/>
        </w:rPr>
      </w:pPr>
      <w:r>
        <w:rPr>
          <w:rFonts w:hint="eastAsia"/>
          <w:szCs w:val="21"/>
        </w:rPr>
        <w:t>3.如果我方中标，我方将按照规定提交上述总价</w:t>
      </w:r>
      <w:r>
        <w:rPr>
          <w:szCs w:val="21"/>
          <w:u w:val="single"/>
        </w:rPr>
        <w:t>/</w:t>
      </w:r>
      <w:r>
        <w:rPr>
          <w:rFonts w:hint="eastAsia"/>
          <w:szCs w:val="21"/>
        </w:rPr>
        <w:t>％（或</w:t>
      </w:r>
      <w:r>
        <w:rPr>
          <w:szCs w:val="21"/>
          <w:u w:val="single"/>
        </w:rPr>
        <w:t>/</w:t>
      </w:r>
      <w:r>
        <w:rPr>
          <w:rFonts w:hint="eastAsia"/>
          <w:szCs w:val="21"/>
        </w:rPr>
        <w:t>万元）作为履约担保（可提供保函或现金）。</w:t>
      </w:r>
    </w:p>
    <w:p>
      <w:pPr>
        <w:spacing w:after="120" w:afterLines="50"/>
        <w:ind w:firstLine="411" w:firstLineChars="196"/>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120" w:afterLines="50"/>
        <w:ind w:firstLine="411" w:firstLineChars="196"/>
        <w:rPr>
          <w:szCs w:val="21"/>
        </w:rPr>
      </w:pPr>
      <w:r>
        <w:rPr>
          <w:rFonts w:hint="eastAsia"/>
          <w:szCs w:val="21"/>
        </w:rPr>
        <w:t>5.除非另外达成协议并生效，贵方的中标通知书和本投标文件将构成约束我们双方的合同。</w:t>
      </w:r>
    </w:p>
    <w:p>
      <w:pPr>
        <w:spacing w:after="120" w:afterLines="50"/>
        <w:ind w:firstLine="411" w:firstLineChars="196"/>
        <w:rPr>
          <w:szCs w:val="21"/>
        </w:rPr>
      </w:pPr>
      <w:r>
        <w:rPr>
          <w:szCs w:val="21"/>
        </w:rPr>
        <w:t>6</w:t>
      </w:r>
      <w:r>
        <w:rPr>
          <w:rFonts w:hint="eastAsia"/>
          <w:szCs w:val="21"/>
        </w:rPr>
        <w:t>.我方理解贵方将不受必须接受你们所收到的最低标价或其它任何投标文件的约束。</w:t>
      </w: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ind w:firstLine="420" w:firstLineChars="200"/>
        <w:rPr>
          <w:u w:val="single"/>
        </w:rPr>
      </w:pPr>
      <w:r>
        <w:rPr>
          <w:rFonts w:hint="eastAsia"/>
        </w:rPr>
        <w:t>投标人名称(盖公章):</w:t>
      </w:r>
    </w:p>
    <w:p>
      <w:pPr>
        <w:tabs>
          <w:tab w:val="clear" w:pos="426"/>
        </w:tabs>
        <w:spacing w:line="300" w:lineRule="auto"/>
        <w:ind w:firstLine="420" w:firstLineChars="200"/>
      </w:pPr>
      <w:r>
        <w:rPr>
          <w:rFonts w:hint="eastAsia"/>
        </w:rPr>
        <w:t>投标人地址:</w:t>
      </w:r>
    </w:p>
    <w:p>
      <w:pPr>
        <w:tabs>
          <w:tab w:val="clear" w:pos="426"/>
        </w:tabs>
        <w:spacing w:line="300" w:lineRule="auto"/>
        <w:ind w:firstLine="420" w:firstLineChars="200"/>
      </w:pPr>
      <w:r>
        <w:rPr>
          <w:rFonts w:hint="eastAsia"/>
        </w:rPr>
        <w:t>电话:</w:t>
      </w:r>
    </w:p>
    <w:p>
      <w:pPr>
        <w:tabs>
          <w:tab w:val="clear" w:pos="426"/>
        </w:tabs>
        <w:spacing w:line="300" w:lineRule="auto"/>
        <w:ind w:firstLine="420" w:firstLineChars="200"/>
        <w:rPr>
          <w:u w:val="single"/>
        </w:rPr>
      </w:pPr>
      <w:r>
        <w:rPr>
          <w:rFonts w:hint="eastAsia"/>
        </w:rPr>
        <w:t>法定代表人或投标人授权代表（签名或盖章）：</w:t>
      </w:r>
    </w:p>
    <w:p>
      <w:pPr>
        <w:tabs>
          <w:tab w:val="clear" w:pos="426"/>
        </w:tabs>
        <w:spacing w:line="300" w:lineRule="auto"/>
        <w:ind w:firstLine="420" w:firstLineChars="200"/>
        <w:rPr>
          <w:u w:val="single"/>
        </w:rPr>
      </w:pPr>
      <w:r>
        <w:rPr>
          <w:rFonts w:hint="eastAsia"/>
          <w:szCs w:val="21"/>
        </w:rPr>
        <w:t>日期：</w:t>
      </w:r>
    </w:p>
    <w:p>
      <w:pPr>
        <w:tabs>
          <w:tab w:val="clear" w:pos="426"/>
        </w:tabs>
        <w:spacing w:line="300" w:lineRule="auto"/>
        <w:rPr>
          <w:szCs w:val="21"/>
          <w:u w:val="single"/>
        </w:rPr>
      </w:pPr>
    </w:p>
    <w:p>
      <w:pPr>
        <w:tabs>
          <w:tab w:val="clear" w:pos="426"/>
        </w:tabs>
        <w:spacing w:line="300" w:lineRule="auto"/>
      </w:pPr>
    </w:p>
    <w:p>
      <w:pPr>
        <w:tabs>
          <w:tab w:val="clear" w:pos="426"/>
        </w:tabs>
        <w:spacing w:line="300" w:lineRule="auto"/>
      </w:pPr>
    </w:p>
    <w:p>
      <w:pPr>
        <w:numPr>
          <w:ilvl w:val="0"/>
          <w:numId w:val="29"/>
        </w:numPr>
        <w:adjustRightInd/>
        <w:snapToGrid/>
        <w:spacing w:before="280" w:after="290" w:line="377" w:lineRule="auto"/>
        <w:outlineLvl w:val="2"/>
        <w:rPr>
          <w:b/>
          <w:sz w:val="24"/>
        </w:rPr>
      </w:pPr>
      <w:r>
        <w:br w:type="page"/>
      </w:r>
      <w:r>
        <w:rPr>
          <w:rFonts w:hint="eastAsia"/>
          <w:b/>
          <w:sz w:val="24"/>
        </w:rPr>
        <w:t>投标保证金缴纳承诺函</w:t>
      </w:r>
    </w:p>
    <w:p>
      <w:pPr>
        <w:tabs>
          <w:tab w:val="clear" w:pos="426"/>
        </w:tabs>
        <w:spacing w:line="300" w:lineRule="auto"/>
        <w:jc w:val="center"/>
      </w:pPr>
      <w:r>
        <w:rPr>
          <w:rFonts w:hint="eastAsia" w:cs="Times New Roman"/>
          <w:bCs/>
          <w:kern w:val="2"/>
          <w:sz w:val="32"/>
          <w:szCs w:val="32"/>
        </w:rPr>
        <w:t>投标保证金缴纳承诺函</w:t>
      </w:r>
    </w:p>
    <w:p>
      <w:pPr>
        <w:tabs>
          <w:tab w:val="clear" w:pos="426"/>
        </w:tabs>
        <w:spacing w:line="300" w:lineRule="auto"/>
      </w:pPr>
    </w:p>
    <w:p>
      <w:pPr>
        <w:tabs>
          <w:tab w:val="clear" w:pos="426"/>
        </w:tabs>
        <w:spacing w:line="300" w:lineRule="auto"/>
        <w:rPr>
          <w:b/>
        </w:rPr>
      </w:pPr>
      <w:r>
        <w:rPr>
          <w:rFonts w:hint="eastAsia"/>
        </w:rPr>
        <w:t>深圳市深水水务咨询有限公司：</w:t>
      </w:r>
    </w:p>
    <w:p>
      <w:pPr>
        <w:tabs>
          <w:tab w:val="clear" w:pos="426"/>
        </w:tabs>
        <w:spacing w:line="300" w:lineRule="auto"/>
        <w:ind w:firstLine="420" w:firstLineChars="200"/>
      </w:pPr>
      <w:r>
        <w:rPr>
          <w:rFonts w:hint="eastAsia"/>
        </w:rPr>
        <w:t>本公司</w:t>
      </w:r>
      <w:r>
        <w:rPr>
          <w:rFonts w:hint="eastAsia"/>
          <w:u w:val="single"/>
        </w:rPr>
        <w:t xml:space="preserve">       (投标人名称)      </w:t>
      </w:r>
      <w:r>
        <w:rPr>
          <w:rFonts w:hint="eastAsia"/>
        </w:rPr>
        <w:t>报名参加</w:t>
      </w:r>
      <w:r>
        <w:rPr>
          <w:rFonts w:hint="eastAsia"/>
          <w:u w:val="single"/>
        </w:rPr>
        <w:t xml:space="preserve"> （项目名称）</w:t>
      </w:r>
      <w:r>
        <w:rPr>
          <w:rFonts w:hint="eastAsia"/>
        </w:rPr>
        <w:t>(招标项目编号：</w:t>
      </w:r>
      <w:r>
        <w:rPr>
          <w:rFonts w:hint="eastAsia"/>
          <w:u w:val="single"/>
        </w:rPr>
        <w:t>（项目编号）</w:t>
      </w:r>
      <w:r>
        <w:rPr>
          <w:rFonts w:hint="eastAsia"/>
        </w:rPr>
        <w:t>)的招标，我公司承诺我方已在市政府采购中心缴纳投标保证金，所缴纳的投标保证金作为本次政府采购活动的保证金。</w:t>
      </w:r>
    </w:p>
    <w:p>
      <w:pPr>
        <w:tabs>
          <w:tab w:val="clear" w:pos="426"/>
        </w:tabs>
        <w:spacing w:line="300" w:lineRule="auto"/>
        <w:ind w:firstLine="420" w:firstLineChars="200"/>
      </w:pPr>
      <w:r>
        <w:rPr>
          <w:rFonts w:hint="eastAsia"/>
        </w:rPr>
        <w:t>如我公司违反上款承诺，我方愿承担由此引起的一切法律责任。</w:t>
      </w:r>
    </w:p>
    <w:p>
      <w:pPr>
        <w:tabs>
          <w:tab w:val="clear" w:pos="426"/>
        </w:tabs>
        <w:spacing w:line="300" w:lineRule="auto"/>
        <w:ind w:firstLine="420" w:firstLineChars="200"/>
      </w:pPr>
      <w:r>
        <w:rPr>
          <w:rFonts w:hint="eastAsia"/>
        </w:rPr>
        <w:t>特此承诺!</w:t>
      </w:r>
    </w:p>
    <w:p>
      <w:pPr>
        <w:tabs>
          <w:tab w:val="clear" w:pos="426"/>
        </w:tabs>
        <w:spacing w:line="300" w:lineRule="auto"/>
        <w:ind w:firstLine="420" w:firstLineChars="200"/>
      </w:pPr>
    </w:p>
    <w:p>
      <w:pPr>
        <w:tabs>
          <w:tab w:val="clear" w:pos="426"/>
        </w:tabs>
        <w:spacing w:line="300" w:lineRule="auto"/>
        <w:ind w:firstLine="420" w:firstLineChars="200"/>
      </w:pPr>
    </w:p>
    <w:p>
      <w:pPr>
        <w:tabs>
          <w:tab w:val="clear" w:pos="426"/>
        </w:tabs>
        <w:spacing w:line="300" w:lineRule="auto"/>
        <w:ind w:firstLine="420" w:firstLineChars="200"/>
        <w:rPr>
          <w:u w:val="single"/>
        </w:rPr>
      </w:pPr>
      <w:r>
        <w:rPr>
          <w:rFonts w:hint="eastAsia"/>
        </w:rPr>
        <w:t>投标人名称(盖公章):</w:t>
      </w:r>
    </w:p>
    <w:p>
      <w:pPr>
        <w:tabs>
          <w:tab w:val="clear" w:pos="426"/>
        </w:tabs>
        <w:spacing w:line="300" w:lineRule="auto"/>
        <w:ind w:firstLine="420" w:firstLineChars="200"/>
      </w:pPr>
      <w:r>
        <w:rPr>
          <w:rFonts w:hint="eastAsia"/>
        </w:rPr>
        <w:t>投标人地址:</w:t>
      </w:r>
    </w:p>
    <w:p>
      <w:pPr>
        <w:tabs>
          <w:tab w:val="clear" w:pos="426"/>
        </w:tabs>
        <w:spacing w:line="300" w:lineRule="auto"/>
        <w:ind w:firstLine="420" w:firstLineChars="200"/>
      </w:pPr>
      <w:r>
        <w:rPr>
          <w:rFonts w:hint="eastAsia"/>
        </w:rPr>
        <w:t>电话:</w:t>
      </w:r>
    </w:p>
    <w:p>
      <w:pPr>
        <w:tabs>
          <w:tab w:val="clear" w:pos="426"/>
        </w:tabs>
        <w:spacing w:line="300" w:lineRule="auto"/>
        <w:ind w:firstLine="420" w:firstLineChars="200"/>
        <w:rPr>
          <w:u w:val="single"/>
        </w:rPr>
      </w:pPr>
      <w:r>
        <w:rPr>
          <w:rFonts w:hint="eastAsia"/>
        </w:rPr>
        <w:t>法定代表人或投标人授权代表（签名或盖章）：</w:t>
      </w:r>
    </w:p>
    <w:p>
      <w:pPr>
        <w:tabs>
          <w:tab w:val="clear" w:pos="426"/>
        </w:tabs>
        <w:spacing w:line="300" w:lineRule="auto"/>
        <w:ind w:firstLine="420" w:firstLineChars="200"/>
        <w:rPr>
          <w:u w:val="single"/>
        </w:rPr>
      </w:pPr>
      <w:r>
        <w:rPr>
          <w:rFonts w:hint="eastAsia"/>
          <w:szCs w:val="21"/>
        </w:rPr>
        <w:t>日期：</w:t>
      </w:r>
    </w:p>
    <w:p>
      <w:pPr>
        <w:tabs>
          <w:tab w:val="clear" w:pos="426"/>
        </w:tabs>
        <w:spacing w:line="300" w:lineRule="auto"/>
        <w:ind w:firstLine="420" w:firstLineChars="200"/>
        <w:rPr>
          <w:bCs/>
        </w:rPr>
      </w:pPr>
    </w:p>
    <w:p>
      <w:pPr>
        <w:tabs>
          <w:tab w:val="clear" w:pos="426"/>
        </w:tabs>
        <w:spacing w:line="300" w:lineRule="auto"/>
        <w:ind w:firstLine="420" w:firstLineChars="200"/>
        <w:rPr>
          <w:bCs/>
        </w:rPr>
      </w:pPr>
    </w:p>
    <w:p>
      <w:pPr>
        <w:tabs>
          <w:tab w:val="clear" w:pos="426"/>
        </w:tabs>
        <w:spacing w:line="300" w:lineRule="auto"/>
        <w:ind w:firstLine="420" w:firstLineChars="200"/>
        <w:rPr>
          <w:bCs/>
        </w:rPr>
      </w:pPr>
      <w:r>
        <w:rPr>
          <w:rFonts w:hint="eastAsia"/>
          <w:bCs/>
        </w:rPr>
        <w:t>备注：</w:t>
      </w:r>
    </w:p>
    <w:p>
      <w:pPr>
        <w:tabs>
          <w:tab w:val="clear" w:pos="426"/>
        </w:tabs>
        <w:spacing w:line="300" w:lineRule="auto"/>
        <w:ind w:firstLine="420" w:firstLineChars="200"/>
        <w:rPr>
          <w:bCs/>
        </w:rPr>
      </w:pPr>
      <w:r>
        <w:rPr>
          <w:rFonts w:hint="eastAsia"/>
          <w:bCs/>
        </w:rPr>
        <w:t>1.根据《中华人民共和国政府采购法实施条例》第三十三条和《深圳财政委员会关于规范政府采购项目投标保证金和履约保证金管理的通知》的规定，考虑到不少投标人经常参与投标，为提供便利，避免频繁缴纳与退还投标保证金，市政府采供中心对频繁参与投标的供应商提供便捷措施，投标保证金可实行依法按时退还或者依申请退还的方式。</w:t>
      </w:r>
    </w:p>
    <w:p>
      <w:pPr>
        <w:tabs>
          <w:tab w:val="clear" w:pos="426"/>
        </w:tabs>
        <w:spacing w:line="300" w:lineRule="auto"/>
        <w:ind w:firstLine="420" w:firstLineChars="200"/>
        <w:rPr>
          <w:bCs/>
        </w:rPr>
      </w:pPr>
      <w:r>
        <w:rPr>
          <w:rFonts w:hint="eastAsia"/>
          <w:bCs/>
        </w:rPr>
        <w:t>2.代理机构将在本项目开标前，查询投标人状态和投标保证金缴纳情况。</w:t>
      </w:r>
    </w:p>
    <w:p>
      <w:pPr>
        <w:tabs>
          <w:tab w:val="clear" w:pos="426"/>
        </w:tabs>
        <w:spacing w:line="300" w:lineRule="auto"/>
        <w:ind w:firstLine="420" w:firstLineChars="200"/>
      </w:pPr>
      <w:r>
        <w:rPr>
          <w:rFonts w:hint="eastAsia"/>
          <w:bCs/>
        </w:rPr>
        <w:t>3.</w:t>
      </w:r>
      <w:r>
        <w:rPr>
          <w:rFonts w:hint="eastAsia"/>
        </w:rPr>
        <w:t>若投标人投标保证金被依法不予退还，及时补交，否则投标无效。</w:t>
      </w:r>
    </w:p>
    <w:p>
      <w:pPr>
        <w:tabs>
          <w:tab w:val="clear" w:pos="426"/>
        </w:tabs>
        <w:spacing w:line="300" w:lineRule="auto"/>
      </w:pPr>
    </w:p>
    <w:p>
      <w:pPr>
        <w:tabs>
          <w:tab w:val="clear" w:pos="426"/>
        </w:tabs>
        <w:spacing w:line="300" w:lineRule="auto"/>
      </w:pPr>
    </w:p>
    <w:p>
      <w:pPr>
        <w:tabs>
          <w:tab w:val="clear" w:pos="426"/>
        </w:tabs>
        <w:spacing w:line="300" w:lineRule="auto"/>
      </w:pPr>
    </w:p>
    <w:p>
      <w:pPr>
        <w:numPr>
          <w:ilvl w:val="0"/>
          <w:numId w:val="29"/>
        </w:numPr>
        <w:adjustRightInd/>
        <w:snapToGrid/>
        <w:spacing w:before="280" w:after="290" w:line="377" w:lineRule="auto"/>
        <w:outlineLvl w:val="2"/>
        <w:rPr>
          <w:b/>
          <w:sz w:val="24"/>
        </w:rPr>
      </w:pPr>
      <w:r>
        <w:rPr>
          <w:b/>
        </w:rPr>
        <w:br w:type="page"/>
      </w:r>
      <w:r>
        <w:rPr>
          <w:rFonts w:hint="eastAsia"/>
          <w:b/>
          <w:sz w:val="24"/>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p>
    <w:p>
      <w:pPr>
        <w:tabs>
          <w:tab w:val="clear" w:pos="426"/>
        </w:tabs>
      </w:pPr>
      <w:r>
        <w:rPr>
          <w:rFonts w:hint="eastAsia"/>
        </w:rPr>
        <w:t>深圳市深水水务咨询有限公司：</w:t>
      </w:r>
    </w:p>
    <w:p>
      <w:pPr>
        <w:tabs>
          <w:tab w:val="clear" w:pos="426"/>
        </w:tabs>
        <w:spacing w:before="120" w:beforeLines="50" w:line="240" w:lineRule="auto"/>
        <w:ind w:firstLine="424" w:firstLineChars="202"/>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（项目编号）  </w:t>
      </w:r>
      <w:r>
        <w:rPr>
          <w:rFonts w:hint="eastAsia"/>
        </w:rPr>
        <w:t>）的采购公告，本公司（企业）愿意参加投标，并声明：</w:t>
      </w:r>
    </w:p>
    <w:p>
      <w:pPr>
        <w:tabs>
          <w:tab w:val="clear" w:pos="426"/>
        </w:tabs>
        <w:spacing w:line="240" w:lineRule="auto"/>
        <w:ind w:firstLine="424" w:firstLineChars="202"/>
      </w:pPr>
      <w:r>
        <w:t>1.我公司本招标项目所提供的货物或服务未侵犯知识产权。</w:t>
      </w:r>
    </w:p>
    <w:p>
      <w:pPr>
        <w:tabs>
          <w:tab w:val="clear" w:pos="426"/>
        </w:tabs>
        <w:spacing w:line="240" w:lineRule="auto"/>
        <w:ind w:firstLine="426" w:firstLineChars="202"/>
        <w:rPr>
          <w:b/>
        </w:rPr>
      </w:pPr>
      <w:r>
        <w:rPr>
          <w:b/>
        </w:rPr>
        <w:t>2.我公司参与本项目投标前三年内，在经营活动中没有重大违法记录。</w:t>
      </w:r>
    </w:p>
    <w:p>
      <w:pPr>
        <w:tabs>
          <w:tab w:val="clear" w:pos="426"/>
        </w:tabs>
        <w:spacing w:line="240" w:lineRule="auto"/>
        <w:ind w:firstLine="426" w:firstLineChars="202"/>
        <w:rPr>
          <w:b/>
        </w:rPr>
      </w:pPr>
      <w:r>
        <w:rPr>
          <w:b/>
        </w:rPr>
        <w:t>3.我公司参与本项目政府采购活动时不存在被有关部门禁止参与政府采购活动且在有效期内的情况。</w:t>
      </w:r>
    </w:p>
    <w:p>
      <w:pPr>
        <w:tabs>
          <w:tab w:val="clear" w:pos="426"/>
        </w:tabs>
        <w:spacing w:line="240" w:lineRule="auto"/>
        <w:ind w:firstLine="426" w:firstLineChars="202"/>
        <w:rPr>
          <w:b/>
        </w:rPr>
      </w:pPr>
      <w:r>
        <w:rPr>
          <w:b/>
        </w:rPr>
        <w:t>4.我公司具备《中华人民共和国政府采购法》第二十二条规定的资质。</w:t>
      </w:r>
    </w:p>
    <w:p>
      <w:pPr>
        <w:tabs>
          <w:tab w:val="clear" w:pos="426"/>
        </w:tabs>
        <w:spacing w:line="240" w:lineRule="auto"/>
        <w:ind w:firstLine="426" w:firstLineChars="202"/>
        <w:rPr>
          <w:b/>
        </w:rPr>
      </w:pPr>
      <w:r>
        <w:rPr>
          <w:b/>
        </w:rPr>
        <w:t>5.我公司未被列入失信被执行人、重大税收违法案件当事人名单、政府采购严重违法失信行为记录名单</w:t>
      </w:r>
    </w:p>
    <w:p>
      <w:pPr>
        <w:tabs>
          <w:tab w:val="clear" w:pos="426"/>
        </w:tabs>
        <w:spacing w:line="240" w:lineRule="auto"/>
        <w:ind w:firstLine="424" w:firstLineChars="202"/>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pPr>
      <w: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pPr>
        <w:tabs>
          <w:tab w:val="clear" w:pos="426"/>
        </w:tabs>
        <w:spacing w:line="240" w:lineRule="auto"/>
        <w:ind w:firstLine="424" w:firstLineChars="202"/>
      </w:pPr>
      <w: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pPr>
      <w:r>
        <w:t>10.我公司承诺不非法转包、分包。</w:t>
      </w:r>
    </w:p>
    <w:p>
      <w:pPr>
        <w:tabs>
          <w:tab w:val="clear" w:pos="426"/>
        </w:tabs>
        <w:spacing w:line="240" w:lineRule="auto"/>
        <w:ind w:firstLine="424" w:firstLineChars="202"/>
      </w:pPr>
      <w:r>
        <w:rPr>
          <w:rFonts w:hint="eastAsia"/>
        </w:rPr>
        <w:t>以上承诺，如有违反，愿依照国家相关法律处理，并承担由此给采购人带来的损失。</w:t>
      </w:r>
    </w:p>
    <w:p>
      <w:pPr>
        <w:tabs>
          <w:tab w:val="clear" w:pos="426"/>
        </w:tabs>
        <w:spacing w:line="240" w:lineRule="auto"/>
        <w:ind w:firstLine="420"/>
      </w:pPr>
      <w:r>
        <w:rPr>
          <w:rFonts w:hint="eastAsia"/>
        </w:rPr>
        <w:t>特此声明！</w:t>
      </w:r>
    </w:p>
    <w:p>
      <w:pPr>
        <w:tabs>
          <w:tab w:val="clear" w:pos="426"/>
        </w:tabs>
        <w:spacing w:line="240" w:lineRule="auto"/>
        <w:ind w:firstLine="420"/>
      </w:pPr>
    </w:p>
    <w:p>
      <w:pPr>
        <w:tabs>
          <w:tab w:val="clear" w:pos="426"/>
        </w:tabs>
        <w:ind w:firstLine="420"/>
      </w:pPr>
    </w:p>
    <w:p>
      <w:pPr>
        <w:tabs>
          <w:tab w:val="clear" w:pos="426"/>
        </w:tabs>
        <w:spacing w:line="300" w:lineRule="auto"/>
        <w:ind w:firstLine="420" w:firstLineChars="200"/>
        <w:rPr>
          <w:u w:val="single"/>
        </w:rPr>
      </w:pPr>
      <w:r>
        <w:rPr>
          <w:rFonts w:hint="eastAsia"/>
        </w:rPr>
        <w:t>投标人名称(盖公章):</w:t>
      </w:r>
    </w:p>
    <w:p>
      <w:pPr>
        <w:tabs>
          <w:tab w:val="clear" w:pos="426"/>
        </w:tabs>
        <w:spacing w:line="300" w:lineRule="auto"/>
        <w:ind w:firstLine="420" w:firstLineChars="200"/>
      </w:pPr>
      <w:r>
        <w:rPr>
          <w:rFonts w:hint="eastAsia"/>
        </w:rPr>
        <w:t>投标人地址:</w:t>
      </w:r>
    </w:p>
    <w:p>
      <w:pPr>
        <w:tabs>
          <w:tab w:val="clear" w:pos="426"/>
        </w:tabs>
        <w:spacing w:line="300" w:lineRule="auto"/>
        <w:ind w:firstLine="420" w:firstLineChars="200"/>
      </w:pPr>
      <w:r>
        <w:rPr>
          <w:rFonts w:hint="eastAsia"/>
        </w:rPr>
        <w:t>电话:</w:t>
      </w:r>
    </w:p>
    <w:p>
      <w:pPr>
        <w:tabs>
          <w:tab w:val="clear" w:pos="426"/>
        </w:tabs>
        <w:spacing w:line="300" w:lineRule="auto"/>
        <w:ind w:firstLine="420" w:firstLineChars="200"/>
        <w:rPr>
          <w:u w:val="single"/>
        </w:rPr>
      </w:pPr>
      <w:r>
        <w:rPr>
          <w:rFonts w:hint="eastAsia"/>
        </w:rPr>
        <w:t>法定代表人或投标人授权代表（签名或盖章）：</w:t>
      </w:r>
    </w:p>
    <w:p>
      <w:pPr>
        <w:tabs>
          <w:tab w:val="clear" w:pos="426"/>
        </w:tabs>
        <w:spacing w:line="300" w:lineRule="auto"/>
        <w:ind w:firstLine="420" w:firstLineChars="200"/>
        <w:rPr>
          <w:u w:val="single"/>
        </w:rPr>
      </w:pPr>
      <w:r>
        <w:rPr>
          <w:rFonts w:hint="eastAsia"/>
          <w:szCs w:val="21"/>
        </w:rPr>
        <w:t>日期：</w:t>
      </w:r>
    </w:p>
    <w:p>
      <w:pPr>
        <w:tabs>
          <w:tab w:val="clear" w:pos="426"/>
        </w:tabs>
        <w:ind w:firstLine="420" w:firstLineChars="200"/>
        <w:rPr>
          <w:u w:val="single"/>
        </w:rPr>
      </w:pPr>
      <w:bookmarkStart w:id="47" w:name="_Toc52165081"/>
      <w:bookmarkStart w:id="48" w:name="_Toc50737329"/>
      <w:bookmarkStart w:id="49" w:name="_Toc50736477"/>
      <w:bookmarkStart w:id="50" w:name="_Toc50737297"/>
      <w:bookmarkStart w:id="51" w:name="_Toc275865607"/>
      <w:bookmarkStart w:id="52" w:name="_Toc480754205"/>
      <w:bookmarkStart w:id="53" w:name="_Toc50737296"/>
      <w:bookmarkStart w:id="54" w:name="_Toc50691034"/>
      <w:bookmarkStart w:id="55" w:name="_Toc50736476"/>
      <w:bookmarkStart w:id="56" w:name="_Toc50737328"/>
      <w:bookmarkStart w:id="57" w:name="_Toc52165080"/>
    </w:p>
    <w:p>
      <w:pPr>
        <w:tabs>
          <w:tab w:val="clear" w:pos="426"/>
        </w:tabs>
        <w:rPr>
          <w:u w:val="single"/>
        </w:rPr>
      </w:pPr>
    </w:p>
    <w:p>
      <w:pPr>
        <w:tabs>
          <w:tab w:val="clear" w:pos="426"/>
        </w:tabs>
        <w:rPr>
          <w:u w:val="single"/>
        </w:rPr>
      </w:pPr>
    </w:p>
    <w:p>
      <w:pPr>
        <w:tabs>
          <w:tab w:val="clear" w:pos="426"/>
        </w:tabs>
        <w:rPr>
          <w:u w:val="single"/>
        </w:rPr>
      </w:pPr>
    </w:p>
    <w:p>
      <w:pPr>
        <w:tabs>
          <w:tab w:val="clear" w:pos="426"/>
        </w:tabs>
        <w:rPr>
          <w:u w:val="single"/>
        </w:rPr>
      </w:pPr>
    </w:p>
    <w:p>
      <w:pPr>
        <w:numPr>
          <w:ilvl w:val="0"/>
          <w:numId w:val="29"/>
        </w:numPr>
        <w:adjustRightInd/>
        <w:snapToGrid/>
        <w:spacing w:before="280" w:after="290" w:line="377" w:lineRule="auto"/>
        <w:outlineLvl w:val="2"/>
        <w:rPr>
          <w:b/>
          <w:sz w:val="24"/>
        </w:rPr>
      </w:pPr>
      <w:r>
        <w:rPr>
          <w:sz w:val="28"/>
          <w:szCs w:val="28"/>
        </w:rPr>
        <w:br w:type="page"/>
      </w: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47"/>
      <w:bookmarkEnd w:id="48"/>
      <w:bookmarkEnd w:id="49"/>
      <w:bookmarkEnd w:id="50"/>
      <w:bookmarkEnd w:id="51"/>
      <w:bookmarkEnd w:id="52"/>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spacing w:line="300" w:lineRule="auto"/>
        <w:ind w:firstLine="420" w:firstLineChars="200"/>
        <w:rPr>
          <w:u w:val="single"/>
        </w:rPr>
      </w:pPr>
      <w:r>
        <w:rPr>
          <w:rFonts w:hint="eastAsia"/>
        </w:rPr>
        <w:t>投标人名称(盖公章):</w:t>
      </w:r>
    </w:p>
    <w:p>
      <w:pPr>
        <w:tabs>
          <w:tab w:val="clear" w:pos="426"/>
        </w:tabs>
        <w:spacing w:line="300" w:lineRule="auto"/>
        <w:ind w:firstLine="420" w:firstLineChars="200"/>
      </w:pPr>
      <w:r>
        <w:rPr>
          <w:rFonts w:hint="eastAsia"/>
        </w:rPr>
        <w:t>投标人地址:</w:t>
      </w:r>
    </w:p>
    <w:p>
      <w:pPr>
        <w:tabs>
          <w:tab w:val="clear" w:pos="426"/>
        </w:tabs>
        <w:spacing w:line="300" w:lineRule="auto"/>
        <w:ind w:firstLine="420" w:firstLineChars="200"/>
      </w:pPr>
      <w:r>
        <w:rPr>
          <w:rFonts w:hint="eastAsia"/>
        </w:rPr>
        <w:t>电话:</w:t>
      </w:r>
    </w:p>
    <w:p>
      <w:pPr>
        <w:tabs>
          <w:tab w:val="clear" w:pos="426"/>
        </w:tabs>
        <w:spacing w:line="300" w:lineRule="auto"/>
        <w:ind w:firstLine="420" w:firstLineChars="200"/>
        <w:rPr>
          <w:u w:val="single"/>
        </w:rPr>
      </w:pPr>
      <w:r>
        <w:rPr>
          <w:rFonts w:hint="eastAsia"/>
        </w:rPr>
        <w:t>法定代表人（签名或盖章）：</w:t>
      </w:r>
    </w:p>
    <w:p>
      <w:pPr>
        <w:tabs>
          <w:tab w:val="clear" w:pos="426"/>
        </w:tabs>
        <w:spacing w:line="300" w:lineRule="auto"/>
        <w:ind w:firstLine="420" w:firstLineChars="200"/>
        <w:rPr>
          <w:u w:val="single"/>
        </w:rPr>
      </w:pPr>
      <w:r>
        <w:rPr>
          <w:rFonts w:hint="eastAsia"/>
        </w:rPr>
        <w:t>投标人授权代表（签名或盖章）：</w:t>
      </w:r>
    </w:p>
    <w:p>
      <w:pPr>
        <w:tabs>
          <w:tab w:val="clear" w:pos="426"/>
        </w:tabs>
        <w:spacing w:line="300" w:lineRule="auto"/>
        <w:ind w:firstLine="420" w:firstLineChars="200"/>
        <w:rPr>
          <w:u w:val="single"/>
        </w:rPr>
      </w:pPr>
      <w:r>
        <w:rPr>
          <w:rFonts w:hint="eastAsia"/>
          <w:szCs w:val="21"/>
        </w:rPr>
        <w:t>日期：</w:t>
      </w:r>
    </w:p>
    <w:p>
      <w:pPr>
        <w:tabs>
          <w:tab w:val="clear" w:pos="426"/>
        </w:tabs>
        <w:ind w:firstLine="422" w:firstLineChars="200"/>
        <w:rPr>
          <w:b/>
          <w:szCs w:val="21"/>
        </w:rPr>
      </w:pP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53"/>
    <w:bookmarkEnd w:id="54"/>
    <w:bookmarkEnd w:id="55"/>
    <w:bookmarkEnd w:id="56"/>
    <w:bookmarkEnd w:id="57"/>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p>
    <w:p>
      <w:pPr>
        <w:tabs>
          <w:tab w:val="clear" w:pos="426"/>
        </w:tabs>
        <w:spacing w:line="480" w:lineRule="auto"/>
        <w:ind w:firstLine="424" w:firstLineChars="202"/>
        <w:rPr>
          <w:u w:val="single"/>
        </w:rPr>
      </w:pPr>
      <w:r>
        <w:rPr>
          <w:rFonts w:hint="eastAsia"/>
        </w:rPr>
        <w:t>经济性质：</w:t>
      </w:r>
    </w:p>
    <w:p>
      <w:pPr>
        <w:tabs>
          <w:tab w:val="clear" w:pos="426"/>
        </w:tabs>
        <w:spacing w:line="480" w:lineRule="auto"/>
        <w:ind w:firstLine="424" w:firstLineChars="202"/>
        <w:rPr>
          <w:u w:val="single"/>
        </w:rPr>
      </w:pPr>
      <w:r>
        <w:rPr>
          <w:rFonts w:hint="eastAsia"/>
        </w:rPr>
        <w:t>主营（产）：</w:t>
      </w:r>
    </w:p>
    <w:p>
      <w:pPr>
        <w:tabs>
          <w:tab w:val="clear" w:pos="426"/>
        </w:tabs>
        <w:spacing w:line="480" w:lineRule="auto"/>
        <w:ind w:firstLine="424" w:firstLineChars="202"/>
        <w:rPr>
          <w:u w:val="single"/>
        </w:rPr>
      </w:pPr>
      <w:r>
        <w:rPr>
          <w:rFonts w:hint="eastAsia"/>
        </w:rPr>
        <w:t>兼营（产）：</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p>
    <w:p>
      <w:pPr>
        <w:tabs>
          <w:tab w:val="clear" w:pos="426"/>
        </w:tabs>
        <w:spacing w:line="500" w:lineRule="exact"/>
        <w:ind w:left="3826" w:leftChars="1822"/>
        <w:rPr>
          <w:u w:val="single"/>
        </w:rPr>
      </w:pPr>
      <w:r>
        <w:rPr>
          <w:rFonts w:hint="eastAsia"/>
        </w:rPr>
        <w:t>地址：</w:t>
      </w:r>
    </w:p>
    <w:p>
      <w:pPr>
        <w:tabs>
          <w:tab w:val="clear" w:pos="426"/>
        </w:tabs>
        <w:spacing w:line="500" w:lineRule="exact"/>
        <w:ind w:left="3826" w:leftChars="1822"/>
        <w:rPr>
          <w:u w:val="single"/>
        </w:rPr>
      </w:pPr>
      <w:r>
        <w:rPr>
          <w:rFonts w:hint="eastAsia"/>
        </w:rPr>
        <w:t>日期：</w:t>
      </w:r>
    </w:p>
    <w:p>
      <w:pPr>
        <w:tabs>
          <w:tab w:val="clear" w:pos="426"/>
        </w:tabs>
        <w:spacing w:line="500" w:lineRule="exact"/>
        <w:ind w:left="3826" w:leftChars="1822"/>
        <w:rPr>
          <w:b/>
          <w:bCs/>
          <w:u w:val="single"/>
        </w:rPr>
      </w:pPr>
    </w:p>
    <w:p>
      <w:pPr>
        <w:numPr>
          <w:ilvl w:val="0"/>
          <w:numId w:val="29"/>
        </w:numPr>
        <w:adjustRightInd/>
        <w:snapToGrid/>
        <w:spacing w:before="280" w:after="290" w:line="377" w:lineRule="auto"/>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173553182"/>
      <w:bookmarkStart w:id="59" w:name="_Toc480789478"/>
      <w:bookmarkStart w:id="60" w:name="_Toc275865616"/>
      <w:bookmarkStart w:id="61" w:name="_Toc480755928"/>
      <w:bookmarkStart w:id="62" w:name="_Toc480754207"/>
      <w:bookmarkStart w:id="63" w:name="_Toc480756074"/>
      <w:r>
        <w:rPr>
          <w:rFonts w:hint="eastAsia" w:cs="Times New Roman"/>
          <w:bCs/>
          <w:kern w:val="2"/>
          <w:sz w:val="32"/>
          <w:szCs w:val="32"/>
        </w:rPr>
        <w:t>投标人基本情况表</w:t>
      </w:r>
      <w:bookmarkEnd w:id="58"/>
      <w:bookmarkEnd w:id="59"/>
      <w:bookmarkEnd w:id="60"/>
      <w:bookmarkEnd w:id="61"/>
      <w:bookmarkEnd w:id="62"/>
      <w:bookmarkEnd w:id="63"/>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公司名称：  电话号码：</w:t>
      </w:r>
    </w:p>
    <w:p>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地    址：  传    真：</w:t>
      </w:r>
    </w:p>
    <w:p>
      <w:pPr>
        <w:widowControl w:val="0"/>
        <w:numPr>
          <w:ilvl w:val="1"/>
          <w:numId w:val="30"/>
        </w:numPr>
        <w:shd w:val="clear" w:color="auto" w:fill="auto"/>
        <w:tabs>
          <w:tab w:val="clear" w:pos="426"/>
        </w:tabs>
        <w:adjustRightInd/>
        <w:snapToGrid/>
        <w:ind w:left="0" w:firstLine="426"/>
        <w:rPr>
          <w:rFonts w:cs="Arial"/>
          <w:szCs w:val="21"/>
          <w:u w:val="single"/>
        </w:rPr>
      </w:pPr>
      <w:r>
        <w:rPr>
          <w:rFonts w:cs="Arial"/>
          <w:szCs w:val="21"/>
        </w:rPr>
        <w:t>注册资金：  经济性质：</w:t>
      </w:r>
    </w:p>
    <w:p>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公司开户银行名称及账号：</w:t>
      </w:r>
    </w:p>
    <w:p>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营业注册执照号：</w:t>
      </w:r>
    </w:p>
    <w:p>
      <w:pPr>
        <w:widowControl w:val="0"/>
        <w:numPr>
          <w:ilvl w:val="1"/>
          <w:numId w:val="30"/>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120" w:beforeLines="50"/>
        <w:ind w:firstLine="424" w:firstLineChars="201"/>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tabs>
          <w:tab w:val="clear" w:pos="426"/>
        </w:tabs>
        <w:spacing w:before="120" w:beforeLines="50"/>
        <w:ind w:firstLine="424" w:firstLineChars="201"/>
        <w:rPr>
          <w:b/>
          <w:color w:val="FF0000"/>
        </w:rPr>
      </w:pPr>
    </w:p>
    <w:p>
      <w:pPr>
        <w:tabs>
          <w:tab w:val="clear" w:pos="426"/>
        </w:tabs>
        <w:spacing w:before="120" w:beforeLines="50"/>
        <w:ind w:firstLine="424" w:firstLineChars="201"/>
        <w:rPr>
          <w:b/>
          <w:color w:val="FF0000"/>
        </w:rPr>
      </w:pPr>
    </w:p>
    <w:p>
      <w:pPr>
        <w:tabs>
          <w:tab w:val="clear" w:pos="426"/>
        </w:tabs>
        <w:spacing w:line="520" w:lineRule="exact"/>
        <w:ind w:left="424" w:leftChars="202"/>
        <w:rPr>
          <w:rFonts w:ascii="黑体" w:eastAsia="黑体"/>
          <w:b/>
          <w:bCs/>
          <w:sz w:val="28"/>
        </w:rPr>
      </w:pPr>
    </w:p>
    <w:p>
      <w:pPr>
        <w:numPr>
          <w:ilvl w:val="0"/>
          <w:numId w:val="29"/>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64" w:name="_Toc480754208"/>
      <w:bookmarkStart w:id="65" w:name="_Toc480756075"/>
      <w:bookmarkStart w:id="66" w:name="_Toc480789479"/>
      <w:bookmarkStart w:id="67" w:name="_Toc480755929"/>
      <w:r>
        <w:rPr>
          <w:rFonts w:hint="eastAsia" w:cs="Times New Roman"/>
          <w:bCs/>
          <w:kern w:val="2"/>
          <w:sz w:val="32"/>
          <w:szCs w:val="32"/>
        </w:rPr>
        <w:t>开标一览表(报价表)</w:t>
      </w:r>
      <w:bookmarkEnd w:id="64"/>
      <w:bookmarkEnd w:id="65"/>
      <w:bookmarkEnd w:id="66"/>
      <w:bookmarkEnd w:id="67"/>
    </w:p>
    <w:p>
      <w:pPr>
        <w:tabs>
          <w:tab w:val="clear" w:pos="426"/>
        </w:tabs>
        <w:jc w:val="left"/>
      </w:pPr>
    </w:p>
    <w:p>
      <w:pPr>
        <w:tabs>
          <w:tab w:val="clear" w:pos="426"/>
        </w:tabs>
        <w:jc w:val="left"/>
        <w:rPr>
          <w:sz w:val="24"/>
          <w:u w:val="single"/>
        </w:rPr>
      </w:pPr>
      <w:r>
        <w:rPr>
          <w:rFonts w:hint="eastAsia"/>
        </w:rPr>
        <w:t>项目名称：招标项目编号：</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1757"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1177" w:type="dxa"/>
            <w:shd w:val="clear" w:color="auto" w:fill="auto"/>
            <w:vAlign w:val="center"/>
          </w:tcPr>
          <w:p>
            <w:pPr>
              <w:tabs>
                <w:tab w:val="clear" w:pos="426"/>
              </w:tabs>
              <w:spacing w:line="240" w:lineRule="auto"/>
              <w:jc w:val="center"/>
              <w:rPr>
                <w:b/>
                <w:szCs w:val="21"/>
              </w:rPr>
            </w:pPr>
            <w:r>
              <w:rPr>
                <w:rFonts w:hint="eastAsia"/>
                <w:b/>
                <w:szCs w:val="21"/>
              </w:rPr>
              <w:t>配置</w:t>
            </w:r>
          </w:p>
        </w:tc>
        <w:tc>
          <w:tcPr>
            <w:tcW w:w="917" w:type="dxa"/>
            <w:shd w:val="clear" w:color="auto" w:fill="auto"/>
            <w:vAlign w:val="center"/>
          </w:tcPr>
          <w:p>
            <w:pPr>
              <w:tabs>
                <w:tab w:val="clear" w:pos="426"/>
              </w:tabs>
              <w:spacing w:line="240" w:lineRule="auto"/>
              <w:jc w:val="center"/>
              <w:rPr>
                <w:b/>
                <w:szCs w:val="21"/>
              </w:rPr>
            </w:pPr>
            <w:r>
              <w:rPr>
                <w:rFonts w:hint="eastAsia"/>
                <w:b/>
                <w:szCs w:val="21"/>
              </w:rPr>
              <w:t>型号</w:t>
            </w:r>
          </w:p>
        </w:tc>
        <w:tc>
          <w:tcPr>
            <w:tcW w:w="1047" w:type="dxa"/>
            <w:shd w:val="clear" w:color="auto" w:fill="auto"/>
            <w:vAlign w:val="center"/>
          </w:tcPr>
          <w:p>
            <w:pPr>
              <w:tabs>
                <w:tab w:val="clear" w:pos="426"/>
              </w:tabs>
              <w:spacing w:line="240" w:lineRule="auto"/>
              <w:jc w:val="center"/>
              <w:rPr>
                <w:b/>
                <w:szCs w:val="21"/>
              </w:rPr>
            </w:pPr>
            <w:r>
              <w:rPr>
                <w:rFonts w:hint="eastAsia"/>
                <w:b/>
                <w:szCs w:val="21"/>
              </w:rPr>
              <w:t>数量</w:t>
            </w:r>
          </w:p>
        </w:tc>
        <w:tc>
          <w:tcPr>
            <w:tcW w:w="1742" w:type="dxa"/>
            <w:shd w:val="clear" w:color="auto" w:fill="auto"/>
            <w:vAlign w:val="center"/>
          </w:tcPr>
          <w:p>
            <w:pPr>
              <w:tabs>
                <w:tab w:val="clear" w:pos="426"/>
              </w:tabs>
              <w:spacing w:line="240" w:lineRule="auto"/>
              <w:jc w:val="center"/>
              <w:rPr>
                <w:b/>
                <w:szCs w:val="21"/>
              </w:rPr>
            </w:pPr>
            <w:r>
              <w:rPr>
                <w:rFonts w:hint="eastAsia"/>
                <w:b/>
                <w:szCs w:val="21"/>
              </w:rPr>
              <w:t>投标价格</w:t>
            </w:r>
          </w:p>
        </w:tc>
        <w:tc>
          <w:tcPr>
            <w:tcW w:w="1179" w:type="dxa"/>
            <w:shd w:val="clear" w:color="auto" w:fill="auto"/>
            <w:vAlign w:val="center"/>
          </w:tcPr>
          <w:p>
            <w:pPr>
              <w:tabs>
                <w:tab w:val="clear" w:pos="426"/>
              </w:tabs>
              <w:spacing w:line="240" w:lineRule="auto"/>
              <w:jc w:val="center"/>
              <w:rPr>
                <w:b/>
                <w:szCs w:val="21"/>
              </w:rPr>
            </w:pPr>
            <w:r>
              <w:rPr>
                <w:rFonts w:hint="eastAsia"/>
                <w:b/>
                <w:szCs w:val="21"/>
              </w:rPr>
              <w:t>交货期</w:t>
            </w:r>
          </w:p>
        </w:tc>
        <w:tc>
          <w:tcPr>
            <w:tcW w:w="917"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szCs w:val="21"/>
              </w:rPr>
            </w:pPr>
            <w:r>
              <w:rPr>
                <w:rFonts w:hint="eastAsia"/>
                <w:bCs/>
                <w:szCs w:val="21"/>
              </w:rPr>
              <w:t>1</w:t>
            </w:r>
          </w:p>
        </w:tc>
        <w:tc>
          <w:tcPr>
            <w:tcW w:w="1757" w:type="dxa"/>
            <w:shd w:val="clear" w:color="auto" w:fill="auto"/>
            <w:vAlign w:val="center"/>
          </w:tcPr>
          <w:p>
            <w:pPr>
              <w:tabs>
                <w:tab w:val="clear" w:pos="426"/>
              </w:tabs>
              <w:jc w:val="center"/>
              <w:rPr>
                <w:szCs w:val="21"/>
              </w:rPr>
            </w:pPr>
          </w:p>
        </w:tc>
        <w:tc>
          <w:tcPr>
            <w:tcW w:w="1177" w:type="dxa"/>
            <w:shd w:val="clear" w:color="auto" w:fill="auto"/>
            <w:vAlign w:val="center"/>
          </w:tcPr>
          <w:p>
            <w:pPr>
              <w:tabs>
                <w:tab w:val="clear" w:pos="426"/>
              </w:tabs>
              <w:jc w:val="center"/>
              <w:rPr>
                <w:bCs/>
                <w:szCs w:val="21"/>
                <w:u w:val="single"/>
              </w:rPr>
            </w:pPr>
          </w:p>
        </w:tc>
        <w:tc>
          <w:tcPr>
            <w:tcW w:w="917" w:type="dxa"/>
            <w:shd w:val="clear" w:color="auto" w:fill="auto"/>
            <w:vAlign w:val="center"/>
          </w:tcPr>
          <w:p>
            <w:pPr>
              <w:tabs>
                <w:tab w:val="clear" w:pos="426"/>
              </w:tabs>
              <w:jc w:val="center"/>
              <w:rPr>
                <w:b/>
                <w:szCs w:val="21"/>
              </w:rPr>
            </w:pPr>
          </w:p>
        </w:tc>
        <w:tc>
          <w:tcPr>
            <w:tcW w:w="1047" w:type="dxa"/>
            <w:shd w:val="clear" w:color="auto" w:fill="auto"/>
            <w:vAlign w:val="center"/>
          </w:tcPr>
          <w:p>
            <w:pPr>
              <w:tabs>
                <w:tab w:val="clear" w:pos="426"/>
              </w:tabs>
              <w:jc w:val="center"/>
              <w:rPr>
                <w:b/>
                <w:szCs w:val="21"/>
              </w:rPr>
            </w:pPr>
          </w:p>
        </w:tc>
        <w:tc>
          <w:tcPr>
            <w:tcW w:w="1742" w:type="dxa"/>
            <w:shd w:val="clear" w:color="auto" w:fill="auto"/>
            <w:vAlign w:val="center"/>
          </w:tcPr>
          <w:p>
            <w:pPr>
              <w:tabs>
                <w:tab w:val="clear" w:pos="426"/>
              </w:tabs>
              <w:jc w:val="center"/>
              <w:rPr>
                <w:b/>
                <w:szCs w:val="21"/>
              </w:rPr>
            </w:pPr>
          </w:p>
        </w:tc>
        <w:tc>
          <w:tcPr>
            <w:tcW w:w="1179" w:type="dxa"/>
            <w:shd w:val="clear" w:color="auto" w:fill="auto"/>
            <w:vAlign w:val="center"/>
          </w:tcPr>
          <w:p>
            <w:pPr>
              <w:tabs>
                <w:tab w:val="clear" w:pos="426"/>
              </w:tabs>
              <w:jc w:val="center"/>
              <w:rPr>
                <w:b/>
                <w:szCs w:val="21"/>
              </w:rPr>
            </w:pPr>
          </w:p>
        </w:tc>
        <w:tc>
          <w:tcPr>
            <w:tcW w:w="917" w:type="dxa"/>
            <w:shd w:val="clear" w:color="auto" w:fill="auto"/>
            <w:vAlign w:val="center"/>
          </w:tcPr>
          <w:p>
            <w:pPr>
              <w:tabs>
                <w:tab w:val="clear" w:pos="426"/>
              </w:tabs>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9570" w:type="dxa"/>
            <w:gridSpan w:val="8"/>
            <w:shd w:val="clear" w:color="auto" w:fill="auto"/>
            <w:vAlign w:val="center"/>
          </w:tcPr>
          <w:p>
            <w:pPr>
              <w:tabs>
                <w:tab w:val="clear" w:pos="426"/>
              </w:tabs>
              <w:jc w:val="center"/>
              <w:rPr>
                <w:b/>
                <w:szCs w:val="21"/>
              </w:rPr>
            </w:pPr>
            <w:r>
              <w:rPr>
                <w:rFonts w:hint="eastAsia"/>
                <w:b/>
                <w:bCs/>
                <w:sz w:val="24"/>
              </w:rPr>
              <w:t xml:space="preserve">合计（即：投标总价；币种：人民币；单位：元）：     大写：  </w:t>
            </w: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rFonts w:hint="eastAsia"/>
          <w:spacing w:val="4"/>
        </w:rPr>
        <w:t>职务：日期</w:t>
      </w:r>
    </w:p>
    <w:p>
      <w:pPr>
        <w:tabs>
          <w:tab w:val="clear" w:pos="426"/>
        </w:tabs>
        <w:spacing w:line="400" w:lineRule="exact"/>
        <w:rPr>
          <w:b/>
          <w:bCs/>
          <w:szCs w:val="21"/>
        </w:rPr>
      </w:pPr>
    </w:p>
    <w:p>
      <w:pPr>
        <w:tabs>
          <w:tab w:val="clear" w:pos="426"/>
        </w:tabs>
        <w:spacing w:line="400" w:lineRule="exact"/>
        <w:rPr>
          <w:b/>
          <w:bCs/>
          <w:szCs w:val="21"/>
        </w:rPr>
      </w:pPr>
      <w:r>
        <w:rPr>
          <w:rFonts w:hint="eastAsia"/>
          <w:b/>
          <w:bCs/>
          <w:szCs w:val="21"/>
        </w:rPr>
        <w:t>备注：</w:t>
      </w:r>
    </w:p>
    <w:p>
      <w:pPr>
        <w:widowControl w:val="0"/>
        <w:numPr>
          <w:ilvl w:val="1"/>
          <w:numId w:val="31"/>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31"/>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此表内投标报价为最终价，开标信封及投标文件内不得含有任何对本报价进行修改的其他说明或资料，否则将导致投标无效</w:t>
      </w:r>
      <w:r>
        <w:rPr>
          <w:rFonts w:hint="eastAsia"/>
          <w:b/>
          <w:bCs/>
          <w:szCs w:val="21"/>
        </w:rPr>
        <w:t>。</w:t>
      </w:r>
    </w:p>
    <w:p>
      <w:pPr>
        <w:widowControl w:val="0"/>
        <w:shd w:val="clear" w:color="auto" w:fill="auto"/>
        <w:tabs>
          <w:tab w:val="clear" w:pos="426"/>
        </w:tabs>
        <w:adjustRightInd/>
        <w:rPr>
          <w:b/>
          <w:bCs/>
          <w:szCs w:val="21"/>
        </w:rPr>
      </w:pPr>
    </w:p>
    <w:p>
      <w:pPr>
        <w:widowControl w:val="0"/>
        <w:shd w:val="clear" w:color="auto" w:fill="auto"/>
        <w:tabs>
          <w:tab w:val="clear" w:pos="426"/>
        </w:tabs>
        <w:adjustRightInd/>
        <w:snapToGrid/>
        <w:spacing w:line="300" w:lineRule="auto"/>
        <w:jc w:val="center"/>
        <w:rPr>
          <w:rFonts w:cs="Times New Roman"/>
          <w:b/>
          <w:bCs/>
          <w:kern w:val="2"/>
          <w:sz w:val="32"/>
          <w:szCs w:val="32"/>
        </w:rPr>
      </w:pPr>
    </w:p>
    <w:p>
      <w:pPr>
        <w:adjustRightInd/>
        <w:snapToGrid/>
        <w:spacing w:before="280" w:after="290" w:line="377" w:lineRule="auto"/>
        <w:rPr>
          <w:b/>
          <w:sz w:val="24"/>
        </w:rPr>
      </w:pPr>
    </w:p>
    <w:p>
      <w:pPr>
        <w:adjustRightInd/>
        <w:snapToGrid/>
        <w:spacing w:before="280" w:after="290" w:line="377" w:lineRule="auto"/>
        <w:rPr>
          <w:b/>
          <w:sz w:val="24"/>
        </w:rPr>
      </w:pPr>
    </w:p>
    <w:p>
      <w:pPr>
        <w:adjustRightInd/>
        <w:snapToGrid/>
        <w:spacing w:before="280" w:after="290" w:line="377" w:lineRule="auto"/>
        <w:rPr>
          <w:b/>
          <w:sz w:val="24"/>
        </w:rPr>
        <w:sectPr>
          <w:pgSz w:w="11906" w:h="16838"/>
          <w:pgMar w:top="1134" w:right="1134" w:bottom="1134" w:left="1418" w:header="851" w:footer="992" w:gutter="0"/>
          <w:cols w:space="425" w:num="1"/>
          <w:titlePg/>
          <w:docGrid w:linePitch="462" w:charSpace="0"/>
        </w:sectPr>
      </w:pPr>
    </w:p>
    <w:p>
      <w:pPr>
        <w:numPr>
          <w:ilvl w:val="0"/>
          <w:numId w:val="29"/>
        </w:numPr>
        <w:adjustRightInd/>
        <w:snapToGrid/>
        <w:spacing w:before="280" w:after="290" w:line="377" w:lineRule="auto"/>
        <w:outlineLvl w:val="2"/>
        <w:rPr>
          <w:b/>
          <w:sz w:val="24"/>
        </w:rPr>
      </w:pPr>
      <w:r>
        <w:rPr>
          <w:rFonts w:hint="eastAsia"/>
          <w:b/>
          <w:sz w:val="24"/>
        </w:rPr>
        <w:t>投标分项报价表</w:t>
      </w:r>
    </w:p>
    <w:p>
      <w:pPr>
        <w:widowControl w:val="0"/>
        <w:shd w:val="clear" w:color="auto" w:fill="auto"/>
        <w:tabs>
          <w:tab w:val="clear" w:pos="426"/>
        </w:tabs>
        <w:adjustRightInd/>
        <w:snapToGrid/>
        <w:spacing w:line="300" w:lineRule="auto"/>
        <w:jc w:val="center"/>
        <w:rPr>
          <w:rFonts w:cs="Times New Roman"/>
          <w:b/>
          <w:bCs/>
          <w:kern w:val="2"/>
          <w:sz w:val="28"/>
          <w:szCs w:val="28"/>
        </w:rPr>
      </w:pPr>
      <w:bookmarkStart w:id="68" w:name="_Toc480754209"/>
      <w:bookmarkStart w:id="69" w:name="_Toc480756076"/>
      <w:bookmarkStart w:id="70" w:name="_Toc192662843"/>
      <w:bookmarkStart w:id="71" w:name="_Toc275865611"/>
      <w:bookmarkStart w:id="72" w:name="_Toc480755930"/>
      <w:bookmarkStart w:id="73" w:name="_Toc480789480"/>
      <w:r>
        <w:rPr>
          <w:rFonts w:hint="eastAsia" w:cs="Times New Roman"/>
          <w:b/>
          <w:bCs/>
          <w:kern w:val="2"/>
          <w:sz w:val="28"/>
          <w:szCs w:val="28"/>
        </w:rPr>
        <w:t>（一）</w:t>
      </w:r>
      <w:bookmarkEnd w:id="68"/>
      <w:bookmarkEnd w:id="69"/>
      <w:bookmarkEnd w:id="70"/>
      <w:bookmarkEnd w:id="71"/>
      <w:bookmarkEnd w:id="72"/>
      <w:bookmarkEnd w:id="73"/>
      <w:r>
        <w:rPr>
          <w:rFonts w:hint="eastAsia" w:cs="Times New Roman"/>
          <w:b/>
          <w:bCs/>
          <w:kern w:val="2"/>
          <w:sz w:val="28"/>
          <w:szCs w:val="28"/>
        </w:rPr>
        <w:t>货物详细清单报价表</w:t>
      </w:r>
    </w:p>
    <w:p>
      <w:pPr>
        <w:tabs>
          <w:tab w:val="clear" w:pos="426"/>
        </w:tabs>
        <w:wordWrap w:val="0"/>
      </w:pPr>
      <w:r>
        <w:rPr>
          <w:rFonts w:hint="eastAsia"/>
        </w:rPr>
        <w:t>项目名称：招标项目编号：</w:t>
      </w:r>
    </w:p>
    <w:tbl>
      <w:tblPr>
        <w:tblStyle w:val="44"/>
        <w:tblW w:w="9519" w:type="dxa"/>
        <w:jc w:val="center"/>
        <w:tblInd w:w="0" w:type="dxa"/>
        <w:tblLayout w:type="fixed"/>
        <w:tblCellMar>
          <w:top w:w="0" w:type="dxa"/>
          <w:left w:w="0" w:type="dxa"/>
          <w:bottom w:w="0" w:type="dxa"/>
          <w:right w:w="0" w:type="dxa"/>
        </w:tblCellMar>
      </w:tblPr>
      <w:tblGrid>
        <w:gridCol w:w="439"/>
        <w:gridCol w:w="1514"/>
        <w:gridCol w:w="1165"/>
        <w:gridCol w:w="1110"/>
        <w:gridCol w:w="1140"/>
        <w:gridCol w:w="675"/>
        <w:gridCol w:w="915"/>
        <w:gridCol w:w="885"/>
        <w:gridCol w:w="840"/>
        <w:gridCol w:w="836"/>
      </w:tblGrid>
      <w:tr>
        <w:tblPrEx>
          <w:tblLayout w:type="fixed"/>
          <w:tblCellMar>
            <w:top w:w="0" w:type="dxa"/>
            <w:left w:w="0" w:type="dxa"/>
            <w:bottom w:w="0" w:type="dxa"/>
            <w:right w:w="0" w:type="dxa"/>
          </w:tblCellMar>
        </w:tblPrEx>
        <w:trPr>
          <w:trHeight w:val="810"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货物名称</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原产地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制造商名称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合价(元)</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bCs/>
                <w:color w:val="000000"/>
                <w:sz w:val="20"/>
                <w:szCs w:val="20"/>
                <w:lang w:bidi="ar"/>
              </w:rPr>
            </w:pPr>
            <w:r>
              <w:rPr>
                <w:rFonts w:hint="eastAsia"/>
                <w:b/>
                <w:bCs/>
                <w:color w:val="000000"/>
                <w:sz w:val="20"/>
                <w:szCs w:val="20"/>
                <w:lang w:bidi="ar"/>
              </w:rPr>
              <w:t>是否核心产品</w:t>
            </w: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立式钢琴</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三角钢琴</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核心</w:t>
            </w:r>
          </w:p>
          <w:p>
            <w:pPr>
              <w:jc w:val="center"/>
              <w:textAlignment w:val="center"/>
              <w:rPr>
                <w:color w:val="000000"/>
                <w:sz w:val="20"/>
                <w:szCs w:val="20"/>
                <w:lang w:bidi="ar"/>
              </w:rPr>
            </w:pPr>
            <w:r>
              <w:rPr>
                <w:rFonts w:hint="eastAsia"/>
                <w:color w:val="000000"/>
                <w:sz w:val="20"/>
                <w:szCs w:val="20"/>
                <w:lang w:bidi="ar"/>
              </w:rPr>
              <w:t>产品</w:t>
            </w: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2"/>
                <w:szCs w:val="22"/>
                <w:lang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r>
              <w:rPr>
                <w:rFonts w:hint="eastAsia"/>
                <w:color w:val="000000"/>
                <w:sz w:val="20"/>
                <w:szCs w:val="20"/>
                <w:lang w:bidi="ar"/>
              </w:rPr>
              <w:t>尤克里里</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Theme="minorEastAsia" w:hAnsiTheme="minorEastAsia" w:eastAsiaTheme="minorEastAsia" w:cstheme="minorEastAsia"/>
                <w:color w:val="000000"/>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手鼓</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4"/>
                <w:lang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铃鼓</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加长鱼蛙</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木制小沙球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七铃手铃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9</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二十一铃大棒铃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8音颗铃</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木制刮棒</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儿童打棒</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木质响板</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加沟单响筒</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双响筒</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16</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低音方梆子</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17</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高音方梆子</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18</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班戈鼓</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19</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非洲鼓</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高低梆子</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Cs w:val="21"/>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21</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三角铁</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大棒钟</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67"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23</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大雨声筒</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4"/>
                <w:lang w:bidi="ar"/>
              </w:rPr>
            </w:pPr>
            <w:r>
              <w:rPr>
                <w:rFonts w:hint="eastAsia"/>
                <w:color w:val="000000"/>
                <w:sz w:val="22"/>
                <w:szCs w:val="22"/>
                <w:lang w:bidi="ar"/>
              </w:rPr>
              <w:t>24</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0"/>
                <w:szCs w:val="20"/>
                <w:lang w:bidi="ar"/>
              </w:rPr>
              <w:t>双排塑料铃圈</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2"/>
                <w:szCs w:val="22"/>
                <w:lang w:bidi="ar"/>
              </w:rPr>
            </w:pPr>
            <w:r>
              <w:rPr>
                <w:rFonts w:hint="eastAsia"/>
                <w:color w:val="000000"/>
                <w:sz w:val="22"/>
                <w:szCs w:val="22"/>
                <w:lang w:bidi="ar"/>
              </w:rPr>
              <w:t>25</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color w:val="000000"/>
                <w:sz w:val="20"/>
                <w:szCs w:val="20"/>
                <w:lang w:bidi="ar"/>
              </w:rPr>
              <w:t>木把金属珠子</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r>
        <w:tblPrEx>
          <w:tblLayout w:type="fixed"/>
          <w:tblCellMar>
            <w:top w:w="0" w:type="dxa"/>
            <w:left w:w="0" w:type="dxa"/>
            <w:bottom w:w="0" w:type="dxa"/>
            <w:right w:w="0" w:type="dxa"/>
          </w:tblCellMar>
        </w:tblPrEx>
        <w:trPr>
          <w:trHeight w:val="285" w:hRule="atLeast"/>
          <w:jc w:val="center"/>
        </w:trPr>
        <w:tc>
          <w:tcPr>
            <w:tcW w:w="78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r>
              <w:rPr>
                <w:rFonts w:hint="eastAsia"/>
                <w:b/>
                <w:bCs/>
                <w:color w:val="000000"/>
                <w:sz w:val="20"/>
                <w:szCs w:val="20"/>
                <w:lang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lang w:bidi="ar"/>
              </w:rPr>
            </w:pPr>
          </w:p>
        </w:tc>
      </w:tr>
    </w:tbl>
    <w:p>
      <w:pPr>
        <w:spacing w:line="240" w:lineRule="auto"/>
        <w:rPr>
          <w:b/>
          <w:sz w:val="24"/>
        </w:rPr>
      </w:pPr>
      <w:r>
        <w:rPr>
          <w:rFonts w:hint="eastAsia"/>
          <w:b/>
          <w:sz w:val="24"/>
        </w:rPr>
        <w:t>备注：</w:t>
      </w:r>
    </w:p>
    <w:p>
      <w:pPr>
        <w:spacing w:line="240" w:lineRule="auto"/>
        <w:ind w:firstLine="424" w:firstLineChars="176"/>
        <w:rPr>
          <w:b/>
          <w:sz w:val="24"/>
        </w:rPr>
      </w:pPr>
      <w:r>
        <w:rPr>
          <w:rFonts w:hint="eastAsia"/>
          <w:b/>
          <w:sz w:val="24"/>
        </w:rPr>
        <w:t>1.请根据“第三章</w:t>
      </w:r>
      <w:r>
        <w:rPr>
          <w:b/>
          <w:sz w:val="24"/>
        </w:rPr>
        <w:t xml:space="preserve"> 项目需求” “</w:t>
      </w:r>
      <w:r>
        <w:rPr>
          <w:rFonts w:hint="eastAsia"/>
          <w:b/>
          <w:sz w:val="24"/>
        </w:rPr>
        <w:t>一</w:t>
      </w:r>
      <w:r>
        <w:rPr>
          <w:b/>
          <w:sz w:val="24"/>
        </w:rPr>
        <w:t>、货物清单</w:t>
      </w:r>
      <w:r>
        <w:rPr>
          <w:rFonts w:hint="eastAsia"/>
          <w:b/>
          <w:sz w:val="24"/>
        </w:rPr>
        <w:t>一览表</w:t>
      </w:r>
      <w:r>
        <w:rPr>
          <w:b/>
          <w:sz w:val="24"/>
        </w:rPr>
        <w:t>”中的“（</w:t>
      </w:r>
      <w:r>
        <w:rPr>
          <w:rFonts w:hint="eastAsia"/>
          <w:b/>
          <w:sz w:val="24"/>
        </w:rPr>
        <w:t>二</w:t>
      </w:r>
      <w:r>
        <w:rPr>
          <w:b/>
          <w:sz w:val="24"/>
        </w:rPr>
        <w:t>）货物清单</w:t>
      </w:r>
      <w:r>
        <w:rPr>
          <w:rFonts w:hint="eastAsia"/>
          <w:b/>
          <w:sz w:val="24"/>
        </w:rPr>
        <w:t>明细</w:t>
      </w:r>
      <w:r>
        <w:rPr>
          <w:b/>
          <w:sz w:val="24"/>
        </w:rPr>
        <w:t>”填写；本表格式不得修改。</w:t>
      </w:r>
    </w:p>
    <w:p>
      <w:pPr>
        <w:spacing w:line="240" w:lineRule="auto"/>
        <w:ind w:firstLine="424" w:firstLineChars="176"/>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所有价格应按“招标文件”中规定的货币单位填写；投标总价应为以上各分项价格之和；投标总价和项目报价表中单个采购预算条目报价均不得超过对应的财政预算限额，否则将导致投标无效。</w:t>
      </w:r>
    </w:p>
    <w:p>
      <w:pPr>
        <w:spacing w:line="240" w:lineRule="auto"/>
        <w:ind w:firstLine="424" w:firstLineChars="176"/>
        <w:rPr>
          <w:b/>
          <w:sz w:val="24"/>
        </w:rPr>
      </w:pPr>
      <w:r>
        <w:rPr>
          <w:rFonts w:hint="eastAsia"/>
          <w:b/>
          <w:sz w:val="24"/>
        </w:rPr>
        <w:t>4.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rPr>
      </w:pPr>
      <w:r>
        <w:rPr>
          <w:rFonts w:hint="eastAsia"/>
          <w:b/>
          <w:sz w:val="24"/>
        </w:rPr>
        <w:t>5.开标一览表的投标总价必须与投标分项报价表的投标总价一致。</w:t>
      </w:r>
    </w:p>
    <w:p>
      <w:pPr>
        <w:spacing w:line="240" w:lineRule="auto"/>
        <w:ind w:firstLine="424" w:firstLineChars="176"/>
        <w:rPr>
          <w:b/>
          <w:sz w:val="24"/>
        </w:rPr>
      </w:pPr>
      <w:r>
        <w:rPr>
          <w:b/>
          <w:sz w:val="24"/>
        </w:rPr>
        <w:t>6</w:t>
      </w:r>
      <w:r>
        <w:rPr>
          <w:rFonts w:hint="eastAsia"/>
          <w:b/>
          <w:sz w:val="24"/>
        </w:rPr>
        <w:t>.“原产地”是指该产品的实际生产加工地，而非品牌总公司所在地。</w:t>
      </w:r>
    </w:p>
    <w:p>
      <w:pPr>
        <w:spacing w:line="240" w:lineRule="auto"/>
        <w:ind w:firstLine="424" w:firstLineChars="176"/>
        <w:rPr>
          <w:b/>
          <w:sz w:val="24"/>
        </w:rPr>
      </w:pPr>
      <w:r>
        <w:rPr>
          <w:rFonts w:hint="eastAsia"/>
          <w:b/>
          <w:sz w:val="24"/>
        </w:rPr>
        <w:t>8.如所投产品属于定制类的非量产货物，投标人无需填写型号等，但应在开标一览表中予以备注。</w:t>
      </w:r>
    </w:p>
    <w:p>
      <w:pPr>
        <w:adjustRightInd/>
        <w:snapToGrid/>
        <w:spacing w:before="280" w:after="290" w:line="377" w:lineRule="auto"/>
        <w:rPr>
          <w:b/>
          <w:sz w:val="24"/>
        </w:rPr>
        <w:sectPr>
          <w:pgSz w:w="11906" w:h="16838"/>
          <w:pgMar w:top="1134" w:right="1134" w:bottom="1134" w:left="1418" w:header="851" w:footer="992" w:gutter="0"/>
          <w:cols w:space="425" w:num="1"/>
          <w:titlePg/>
          <w:docGrid w:linePitch="462" w:charSpace="0"/>
        </w:sectPr>
      </w:pPr>
    </w:p>
    <w:p>
      <w:pPr>
        <w:numPr>
          <w:ilvl w:val="0"/>
          <w:numId w:val="29"/>
        </w:numPr>
        <w:adjustRightInd/>
        <w:snapToGrid/>
        <w:spacing w:before="280" w:after="290" w:line="377" w:lineRule="auto"/>
        <w:outlineLvl w:val="2"/>
        <w:rPr>
          <w:b/>
          <w:sz w:val="24"/>
        </w:rPr>
      </w:pPr>
      <w:bookmarkStart w:id="74" w:name="_Toc43264518"/>
      <w:bookmarkStart w:id="75" w:name="_Toc50703730"/>
      <w:bookmarkStart w:id="76" w:name="_Toc50691037"/>
      <w:bookmarkStart w:id="77" w:name="_Toc43264525"/>
      <w:r>
        <w:rPr>
          <w:rFonts w:hint="eastAsia"/>
          <w:b/>
          <w:sz w:val="24"/>
        </w:rPr>
        <w:t>货物说明一览表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78" w:name="_Toc480755933"/>
      <w:bookmarkStart w:id="79" w:name="_Toc480754212"/>
      <w:bookmarkStart w:id="80" w:name="_Toc480756079"/>
      <w:bookmarkStart w:id="81" w:name="_Toc480789483"/>
      <w:r>
        <w:rPr>
          <w:rFonts w:hint="eastAsia" w:cs="Times New Roman"/>
          <w:bCs/>
          <w:kern w:val="2"/>
          <w:sz w:val="32"/>
          <w:szCs w:val="32"/>
        </w:rPr>
        <w:t>货物说明一览表</w:t>
      </w:r>
      <w:bookmarkEnd w:id="78"/>
      <w:bookmarkEnd w:id="79"/>
      <w:bookmarkEnd w:id="80"/>
      <w:bookmarkEnd w:id="81"/>
    </w:p>
    <w:p>
      <w:pPr>
        <w:tabs>
          <w:tab w:val="clear" w:pos="426"/>
        </w:tabs>
        <w:rPr>
          <w:rFonts w:cs="Arial"/>
          <w:bCs/>
          <w:szCs w:val="21"/>
        </w:rPr>
      </w:pPr>
    </w:p>
    <w:p>
      <w:pPr>
        <w:tabs>
          <w:tab w:val="clear" w:pos="426"/>
        </w:tabs>
        <w:rPr>
          <w:rFonts w:cs="Arial"/>
          <w:bCs/>
          <w:szCs w:val="21"/>
        </w:rPr>
      </w:pPr>
      <w:r>
        <w:rPr>
          <w:rFonts w:hint="eastAsia" w:cs="Arial"/>
          <w:bCs/>
          <w:szCs w:val="21"/>
        </w:rPr>
        <w:t>项目名称：招标项目编号：包号：</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rPr>
            </w:pPr>
            <w:r>
              <w:rPr>
                <w:rFonts w:hint="eastAsia"/>
                <w:szCs w:val="21"/>
              </w:rPr>
              <w:t>序号</w:t>
            </w:r>
          </w:p>
        </w:tc>
        <w:tc>
          <w:tcPr>
            <w:tcW w:w="1993" w:type="dxa"/>
            <w:vAlign w:val="center"/>
          </w:tcPr>
          <w:p>
            <w:pPr>
              <w:spacing w:line="240" w:lineRule="auto"/>
              <w:jc w:val="center"/>
              <w:rPr>
                <w:szCs w:val="21"/>
              </w:rPr>
            </w:pPr>
            <w:r>
              <w:rPr>
                <w:rFonts w:hint="eastAsia"/>
                <w:szCs w:val="21"/>
              </w:rPr>
              <w:t>货物名称</w:t>
            </w:r>
          </w:p>
        </w:tc>
        <w:tc>
          <w:tcPr>
            <w:tcW w:w="1647" w:type="dxa"/>
            <w:vAlign w:val="center"/>
          </w:tcPr>
          <w:p>
            <w:pPr>
              <w:spacing w:line="240" w:lineRule="auto"/>
              <w:jc w:val="center"/>
              <w:rPr>
                <w:szCs w:val="21"/>
              </w:rPr>
            </w:pPr>
            <w:r>
              <w:rPr>
                <w:rFonts w:hint="eastAsia"/>
                <w:szCs w:val="21"/>
              </w:rPr>
              <w:t>规格及型号</w:t>
            </w:r>
          </w:p>
        </w:tc>
        <w:tc>
          <w:tcPr>
            <w:tcW w:w="824" w:type="dxa"/>
            <w:vAlign w:val="center"/>
          </w:tcPr>
          <w:p>
            <w:pPr>
              <w:spacing w:line="240" w:lineRule="auto"/>
              <w:jc w:val="center"/>
              <w:rPr>
                <w:b/>
                <w:szCs w:val="21"/>
              </w:rPr>
            </w:pPr>
            <w:r>
              <w:rPr>
                <w:rFonts w:hint="eastAsia"/>
                <w:b/>
                <w:szCs w:val="21"/>
              </w:rPr>
              <w:t>产地</w:t>
            </w:r>
          </w:p>
        </w:tc>
        <w:tc>
          <w:tcPr>
            <w:tcW w:w="824" w:type="dxa"/>
            <w:vAlign w:val="center"/>
          </w:tcPr>
          <w:p>
            <w:pPr>
              <w:spacing w:line="240" w:lineRule="auto"/>
              <w:jc w:val="center"/>
              <w:rPr>
                <w:szCs w:val="21"/>
              </w:rPr>
            </w:pPr>
            <w:r>
              <w:rPr>
                <w:rFonts w:hint="eastAsia"/>
                <w:szCs w:val="21"/>
              </w:rPr>
              <w:t>品牌</w:t>
            </w:r>
          </w:p>
        </w:tc>
        <w:tc>
          <w:tcPr>
            <w:tcW w:w="824" w:type="dxa"/>
            <w:vAlign w:val="center"/>
          </w:tcPr>
          <w:p>
            <w:pPr>
              <w:spacing w:line="240" w:lineRule="auto"/>
              <w:jc w:val="center"/>
              <w:rPr>
                <w:szCs w:val="21"/>
              </w:rPr>
            </w:pPr>
            <w:r>
              <w:rPr>
                <w:rFonts w:hint="eastAsia"/>
                <w:szCs w:val="21"/>
              </w:rPr>
              <w:t>数量</w:t>
            </w:r>
          </w:p>
        </w:tc>
        <w:tc>
          <w:tcPr>
            <w:tcW w:w="825" w:type="dxa"/>
            <w:vAlign w:val="center"/>
          </w:tcPr>
          <w:p>
            <w:pPr>
              <w:spacing w:line="240" w:lineRule="auto"/>
              <w:jc w:val="center"/>
              <w:rPr>
                <w:szCs w:val="21"/>
              </w:rPr>
            </w:pPr>
            <w:r>
              <w:rPr>
                <w:rFonts w:hint="eastAsia"/>
                <w:szCs w:val="21"/>
              </w:rPr>
              <w:t>单位</w:t>
            </w:r>
          </w:p>
        </w:tc>
        <w:tc>
          <w:tcPr>
            <w:tcW w:w="984" w:type="dxa"/>
            <w:vAlign w:val="center"/>
          </w:tcPr>
          <w:p>
            <w:pPr>
              <w:tabs>
                <w:tab w:val="clear" w:pos="426"/>
              </w:tabs>
              <w:spacing w:line="240" w:lineRule="auto"/>
              <w:jc w:val="center"/>
              <w:rPr>
                <w:rFonts w:cs="Arial"/>
                <w:bCs/>
                <w:szCs w:val="21"/>
              </w:rPr>
            </w:pPr>
            <w:r>
              <w:rPr>
                <w:rFonts w:hint="eastAsia" w:cs="Arial"/>
                <w:bCs/>
                <w:szCs w:val="21"/>
              </w:rPr>
              <w:t>交货期</w:t>
            </w:r>
          </w:p>
        </w:tc>
        <w:tc>
          <w:tcPr>
            <w:tcW w:w="953" w:type="dxa"/>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1</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2</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3</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p>
        </w:tc>
        <w:tc>
          <w:tcPr>
            <w:tcW w:w="1993" w:type="dxa"/>
            <w:vAlign w:val="center"/>
          </w:tcPr>
          <w:p>
            <w:pPr>
              <w:spacing w:line="240" w:lineRule="auto"/>
              <w:jc w:val="center"/>
              <w:rPr>
                <w:sz w:val="24"/>
              </w:rPr>
            </w:pPr>
          </w:p>
        </w:tc>
        <w:tc>
          <w:tcPr>
            <w:tcW w:w="1647"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bl>
    <w:p>
      <w:pPr>
        <w:tabs>
          <w:tab w:val="clear" w:pos="426"/>
        </w:tabs>
        <w:rPr>
          <w:rFonts w:cs="Arial"/>
          <w:bCs/>
          <w:szCs w:val="21"/>
        </w:rPr>
      </w:pPr>
      <w:r>
        <w:rPr>
          <w:rFonts w:hint="eastAsia" w:cs="Arial"/>
          <w:bCs/>
          <w:szCs w:val="21"/>
        </w:rPr>
        <w:t>备注：“产地”是指该产品的实际生产加工地，而非品牌总公司所在地。</w:t>
      </w: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tabs>
          <w:tab w:val="clear" w:pos="426"/>
        </w:tabs>
        <w:ind w:firstLine="424" w:firstLineChars="202"/>
        <w:rPr>
          <w:rFonts w:cs="Arial"/>
          <w:bCs/>
          <w:szCs w:val="21"/>
        </w:rPr>
      </w:pPr>
    </w:p>
    <w:p>
      <w:pPr>
        <w:numPr>
          <w:ilvl w:val="0"/>
          <w:numId w:val="29"/>
        </w:numPr>
        <w:adjustRightInd/>
        <w:snapToGrid/>
        <w:spacing w:before="280" w:after="290" w:line="377" w:lineRule="auto"/>
        <w:outlineLvl w:val="2"/>
        <w:rPr>
          <w:b/>
          <w:bCs/>
          <w:sz w:val="24"/>
        </w:rPr>
      </w:pPr>
      <w:r>
        <w:rPr>
          <w:rFonts w:cs="Arial"/>
          <w:bCs/>
        </w:rPr>
        <w:br w:type="page"/>
      </w:r>
      <w:r>
        <w:rPr>
          <w:rFonts w:hint="eastAsia"/>
          <w:b/>
          <w:bCs/>
          <w:sz w:val="24"/>
        </w:rPr>
        <w:t>产品授权或代理情况</w:t>
      </w:r>
    </w:p>
    <w:p>
      <w:pPr>
        <w:numPr>
          <w:ilvl w:val="0"/>
          <w:numId w:val="29"/>
        </w:numPr>
        <w:adjustRightInd/>
        <w:snapToGrid/>
        <w:spacing w:before="280" w:after="290" w:line="377" w:lineRule="auto"/>
        <w:outlineLvl w:val="2"/>
        <w:rPr>
          <w:b/>
          <w:bCs/>
          <w:sz w:val="24"/>
        </w:rPr>
      </w:pPr>
      <w:r>
        <w:rPr>
          <w:rFonts w:hint="eastAsia"/>
          <w:b/>
          <w:bCs/>
          <w:sz w:val="24"/>
        </w:rPr>
        <w:t>同类项目业绩</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同类业绩情况一览表</w:t>
      </w:r>
    </w:p>
    <w:p>
      <w:pPr>
        <w:tabs>
          <w:tab w:val="clear" w:pos="426"/>
        </w:tabs>
        <w:wordWrap w:val="0"/>
      </w:pPr>
    </w:p>
    <w:p>
      <w:pPr>
        <w:tabs>
          <w:tab w:val="clear" w:pos="426"/>
        </w:tabs>
        <w:wordWrap w:val="0"/>
        <w:rPr>
          <w:u w:val="single"/>
        </w:rPr>
      </w:pPr>
      <w:r>
        <w:rPr>
          <w:rFonts w:hint="eastAsia"/>
        </w:rPr>
        <w:t>项目名称：招标项目编号：</w:t>
      </w:r>
    </w:p>
    <w:p>
      <w:pPr>
        <w:tabs>
          <w:tab w:val="clear" w:pos="426"/>
        </w:tabs>
        <w:spacing w:line="440" w:lineRule="exact"/>
        <w:jc w:val="center"/>
        <w:rPr>
          <w:b/>
          <w:bCs/>
          <w:sz w:val="28"/>
          <w:szCs w:val="28"/>
        </w:rPr>
      </w:pPr>
      <w:r>
        <w:rPr>
          <w:rFonts w:hint="eastAsia"/>
          <w:b/>
          <w:bCs/>
          <w:sz w:val="28"/>
          <w:szCs w:val="28"/>
        </w:rPr>
        <w:t>（格式自定）</w:t>
      </w: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bCs/>
        </w:rPr>
      </w:pPr>
    </w:p>
    <w:p>
      <w:pPr>
        <w:tabs>
          <w:tab w:val="clear" w:pos="426"/>
        </w:tabs>
        <w:spacing w:line="440" w:lineRule="exact"/>
        <w:rPr>
          <w:szCs w:val="21"/>
        </w:rPr>
      </w:pPr>
      <w:r>
        <w:rPr>
          <w:rFonts w:hint="eastAsia"/>
          <w:bCs/>
        </w:rPr>
        <w:t>备注：</w:t>
      </w:r>
      <w:r>
        <w:rPr>
          <w:rFonts w:hint="eastAsia"/>
          <w:szCs w:val="21"/>
        </w:rPr>
        <w:t>根据评审表的要求提交相应资料。</w:t>
      </w:r>
    </w:p>
    <w:p>
      <w:pPr>
        <w:adjustRightInd/>
        <w:snapToGrid/>
        <w:spacing w:before="280" w:after="290" w:line="377" w:lineRule="auto"/>
        <w:outlineLvl w:val="2"/>
        <w:rPr>
          <w:b/>
          <w:sz w:val="24"/>
        </w:rPr>
        <w:sectPr>
          <w:pgSz w:w="11906" w:h="16838"/>
          <w:pgMar w:top="1134" w:right="1134" w:bottom="1134" w:left="1418" w:header="851" w:footer="992" w:gutter="0"/>
          <w:cols w:space="425" w:num="1"/>
          <w:titlePg/>
          <w:docGrid w:linePitch="462" w:charSpace="0"/>
        </w:sectPr>
      </w:pPr>
    </w:p>
    <w:p>
      <w:pPr>
        <w:numPr>
          <w:ilvl w:val="0"/>
          <w:numId w:val="29"/>
        </w:numPr>
        <w:adjustRightInd/>
        <w:snapToGrid/>
        <w:spacing w:before="280" w:after="290" w:line="377" w:lineRule="auto"/>
        <w:outlineLvl w:val="2"/>
        <w:rPr>
          <w:b/>
          <w:bCs/>
          <w:sz w:val="24"/>
        </w:rPr>
      </w:pPr>
      <w:r>
        <w:rPr>
          <w:rFonts w:hint="eastAsia"/>
          <w:b/>
          <w:bCs/>
          <w:sz w:val="24"/>
        </w:rPr>
        <w:t>诚信档案</w:t>
      </w:r>
    </w:p>
    <w:p>
      <w:pPr>
        <w:pStyle w:val="2"/>
        <w:jc w:val="center"/>
      </w:pPr>
      <w:r>
        <w:rPr>
          <w:rFonts w:hint="eastAsia"/>
          <w:szCs w:val="21"/>
        </w:rPr>
        <w:t>诚信承诺函</w:t>
      </w:r>
    </w:p>
    <w:p>
      <w:pPr>
        <w:wordWrap w:val="0"/>
        <w:ind w:firstLine="422" w:firstLineChars="200"/>
        <w:jc w:val="left"/>
        <w:rPr>
          <w:szCs w:val="21"/>
          <w:u w:val="single"/>
        </w:rPr>
      </w:pPr>
      <w:r>
        <w:rPr>
          <w:rFonts w:hint="eastAsia"/>
          <w:b/>
          <w:bCs/>
          <w:u w:val="single"/>
        </w:rPr>
        <w:t>深圳市深水水务咨询有限公司：</w:t>
      </w:r>
    </w:p>
    <w:p>
      <w:pPr>
        <w:pStyle w:val="40"/>
        <w:ind w:firstLine="420" w:firstLineChars="200"/>
        <w:rPr>
          <w:b/>
          <w:color w:val="FF0000"/>
          <w:sz w:val="21"/>
          <w:szCs w:val="21"/>
        </w:rPr>
      </w:pPr>
      <w:r>
        <w:rPr>
          <w:rFonts w:hint="eastAsia"/>
          <w:sz w:val="21"/>
          <w:szCs w:val="21"/>
        </w:rPr>
        <w:t>根据《深圳市政府采购供应商诚信管理暂行办法》深财规〔2017〕8号相关规定，在参与贵中心组织的       （项目名称）    （项目编号：      ） 政府采购活动中，我单位承诺：</w:t>
      </w:r>
      <w:r>
        <w:rPr>
          <w:rFonts w:hint="eastAsia"/>
          <w:b/>
          <w:color w:val="FF0000"/>
          <w:sz w:val="21"/>
          <w:szCs w:val="21"/>
        </w:rPr>
        <w:t>本公司不存在违反《深圳市政府采购供应商诚信管理暂行办法》</w:t>
      </w:r>
      <w:r>
        <w:rPr>
          <w:b/>
          <w:color w:val="FF0000"/>
          <w:sz w:val="21"/>
          <w:szCs w:val="21"/>
        </w:rPr>
        <w:t>的</w:t>
      </w:r>
      <w:r>
        <w:rPr>
          <w:rFonts w:hint="eastAsia"/>
          <w:b/>
          <w:color w:val="FF0000"/>
          <w:sz w:val="21"/>
          <w:szCs w:val="21"/>
        </w:rPr>
        <w:t>情形。</w:t>
      </w:r>
    </w:p>
    <w:p>
      <w:pPr>
        <w:pStyle w:val="40"/>
        <w:ind w:firstLine="420" w:firstLineChars="20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pPr>
        <w:ind w:firstLine="420" w:firstLineChars="200"/>
        <w:rPr>
          <w:szCs w:val="21"/>
          <w:u w:val="single"/>
        </w:rPr>
      </w:pPr>
      <w:r>
        <w:rPr>
          <w:rFonts w:hint="eastAsia"/>
          <w:szCs w:val="21"/>
        </w:rPr>
        <w:t xml:space="preserve">    特此承诺。</w:t>
      </w:r>
    </w:p>
    <w:p>
      <w:pPr>
        <w:rPr>
          <w:szCs w:val="21"/>
          <w:u w:val="single"/>
        </w:rPr>
      </w:pPr>
    </w:p>
    <w:p>
      <w:pPr>
        <w:ind w:firstLine="4620" w:firstLineChars="2200"/>
        <w:jc w:val="left"/>
        <w:rPr>
          <w:szCs w:val="21"/>
        </w:rPr>
      </w:pPr>
      <w:r>
        <w:rPr>
          <w:rFonts w:hint="eastAsia"/>
          <w:szCs w:val="21"/>
        </w:rPr>
        <w:t xml:space="preserve">投标单位： </w:t>
      </w:r>
    </w:p>
    <w:p>
      <w:pPr>
        <w:tabs>
          <w:tab w:val="clear" w:pos="426"/>
        </w:tabs>
        <w:adjustRightInd/>
        <w:snapToGrid/>
        <w:spacing w:before="280" w:after="290" w:line="377" w:lineRule="auto"/>
        <w:ind w:left="634" w:leftChars="302"/>
        <w:jc w:val="right"/>
        <w:rPr>
          <w:szCs w:val="21"/>
        </w:rPr>
        <w:sectPr>
          <w:pgSz w:w="11906" w:h="16838"/>
          <w:pgMar w:top="1134" w:right="1134" w:bottom="1134" w:left="1838" w:header="851" w:footer="992" w:gutter="0"/>
          <w:cols w:space="720" w:num="1"/>
          <w:titlePg/>
          <w:docGrid w:linePitch="462" w:charSpace="0"/>
        </w:sectPr>
      </w:pPr>
      <w:r>
        <w:rPr>
          <w:rFonts w:hint="eastAsia"/>
          <w:szCs w:val="21"/>
        </w:rPr>
        <w:t>日期：      年    月    日</w:t>
      </w:r>
    </w:p>
    <w:p>
      <w:pPr>
        <w:numPr>
          <w:ilvl w:val="0"/>
          <w:numId w:val="29"/>
        </w:numPr>
        <w:adjustRightInd/>
        <w:snapToGrid/>
        <w:spacing w:before="280" w:after="290" w:line="377" w:lineRule="auto"/>
        <w:outlineLvl w:val="2"/>
        <w:rPr>
          <w:b/>
          <w:sz w:val="24"/>
        </w:rPr>
      </w:pPr>
      <w:r>
        <w:rPr>
          <w:rFonts w:hint="eastAsia"/>
          <w:b/>
          <w:sz w:val="24"/>
        </w:rPr>
        <w:t>技术参数响应情况</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82" w:name="_Toc480789484"/>
      <w:bookmarkStart w:id="83" w:name="_Toc480754213"/>
      <w:bookmarkStart w:id="84" w:name="_Toc480755934"/>
      <w:bookmarkStart w:id="85" w:name="_Toc480756080"/>
      <w:r>
        <w:rPr>
          <w:rFonts w:hint="eastAsia" w:cs="Times New Roman"/>
          <w:bCs/>
          <w:kern w:val="2"/>
          <w:sz w:val="32"/>
          <w:szCs w:val="32"/>
        </w:rPr>
        <w:t>技术规格偏离表</w:t>
      </w:r>
      <w:bookmarkEnd w:id="82"/>
      <w:bookmarkEnd w:id="83"/>
      <w:bookmarkEnd w:id="84"/>
      <w:bookmarkEnd w:id="85"/>
    </w:p>
    <w:p>
      <w:pPr>
        <w:tabs>
          <w:tab w:val="clear" w:pos="426"/>
        </w:tabs>
        <w:rPr>
          <w:rFonts w:cs="Arial"/>
          <w:bCs/>
          <w:szCs w:val="21"/>
        </w:rPr>
      </w:pPr>
    </w:p>
    <w:p>
      <w:pPr>
        <w:tabs>
          <w:tab w:val="clear" w:pos="426"/>
        </w:tabs>
        <w:rPr>
          <w:rFonts w:cs="Arial"/>
          <w:bCs/>
          <w:szCs w:val="21"/>
        </w:rPr>
      </w:pPr>
      <w:r>
        <w:rPr>
          <w:rFonts w:hint="eastAsia" w:cs="Arial"/>
          <w:bCs/>
          <w:szCs w:val="21"/>
        </w:rPr>
        <w:t>项目名称：  招标项目编号：包号：</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5"/>
        <w:gridCol w:w="1593"/>
        <w:gridCol w:w="1593"/>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序号</w:t>
            </w:r>
          </w:p>
        </w:tc>
        <w:tc>
          <w:tcPr>
            <w:tcW w:w="2375" w:type="dxa"/>
            <w:vAlign w:val="center"/>
          </w:tcPr>
          <w:p>
            <w:pPr>
              <w:tabs>
                <w:tab w:val="clear" w:pos="426"/>
              </w:tabs>
              <w:adjustRightInd/>
              <w:snapToGrid/>
              <w:spacing w:line="240" w:lineRule="auto"/>
              <w:jc w:val="center"/>
              <w:rPr>
                <w:rFonts w:cs="Arial"/>
                <w:bCs/>
                <w:szCs w:val="21"/>
              </w:rPr>
            </w:pPr>
            <w:r>
              <w:rPr>
                <w:rFonts w:hint="eastAsia" w:cs="Arial"/>
                <w:bCs/>
                <w:szCs w:val="21"/>
              </w:rPr>
              <w:t>货物名称</w:t>
            </w:r>
          </w:p>
        </w:tc>
        <w:tc>
          <w:tcPr>
            <w:tcW w:w="1593" w:type="dxa"/>
            <w:vAlign w:val="center"/>
          </w:tcPr>
          <w:p>
            <w:pPr>
              <w:tabs>
                <w:tab w:val="clear" w:pos="426"/>
              </w:tabs>
              <w:adjustRightInd/>
              <w:snapToGrid/>
              <w:spacing w:line="240" w:lineRule="auto"/>
              <w:jc w:val="center"/>
              <w:rPr>
                <w:rFonts w:cs="Arial"/>
                <w:bCs/>
                <w:szCs w:val="21"/>
              </w:rPr>
            </w:pPr>
            <w:r>
              <w:rPr>
                <w:rFonts w:hint="eastAsia" w:cs="Arial"/>
                <w:bCs/>
                <w:szCs w:val="21"/>
              </w:rPr>
              <w:t>招标技术要求</w:t>
            </w:r>
          </w:p>
        </w:tc>
        <w:tc>
          <w:tcPr>
            <w:tcW w:w="1593" w:type="dxa"/>
            <w:vAlign w:val="center"/>
          </w:tcPr>
          <w:p>
            <w:pPr>
              <w:tabs>
                <w:tab w:val="clear" w:pos="426"/>
              </w:tabs>
              <w:adjustRightInd/>
              <w:snapToGrid/>
              <w:spacing w:line="240" w:lineRule="auto"/>
              <w:jc w:val="center"/>
              <w:rPr>
                <w:rFonts w:cs="Arial"/>
                <w:bCs/>
                <w:szCs w:val="21"/>
              </w:rPr>
            </w:pPr>
            <w:r>
              <w:rPr>
                <w:rFonts w:hint="eastAsia" w:cs="Arial"/>
                <w:bCs/>
                <w:szCs w:val="21"/>
              </w:rPr>
              <w:t>投标技术响应</w:t>
            </w:r>
          </w:p>
        </w:tc>
        <w:tc>
          <w:tcPr>
            <w:tcW w:w="1594" w:type="dxa"/>
            <w:vAlign w:val="center"/>
          </w:tcPr>
          <w:p>
            <w:pPr>
              <w:tabs>
                <w:tab w:val="clear" w:pos="426"/>
              </w:tabs>
              <w:adjustRightInd/>
              <w:snapToGrid/>
              <w:spacing w:line="240" w:lineRule="auto"/>
              <w:jc w:val="center"/>
              <w:rPr>
                <w:rFonts w:cs="Arial"/>
                <w:bCs/>
                <w:szCs w:val="21"/>
              </w:rPr>
            </w:pPr>
            <w:r>
              <w:rPr>
                <w:rFonts w:hint="eastAsia" w:cs="Arial"/>
                <w:bCs/>
                <w:szCs w:val="21"/>
              </w:rPr>
              <w:t>偏离情况</w:t>
            </w:r>
          </w:p>
        </w:tc>
        <w:tc>
          <w:tcPr>
            <w:tcW w:w="1594" w:type="dxa"/>
            <w:vAlign w:val="center"/>
          </w:tcPr>
          <w:p>
            <w:pPr>
              <w:tabs>
                <w:tab w:val="clear" w:pos="426"/>
              </w:tabs>
              <w:adjustRightInd/>
              <w:snapToGrid/>
              <w:spacing w:line="240" w:lineRule="auto"/>
              <w:jc w:val="center"/>
              <w:rPr>
                <w:rFonts w:cs="Arial"/>
                <w:bCs/>
                <w:szCs w:val="21"/>
              </w:rPr>
            </w:pPr>
            <w:r>
              <w:rPr>
                <w:rFonts w:hint="eastAsia"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1</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2</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3</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1" w:type="dxa"/>
            <w:vAlign w:val="center"/>
          </w:tcPr>
          <w:p>
            <w:pPr>
              <w:tabs>
                <w:tab w:val="clear" w:pos="426"/>
              </w:tabs>
              <w:adjustRightInd/>
              <w:snapToGrid/>
              <w:spacing w:line="240" w:lineRule="auto"/>
              <w:jc w:val="center"/>
              <w:rPr>
                <w:rFonts w:cs="Arial"/>
                <w:bCs/>
                <w:szCs w:val="21"/>
              </w:rPr>
            </w:pPr>
          </w:p>
        </w:tc>
        <w:tc>
          <w:tcPr>
            <w:tcW w:w="2375"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3"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c>
          <w:tcPr>
            <w:tcW w:w="1594" w:type="dxa"/>
            <w:vAlign w:val="center"/>
          </w:tcPr>
          <w:p>
            <w:pPr>
              <w:tabs>
                <w:tab w:val="clear" w:pos="426"/>
              </w:tabs>
              <w:adjustRightInd/>
              <w:snapToGrid/>
              <w:spacing w:line="240" w:lineRule="auto"/>
              <w:jc w:val="center"/>
              <w:rPr>
                <w:rFonts w:cs="Arial"/>
                <w:bCs/>
                <w:szCs w:val="21"/>
              </w:rPr>
            </w:pPr>
          </w:p>
        </w:tc>
      </w:tr>
    </w:tbl>
    <w:p>
      <w:pPr>
        <w:tabs>
          <w:tab w:val="clear" w:pos="426"/>
        </w:tabs>
        <w:spacing w:line="240" w:lineRule="auto"/>
        <w:rPr>
          <w:rFonts w:cs="Arial"/>
          <w:bCs/>
          <w:szCs w:val="21"/>
        </w:rPr>
      </w:pPr>
      <w:bookmarkStart w:id="86" w:name="_Hlk535526122"/>
      <w:r>
        <w:rPr>
          <w:rFonts w:hint="eastAsia" w:cs="Arial"/>
          <w:bCs/>
          <w:szCs w:val="21"/>
        </w:rPr>
        <w:t>备注：</w:t>
      </w:r>
    </w:p>
    <w:p>
      <w:pPr>
        <w:tabs>
          <w:tab w:val="clear" w:pos="426"/>
        </w:tabs>
        <w:spacing w:line="240" w:lineRule="auto"/>
        <w:ind w:firstLine="420" w:firstLineChars="200"/>
        <w:rPr>
          <w:rFonts w:cs="Arial"/>
          <w:bCs/>
          <w:szCs w:val="21"/>
        </w:rPr>
      </w:pPr>
      <w:r>
        <w:rPr>
          <w:rFonts w:hint="eastAsia" w:cs="Arial"/>
          <w:bCs/>
          <w:szCs w:val="21"/>
        </w:rPr>
        <w:t>1.“招标技术要求”一栏应填写招标文件第三章“具体技术要求”的内容，"投标技术响应"一栏必须详细填写投标产品的具体参数，不得照搬照抄招标文件的技术要求，否则评标委员会有权认定为不合格响应，“偏离情况”一栏应如实填写“正偏离”、“负偏离”或“无偏离”。</w:t>
      </w:r>
    </w:p>
    <w:p>
      <w:pPr>
        <w:tabs>
          <w:tab w:val="clear" w:pos="426"/>
        </w:tabs>
        <w:spacing w:line="240" w:lineRule="auto"/>
        <w:ind w:firstLine="420" w:firstLineChars="200"/>
        <w:rPr>
          <w:rFonts w:cs="Arial"/>
          <w:bCs/>
          <w:szCs w:val="21"/>
        </w:rPr>
      </w:pPr>
      <w:r>
        <w:rPr>
          <w:rFonts w:hint="eastAsia"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szCs w:val="21"/>
        </w:rPr>
      </w:pPr>
      <w:r>
        <w:rPr>
          <w:rFonts w:hint="eastAsia" w:cs="Arial"/>
          <w:bCs/>
          <w:szCs w:val="21"/>
        </w:rPr>
        <w:t>3. 证明资料（均为原件复印件）的提供要求：</w:t>
      </w:r>
    </w:p>
    <w:p>
      <w:pPr>
        <w:tabs>
          <w:tab w:val="clear" w:pos="426"/>
        </w:tabs>
        <w:spacing w:line="240" w:lineRule="auto"/>
        <w:ind w:firstLine="420" w:firstLineChars="200"/>
        <w:rPr>
          <w:rFonts w:cs="Arial"/>
          <w:bCs/>
          <w:szCs w:val="21"/>
        </w:rPr>
      </w:pPr>
      <w:r>
        <w:rPr>
          <w:rFonts w:hint="eastAsia" w:cs="Arial"/>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szCs w:val="21"/>
        </w:rPr>
      </w:pPr>
      <w:r>
        <w:rPr>
          <w:rFonts w:hint="eastAsia" w:cs="Arial"/>
          <w:bCs/>
          <w:szCs w:val="21"/>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szCs w:val="21"/>
        </w:rPr>
      </w:pPr>
      <w:r>
        <w:rPr>
          <w:rFonts w:hint="eastAsia" w:cs="Arial"/>
          <w:bCs/>
          <w:szCs w:val="21"/>
        </w:rPr>
        <w:t>（3）未达到以上提供要求的，评标委员会有权认定为不合格响应，其相关分数予以扣减。</w:t>
      </w:r>
    </w:p>
    <w:bookmarkEnd w:id="86"/>
    <w:p>
      <w:pPr>
        <w:tabs>
          <w:tab w:val="clear" w:pos="426"/>
        </w:tabs>
        <w:ind w:firstLine="420" w:firstLineChars="200"/>
        <w:rPr>
          <w:rFonts w:cs="Arial"/>
          <w:bCs/>
          <w:szCs w:val="21"/>
        </w:rPr>
      </w:pPr>
    </w:p>
    <w:p>
      <w:pPr>
        <w:numPr>
          <w:ilvl w:val="0"/>
          <w:numId w:val="29"/>
        </w:numPr>
        <w:adjustRightInd/>
        <w:snapToGrid/>
        <w:spacing w:before="280" w:after="290" w:line="377" w:lineRule="auto"/>
        <w:outlineLvl w:val="2"/>
        <w:rPr>
          <w:b/>
          <w:sz w:val="24"/>
        </w:rPr>
        <w:sectPr>
          <w:pgSz w:w="11906" w:h="16838"/>
          <w:pgMar w:top="1134" w:right="1134" w:bottom="1134" w:left="1418" w:header="851" w:footer="992" w:gutter="0"/>
          <w:cols w:space="425" w:num="1"/>
          <w:titlePg/>
          <w:docGrid w:linePitch="462" w:charSpace="0"/>
        </w:sectPr>
      </w:pPr>
    </w:p>
    <w:p>
      <w:pPr>
        <w:numPr>
          <w:ilvl w:val="0"/>
          <w:numId w:val="29"/>
        </w:numPr>
        <w:adjustRightInd/>
        <w:snapToGrid/>
        <w:spacing w:before="280" w:after="290" w:line="377" w:lineRule="auto"/>
        <w:outlineLvl w:val="2"/>
        <w:rPr>
          <w:rFonts w:cs="Times New Roman"/>
          <w:bCs/>
          <w:kern w:val="2"/>
          <w:sz w:val="32"/>
          <w:szCs w:val="32"/>
        </w:rPr>
      </w:pPr>
      <w:r>
        <w:rPr>
          <w:rFonts w:hint="eastAsia"/>
          <w:b/>
          <w:sz w:val="24"/>
        </w:rPr>
        <w:t>项目实施方案</w:t>
      </w:r>
    </w:p>
    <w:p>
      <w:pPr>
        <w:numPr>
          <w:ilvl w:val="0"/>
          <w:numId w:val="29"/>
        </w:numPr>
        <w:adjustRightInd/>
        <w:snapToGrid/>
        <w:spacing w:before="280" w:after="290" w:line="377" w:lineRule="auto"/>
        <w:outlineLvl w:val="2"/>
        <w:rPr>
          <w:b/>
          <w:sz w:val="24"/>
        </w:rPr>
      </w:pPr>
      <w:bookmarkStart w:id="87" w:name="_Hlk5291869"/>
      <w:r>
        <w:rPr>
          <w:rFonts w:hint="eastAsia"/>
          <w:b/>
          <w:sz w:val="24"/>
        </w:rPr>
        <w:t>售后服务</w:t>
      </w:r>
    </w:p>
    <w:p>
      <w:pPr>
        <w:pStyle w:val="2"/>
        <w:jc w:val="left"/>
      </w:pPr>
      <w:r>
        <w:rPr>
          <w:rFonts w:hint="eastAsia"/>
        </w:rPr>
        <w:t>（1）商务需求偏离表</w:t>
      </w:r>
    </w:p>
    <w:tbl>
      <w:tblPr>
        <w:tblStyle w:val="44"/>
        <w:tblW w:w="94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40"/>
        <w:gridCol w:w="4140"/>
        <w:gridCol w:w="247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Align w:val="center"/>
          </w:tcPr>
          <w:p>
            <w:pPr>
              <w:spacing w:line="240" w:lineRule="auto"/>
              <w:jc w:val="center"/>
              <w:rPr>
                <w:b/>
                <w:szCs w:val="21"/>
              </w:rPr>
            </w:pPr>
            <w:r>
              <w:rPr>
                <w:rFonts w:hint="eastAsia"/>
                <w:b/>
                <w:szCs w:val="21"/>
              </w:rPr>
              <w:t>序号</w:t>
            </w:r>
          </w:p>
        </w:tc>
        <w:tc>
          <w:tcPr>
            <w:tcW w:w="1140" w:type="dxa"/>
            <w:vAlign w:val="center"/>
          </w:tcPr>
          <w:p>
            <w:pPr>
              <w:spacing w:line="240" w:lineRule="auto"/>
              <w:jc w:val="center"/>
              <w:rPr>
                <w:b/>
                <w:szCs w:val="21"/>
              </w:rPr>
            </w:pPr>
            <w:r>
              <w:rPr>
                <w:rFonts w:hint="eastAsia"/>
                <w:b/>
                <w:szCs w:val="21"/>
              </w:rPr>
              <w:t>目录</w:t>
            </w:r>
          </w:p>
        </w:tc>
        <w:tc>
          <w:tcPr>
            <w:tcW w:w="4140" w:type="dxa"/>
            <w:vAlign w:val="center"/>
          </w:tcPr>
          <w:p>
            <w:pPr>
              <w:spacing w:line="240" w:lineRule="auto"/>
              <w:jc w:val="center"/>
              <w:rPr>
                <w:b/>
                <w:szCs w:val="21"/>
              </w:rPr>
            </w:pPr>
            <w:r>
              <w:rPr>
                <w:rFonts w:hint="eastAsia"/>
                <w:b/>
                <w:szCs w:val="21"/>
              </w:rPr>
              <w:t>招标商务需求</w:t>
            </w:r>
          </w:p>
        </w:tc>
        <w:tc>
          <w:tcPr>
            <w:tcW w:w="2475" w:type="dxa"/>
            <w:vAlign w:val="center"/>
          </w:tcPr>
          <w:p>
            <w:pPr>
              <w:spacing w:line="240" w:lineRule="auto"/>
              <w:jc w:val="center"/>
              <w:rPr>
                <w:b/>
                <w:szCs w:val="21"/>
              </w:rPr>
            </w:pPr>
            <w:r>
              <w:rPr>
                <w:rFonts w:hint="eastAsia"/>
                <w:b/>
                <w:szCs w:val="21"/>
              </w:rPr>
              <w:t>投标响应情况</w:t>
            </w:r>
          </w:p>
        </w:tc>
        <w:tc>
          <w:tcPr>
            <w:tcW w:w="1111" w:type="dxa"/>
            <w:vAlign w:val="center"/>
          </w:tcPr>
          <w:p>
            <w:pPr>
              <w:spacing w:line="240" w:lineRule="auto"/>
              <w:jc w:val="center"/>
              <w:rPr>
                <w:b/>
                <w:szCs w:val="21"/>
              </w:rPr>
            </w:pPr>
            <w:r>
              <w:rPr>
                <w:rFonts w:hint="eastAsia"/>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41" w:type="dxa"/>
            <w:gridSpan w:val="5"/>
            <w:vAlign w:val="center"/>
          </w:tcPr>
          <w:p>
            <w:pPr>
              <w:spacing w:line="240" w:lineRule="auto"/>
              <w:rPr>
                <w:b/>
                <w:szCs w:val="21"/>
              </w:rPr>
            </w:pPr>
            <w:r>
              <w:rPr>
                <w:rFonts w:hint="eastAsia"/>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Align w:val="center"/>
          </w:tcPr>
          <w:p>
            <w:pPr>
              <w:spacing w:line="240" w:lineRule="auto"/>
              <w:jc w:val="center"/>
              <w:rPr>
                <w:b/>
                <w:szCs w:val="21"/>
              </w:rPr>
            </w:pPr>
            <w:r>
              <w:rPr>
                <w:rFonts w:hint="eastAsia"/>
                <w:b/>
                <w:szCs w:val="21"/>
              </w:rPr>
              <w:t>1</w:t>
            </w:r>
          </w:p>
        </w:tc>
        <w:tc>
          <w:tcPr>
            <w:tcW w:w="1140" w:type="dxa"/>
            <w:vAlign w:val="center"/>
          </w:tcPr>
          <w:p>
            <w:pPr>
              <w:spacing w:line="240" w:lineRule="auto"/>
              <w:rPr>
                <w:szCs w:val="21"/>
              </w:rPr>
            </w:pPr>
            <w:r>
              <w:rPr>
                <w:rFonts w:hint="eastAsia"/>
                <w:szCs w:val="21"/>
              </w:rPr>
              <w:t>维修响应及故障解决时间</w:t>
            </w:r>
          </w:p>
        </w:tc>
        <w:tc>
          <w:tcPr>
            <w:tcW w:w="4140" w:type="dxa"/>
            <w:vAlign w:val="center"/>
          </w:tcPr>
          <w:p>
            <w:pPr>
              <w:spacing w:line="240" w:lineRule="auto"/>
              <w:rPr>
                <w:b/>
                <w:szCs w:val="21"/>
              </w:rPr>
            </w:pPr>
            <w:r>
              <w:rPr>
                <w:rFonts w:hint="eastAsia"/>
                <w:szCs w:val="21"/>
              </w:rPr>
              <w:t>货物免费保修期</w:t>
            </w:r>
            <w:r>
              <w:rPr>
                <w:rFonts w:hint="eastAsia"/>
                <w:b/>
                <w:bCs/>
                <w:szCs w:val="21"/>
                <w:u w:val="single"/>
              </w:rPr>
              <w:t>3</w:t>
            </w:r>
            <w:r>
              <w:rPr>
                <w:rFonts w:hint="eastAsia"/>
                <w:szCs w:val="21"/>
              </w:rPr>
              <w:t>年，时间自最终验收合格并交付使用之日起计算。在保修期内，一旦发生质量问题，投标人保证在接到通知24小时内赶到现场进行修理或更换。</w:t>
            </w:r>
          </w:p>
        </w:tc>
        <w:tc>
          <w:tcPr>
            <w:tcW w:w="2475" w:type="dxa"/>
            <w:vAlign w:val="center"/>
          </w:tcPr>
          <w:p>
            <w:pPr>
              <w:spacing w:line="240" w:lineRule="auto"/>
              <w:rPr>
                <w:szCs w:val="21"/>
              </w:rPr>
            </w:pPr>
          </w:p>
        </w:tc>
        <w:tc>
          <w:tcPr>
            <w:tcW w:w="1111" w:type="dxa"/>
            <w:vAlign w:val="center"/>
          </w:tcPr>
          <w:p>
            <w:pPr>
              <w:spacing w:line="24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Align w:val="center"/>
          </w:tcPr>
          <w:p>
            <w:pPr>
              <w:spacing w:line="240" w:lineRule="auto"/>
              <w:jc w:val="center"/>
              <w:rPr>
                <w:b/>
                <w:szCs w:val="21"/>
              </w:rPr>
            </w:pPr>
            <w:r>
              <w:rPr>
                <w:rFonts w:hint="eastAsia"/>
                <w:b/>
                <w:szCs w:val="21"/>
              </w:rPr>
              <w:t>2</w:t>
            </w:r>
          </w:p>
        </w:tc>
        <w:tc>
          <w:tcPr>
            <w:tcW w:w="1140" w:type="dxa"/>
            <w:vAlign w:val="center"/>
          </w:tcPr>
          <w:p>
            <w:pPr>
              <w:spacing w:line="240" w:lineRule="auto"/>
              <w:rPr>
                <w:b/>
                <w:szCs w:val="21"/>
              </w:rPr>
            </w:pPr>
            <w:r>
              <w:rPr>
                <w:rFonts w:hint="eastAsia"/>
                <w:szCs w:val="21"/>
              </w:rPr>
              <w:t>其他</w:t>
            </w:r>
          </w:p>
        </w:tc>
        <w:tc>
          <w:tcPr>
            <w:tcW w:w="4140" w:type="dxa"/>
            <w:vAlign w:val="center"/>
          </w:tcPr>
          <w:p>
            <w:pPr>
              <w:spacing w:line="240" w:lineRule="auto"/>
              <w:rPr>
                <w:b/>
                <w:szCs w:val="21"/>
              </w:rPr>
            </w:pPr>
            <w:r>
              <w:rPr>
                <w:rFonts w:hint="eastAsia"/>
                <w:bCs/>
                <w:szCs w:val="21"/>
              </w:rPr>
              <w:t>投标人应按其投标文件中的承诺，进行其他售后服务工作，进行技术培训服务要求</w:t>
            </w:r>
          </w:p>
        </w:tc>
        <w:tc>
          <w:tcPr>
            <w:tcW w:w="2475" w:type="dxa"/>
            <w:vAlign w:val="center"/>
          </w:tcPr>
          <w:p>
            <w:pPr>
              <w:spacing w:line="240" w:lineRule="auto"/>
              <w:rPr>
                <w:bCs/>
                <w:szCs w:val="21"/>
              </w:rPr>
            </w:pPr>
          </w:p>
        </w:tc>
        <w:tc>
          <w:tcPr>
            <w:tcW w:w="1111" w:type="dxa"/>
            <w:vAlign w:val="center"/>
          </w:tcPr>
          <w:p>
            <w:pPr>
              <w:spacing w:line="240" w:lineRule="auto"/>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41" w:type="dxa"/>
            <w:gridSpan w:val="5"/>
            <w:vAlign w:val="center"/>
          </w:tcPr>
          <w:p>
            <w:pPr>
              <w:spacing w:line="240" w:lineRule="auto"/>
              <w:rPr>
                <w:b/>
                <w:szCs w:val="21"/>
              </w:rPr>
            </w:pPr>
            <w:r>
              <w:rPr>
                <w:rFonts w:hint="eastAsia"/>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Merge w:val="restart"/>
            <w:vAlign w:val="center"/>
          </w:tcPr>
          <w:p>
            <w:pPr>
              <w:spacing w:line="240" w:lineRule="auto"/>
              <w:jc w:val="center"/>
              <w:rPr>
                <w:b/>
                <w:szCs w:val="21"/>
              </w:rPr>
            </w:pPr>
            <w:r>
              <w:rPr>
                <w:rFonts w:hint="eastAsia"/>
                <w:b/>
                <w:szCs w:val="21"/>
              </w:rPr>
              <w:t>1</w:t>
            </w:r>
          </w:p>
        </w:tc>
        <w:tc>
          <w:tcPr>
            <w:tcW w:w="1140" w:type="dxa"/>
            <w:vMerge w:val="restart"/>
            <w:vAlign w:val="center"/>
          </w:tcPr>
          <w:p>
            <w:pPr>
              <w:spacing w:line="240" w:lineRule="auto"/>
              <w:jc w:val="center"/>
              <w:rPr>
                <w:szCs w:val="21"/>
              </w:rPr>
            </w:pPr>
            <w:r>
              <w:rPr>
                <w:rFonts w:hint="eastAsia"/>
                <w:szCs w:val="21"/>
              </w:rPr>
              <w:t>关于交货</w:t>
            </w:r>
          </w:p>
        </w:tc>
        <w:tc>
          <w:tcPr>
            <w:tcW w:w="4140" w:type="dxa"/>
            <w:vAlign w:val="center"/>
          </w:tcPr>
          <w:p>
            <w:pPr>
              <w:spacing w:line="240" w:lineRule="auto"/>
              <w:jc w:val="left"/>
              <w:rPr>
                <w:szCs w:val="21"/>
              </w:rPr>
            </w:pPr>
            <w:r>
              <w:rPr>
                <w:rFonts w:hint="eastAsia"/>
                <w:szCs w:val="21"/>
              </w:rPr>
              <w:t>1.1合同签订之日起60个日历日内完成生产、安装、测试和验收，中标方将全部货物运抵指定地点，并且全部设备安装调试完毕、验收合格且交付使用。</w:t>
            </w:r>
          </w:p>
        </w:tc>
        <w:tc>
          <w:tcPr>
            <w:tcW w:w="2475" w:type="dxa"/>
            <w:vAlign w:val="center"/>
          </w:tcPr>
          <w:p>
            <w:pPr>
              <w:spacing w:line="240" w:lineRule="auto"/>
              <w:jc w:val="left"/>
              <w:rPr>
                <w:szCs w:val="21"/>
              </w:rPr>
            </w:pPr>
          </w:p>
        </w:tc>
        <w:tc>
          <w:tcPr>
            <w:tcW w:w="1111" w:type="dxa"/>
            <w:vAlign w:val="center"/>
          </w:tcPr>
          <w:p>
            <w:pPr>
              <w:spacing w:line="24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Merge w:val="continue"/>
            <w:vAlign w:val="center"/>
          </w:tcPr>
          <w:p>
            <w:pPr>
              <w:spacing w:line="240" w:lineRule="auto"/>
              <w:jc w:val="center"/>
              <w:rPr>
                <w:b/>
                <w:szCs w:val="21"/>
              </w:rPr>
            </w:pPr>
          </w:p>
        </w:tc>
        <w:tc>
          <w:tcPr>
            <w:tcW w:w="1140" w:type="dxa"/>
            <w:vMerge w:val="continue"/>
            <w:vAlign w:val="center"/>
          </w:tcPr>
          <w:p>
            <w:pPr>
              <w:spacing w:line="240" w:lineRule="auto"/>
              <w:jc w:val="center"/>
              <w:rPr>
                <w:szCs w:val="21"/>
              </w:rPr>
            </w:pPr>
          </w:p>
        </w:tc>
        <w:tc>
          <w:tcPr>
            <w:tcW w:w="4140" w:type="dxa"/>
            <w:vAlign w:val="center"/>
          </w:tcPr>
          <w:p>
            <w:pPr>
              <w:spacing w:line="240" w:lineRule="auto"/>
              <w:jc w:val="left"/>
              <w:rPr>
                <w:szCs w:val="21"/>
              </w:rPr>
            </w:pPr>
            <w:r>
              <w:rPr>
                <w:rFonts w:hint="eastAsia"/>
                <w:szCs w:val="21"/>
              </w:rPr>
              <w:t>1.2投标人必须承担的设备运输、安装调试、验收检测和提供设备操作说明书、图纸等其他类似的义务。</w:t>
            </w:r>
          </w:p>
        </w:tc>
        <w:tc>
          <w:tcPr>
            <w:tcW w:w="2475" w:type="dxa"/>
            <w:vAlign w:val="center"/>
          </w:tcPr>
          <w:p>
            <w:pPr>
              <w:spacing w:line="240" w:lineRule="auto"/>
              <w:jc w:val="left"/>
              <w:rPr>
                <w:szCs w:val="21"/>
              </w:rPr>
            </w:pPr>
          </w:p>
        </w:tc>
        <w:tc>
          <w:tcPr>
            <w:tcW w:w="1111" w:type="dxa"/>
            <w:vAlign w:val="center"/>
          </w:tcPr>
          <w:p>
            <w:pPr>
              <w:spacing w:line="24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5" w:type="dxa"/>
            <w:vMerge w:val="restart"/>
            <w:vAlign w:val="center"/>
          </w:tcPr>
          <w:p>
            <w:pPr>
              <w:spacing w:line="240" w:lineRule="auto"/>
              <w:jc w:val="center"/>
              <w:rPr>
                <w:b/>
                <w:szCs w:val="21"/>
              </w:rPr>
            </w:pPr>
            <w:r>
              <w:rPr>
                <w:rFonts w:hint="eastAsia"/>
                <w:b/>
                <w:szCs w:val="21"/>
              </w:rPr>
              <w:t>2</w:t>
            </w:r>
          </w:p>
        </w:tc>
        <w:tc>
          <w:tcPr>
            <w:tcW w:w="1140" w:type="dxa"/>
            <w:vMerge w:val="restart"/>
            <w:vAlign w:val="center"/>
          </w:tcPr>
          <w:p>
            <w:pPr>
              <w:spacing w:line="240" w:lineRule="auto"/>
              <w:jc w:val="center"/>
              <w:rPr>
                <w:szCs w:val="21"/>
              </w:rPr>
            </w:pPr>
            <w:r>
              <w:rPr>
                <w:rFonts w:hint="eastAsia"/>
                <w:szCs w:val="21"/>
              </w:rPr>
              <w:t>关于验收</w:t>
            </w:r>
          </w:p>
        </w:tc>
        <w:tc>
          <w:tcPr>
            <w:tcW w:w="4140" w:type="dxa"/>
            <w:vAlign w:val="center"/>
          </w:tcPr>
          <w:p>
            <w:pPr>
              <w:spacing w:line="240" w:lineRule="auto"/>
              <w:jc w:val="left"/>
              <w:rPr>
                <w:szCs w:val="21"/>
              </w:rPr>
            </w:pPr>
            <w:r>
              <w:rPr>
                <w:rFonts w:hint="eastAsia"/>
                <w:szCs w:val="21"/>
              </w:rPr>
              <w:t>2.1投标人货物经过双方检验认可后，签署验收报告，产品保修期自验收合格之日起算，由投标人提供产品保修文件。</w:t>
            </w:r>
          </w:p>
        </w:tc>
        <w:tc>
          <w:tcPr>
            <w:tcW w:w="2475" w:type="dxa"/>
            <w:vAlign w:val="center"/>
          </w:tcPr>
          <w:p>
            <w:pPr>
              <w:spacing w:line="240" w:lineRule="auto"/>
              <w:jc w:val="left"/>
              <w:rPr>
                <w:szCs w:val="21"/>
              </w:rPr>
            </w:pPr>
          </w:p>
        </w:tc>
        <w:tc>
          <w:tcPr>
            <w:tcW w:w="1111" w:type="dxa"/>
            <w:vAlign w:val="center"/>
          </w:tcPr>
          <w:p>
            <w:pPr>
              <w:spacing w:line="24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575" w:type="dxa"/>
            <w:vMerge w:val="continue"/>
            <w:vAlign w:val="center"/>
          </w:tcPr>
          <w:p>
            <w:pPr>
              <w:spacing w:line="240" w:lineRule="auto"/>
              <w:jc w:val="center"/>
              <w:rPr>
                <w:b/>
                <w:szCs w:val="21"/>
              </w:rPr>
            </w:pPr>
          </w:p>
        </w:tc>
        <w:tc>
          <w:tcPr>
            <w:tcW w:w="1140" w:type="dxa"/>
            <w:vMerge w:val="continue"/>
            <w:vAlign w:val="center"/>
          </w:tcPr>
          <w:p>
            <w:pPr>
              <w:spacing w:line="240" w:lineRule="auto"/>
              <w:jc w:val="center"/>
              <w:rPr>
                <w:szCs w:val="21"/>
              </w:rPr>
            </w:pPr>
          </w:p>
        </w:tc>
        <w:tc>
          <w:tcPr>
            <w:tcW w:w="4140" w:type="dxa"/>
            <w:vAlign w:val="center"/>
          </w:tcPr>
          <w:p>
            <w:pPr>
              <w:spacing w:line="240" w:lineRule="auto"/>
              <w:jc w:val="left"/>
              <w:rPr>
                <w:szCs w:val="21"/>
              </w:rPr>
            </w:pPr>
            <w:r>
              <w:rPr>
                <w:rFonts w:hint="eastAsia"/>
                <w:szCs w:val="21"/>
              </w:rPr>
              <w:t>2.2当满足以下条件时，采购单位才向中标人签发货物验收报告：</w:t>
            </w:r>
          </w:p>
          <w:p>
            <w:pPr>
              <w:spacing w:line="240" w:lineRule="auto"/>
              <w:jc w:val="left"/>
              <w:rPr>
                <w:szCs w:val="21"/>
              </w:rPr>
            </w:pPr>
            <w:r>
              <w:rPr>
                <w:rFonts w:hint="eastAsia"/>
                <w:szCs w:val="21"/>
              </w:rPr>
              <w:t>a、中标人已按照合同规定提供了全部产品及完整的技术资料。</w:t>
            </w:r>
          </w:p>
          <w:p>
            <w:pPr>
              <w:spacing w:line="240" w:lineRule="auto"/>
              <w:jc w:val="left"/>
              <w:rPr>
                <w:szCs w:val="21"/>
              </w:rPr>
            </w:pPr>
            <w:r>
              <w:rPr>
                <w:rFonts w:hint="eastAsia"/>
                <w:szCs w:val="21"/>
              </w:rPr>
              <w:t>b、货物符合招标文件技术规格书的要求，性能满足要求。</w:t>
            </w:r>
          </w:p>
          <w:p>
            <w:pPr>
              <w:spacing w:line="240" w:lineRule="auto"/>
              <w:jc w:val="left"/>
              <w:rPr>
                <w:szCs w:val="21"/>
              </w:rPr>
            </w:pPr>
            <w:r>
              <w:rPr>
                <w:rFonts w:hint="eastAsia"/>
                <w:szCs w:val="21"/>
              </w:rPr>
              <w:t>c、货物具备产品合格证。</w:t>
            </w:r>
          </w:p>
        </w:tc>
        <w:tc>
          <w:tcPr>
            <w:tcW w:w="2475" w:type="dxa"/>
            <w:vAlign w:val="center"/>
          </w:tcPr>
          <w:p>
            <w:pPr>
              <w:spacing w:line="240" w:lineRule="auto"/>
              <w:jc w:val="left"/>
              <w:rPr>
                <w:szCs w:val="21"/>
              </w:rPr>
            </w:pPr>
          </w:p>
        </w:tc>
        <w:tc>
          <w:tcPr>
            <w:tcW w:w="1111" w:type="dxa"/>
            <w:vAlign w:val="center"/>
          </w:tcPr>
          <w:p>
            <w:pPr>
              <w:spacing w:line="24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575" w:type="dxa"/>
            <w:vAlign w:val="center"/>
          </w:tcPr>
          <w:p>
            <w:pPr>
              <w:spacing w:line="240" w:lineRule="auto"/>
              <w:jc w:val="center"/>
              <w:rPr>
                <w:szCs w:val="21"/>
              </w:rPr>
            </w:pPr>
            <w:r>
              <w:rPr>
                <w:rFonts w:hint="eastAsia"/>
                <w:b/>
                <w:szCs w:val="21"/>
              </w:rPr>
              <w:t>3</w:t>
            </w:r>
          </w:p>
        </w:tc>
        <w:tc>
          <w:tcPr>
            <w:tcW w:w="1140" w:type="dxa"/>
            <w:vAlign w:val="center"/>
          </w:tcPr>
          <w:p>
            <w:pPr>
              <w:spacing w:line="240" w:lineRule="auto"/>
              <w:jc w:val="center"/>
              <w:rPr>
                <w:szCs w:val="21"/>
              </w:rPr>
            </w:pPr>
            <w:r>
              <w:rPr>
                <w:rFonts w:hint="eastAsia"/>
                <w:szCs w:val="21"/>
              </w:rPr>
              <w:t>付款方式</w:t>
            </w:r>
          </w:p>
        </w:tc>
        <w:tc>
          <w:tcPr>
            <w:tcW w:w="4140" w:type="dxa"/>
            <w:vAlign w:val="center"/>
          </w:tcPr>
          <w:p>
            <w:pPr>
              <w:spacing w:line="240" w:lineRule="auto"/>
              <w:jc w:val="left"/>
              <w:rPr>
                <w:szCs w:val="21"/>
              </w:rPr>
            </w:pPr>
            <w:r>
              <w:rPr>
                <w:rFonts w:hint="eastAsia"/>
                <w:bCs/>
                <w:szCs w:val="21"/>
              </w:rPr>
              <w:t>合同清单中所有设备送到指定地点、安装调试完成且经甲方验收合格后，甲方按相关程序向乙方支付</w:t>
            </w:r>
            <w:r>
              <w:rPr>
                <w:rFonts w:hint="eastAsia"/>
                <w:b/>
                <w:szCs w:val="21"/>
              </w:rPr>
              <w:t xml:space="preserve"> </w:t>
            </w:r>
            <w:r>
              <w:rPr>
                <w:rFonts w:hint="eastAsia"/>
                <w:b/>
                <w:color w:val="000000"/>
                <w:szCs w:val="21"/>
                <w:u w:val="single"/>
              </w:rPr>
              <w:t xml:space="preserve">95 </w:t>
            </w:r>
            <w:r>
              <w:rPr>
                <w:rFonts w:hint="eastAsia"/>
                <w:color w:val="000000"/>
                <w:szCs w:val="21"/>
              </w:rPr>
              <w:t>%</w:t>
            </w:r>
            <w:r>
              <w:rPr>
                <w:rFonts w:hint="eastAsia"/>
                <w:bCs/>
                <w:szCs w:val="21"/>
              </w:rPr>
              <w:t>，余款</w:t>
            </w:r>
            <w:r>
              <w:rPr>
                <w:rFonts w:hint="eastAsia"/>
                <w:bCs/>
                <w:szCs w:val="21"/>
                <w:u w:val="single"/>
              </w:rPr>
              <w:t xml:space="preserve"> </w:t>
            </w:r>
            <w:r>
              <w:rPr>
                <w:rFonts w:hint="eastAsia"/>
                <w:b/>
                <w:szCs w:val="21"/>
                <w:u w:val="single"/>
              </w:rPr>
              <w:t>5</w:t>
            </w:r>
            <w:r>
              <w:rPr>
                <w:rFonts w:hint="eastAsia"/>
                <w:bCs/>
                <w:szCs w:val="21"/>
                <w:u w:val="single"/>
              </w:rPr>
              <w:t xml:space="preserve"> </w:t>
            </w:r>
            <w:r>
              <w:rPr>
                <w:rFonts w:hint="eastAsia"/>
                <w:bCs/>
                <w:szCs w:val="21"/>
              </w:rPr>
              <w:t>%待质保期满，无质量问题且经招标人确认后无息支付。</w:t>
            </w:r>
          </w:p>
        </w:tc>
        <w:tc>
          <w:tcPr>
            <w:tcW w:w="2475" w:type="dxa"/>
            <w:vAlign w:val="center"/>
          </w:tcPr>
          <w:p>
            <w:pPr>
              <w:spacing w:line="240" w:lineRule="auto"/>
              <w:jc w:val="left"/>
              <w:rPr>
                <w:bCs/>
                <w:szCs w:val="21"/>
              </w:rPr>
            </w:pPr>
          </w:p>
        </w:tc>
        <w:tc>
          <w:tcPr>
            <w:tcW w:w="1111" w:type="dxa"/>
            <w:vAlign w:val="center"/>
          </w:tcPr>
          <w:p>
            <w:pPr>
              <w:spacing w:line="240" w:lineRule="auto"/>
              <w:jc w:val="left"/>
              <w:rPr>
                <w:bCs/>
                <w:szCs w:val="21"/>
              </w:rPr>
            </w:pPr>
          </w:p>
        </w:tc>
      </w:tr>
    </w:tbl>
    <w:p>
      <w:pPr>
        <w:pStyle w:val="2"/>
        <w:sectPr>
          <w:pgSz w:w="11906" w:h="16838"/>
          <w:pgMar w:top="1134" w:right="1134" w:bottom="1134" w:left="1418" w:header="851" w:footer="992" w:gutter="0"/>
          <w:cols w:space="425" w:num="1"/>
          <w:titlePg/>
          <w:docGrid w:linePitch="462" w:charSpace="0"/>
        </w:sectPr>
      </w:pPr>
      <w:r>
        <w:rPr>
          <w:rFonts w:hint="eastAsia"/>
        </w:rPr>
        <w:t>（2）售后服务方案（投标人需编制售后服务方案）</w:t>
      </w:r>
    </w:p>
    <w:p>
      <w:pPr>
        <w:numPr>
          <w:ilvl w:val="0"/>
          <w:numId w:val="29"/>
        </w:numPr>
        <w:adjustRightInd/>
        <w:snapToGrid/>
        <w:spacing w:before="280" w:after="290" w:line="377" w:lineRule="auto"/>
        <w:outlineLvl w:val="2"/>
        <w:rPr>
          <w:b/>
          <w:sz w:val="24"/>
        </w:rPr>
      </w:pPr>
      <w:r>
        <w:rPr>
          <w:rFonts w:hint="eastAsia"/>
          <w:b/>
          <w:sz w:val="24"/>
        </w:rPr>
        <w:t>本地化服务保障</w:t>
      </w:r>
    </w:p>
    <w:p>
      <w:pPr>
        <w:numPr>
          <w:ilvl w:val="0"/>
          <w:numId w:val="29"/>
        </w:numPr>
        <w:adjustRightInd/>
        <w:snapToGrid/>
        <w:spacing w:before="280" w:after="290" w:line="377" w:lineRule="auto"/>
        <w:outlineLvl w:val="2"/>
        <w:rPr>
          <w:b/>
          <w:sz w:val="24"/>
        </w:rPr>
        <w:sectPr>
          <w:pgSz w:w="11906" w:h="16838"/>
          <w:pgMar w:top="1134" w:right="1134" w:bottom="1134" w:left="1418" w:header="851" w:footer="992" w:gutter="0"/>
          <w:cols w:space="425" w:num="1"/>
          <w:titlePg/>
          <w:docGrid w:linePitch="462" w:charSpace="0"/>
        </w:sectPr>
      </w:pPr>
    </w:p>
    <w:p>
      <w:pPr>
        <w:numPr>
          <w:ilvl w:val="0"/>
          <w:numId w:val="29"/>
        </w:numPr>
        <w:adjustRightInd/>
        <w:snapToGrid/>
        <w:spacing w:before="280" w:after="290" w:line="377" w:lineRule="auto"/>
        <w:outlineLvl w:val="2"/>
        <w:rPr>
          <w:b/>
          <w:sz w:val="24"/>
        </w:rPr>
      </w:pPr>
      <w:r>
        <w:rPr>
          <w:rFonts w:hint="eastAsia"/>
          <w:b/>
          <w:bCs/>
          <w:sz w:val="24"/>
        </w:rPr>
        <w:t>中小企业声明函及残疾人福利性单位声明函（或省级以上监狱管理局、戒毒管理局（含新疆生产建设兵团）出具的属于监狱企业的证明文件）（可选）</w:t>
      </w:r>
    </w:p>
    <w:p>
      <w:pPr>
        <w:tabs>
          <w:tab w:val="clear" w:pos="426"/>
        </w:tabs>
        <w:ind w:left="-2" w:leftChars="-1" w:firstLine="420" w:firstLineChars="200"/>
        <w:rPr>
          <w:bCs/>
          <w:szCs w:val="21"/>
        </w:rPr>
      </w:pPr>
      <w:r>
        <w:rPr>
          <w:rFonts w:hint="eastAsia"/>
          <w:bCs/>
          <w:szCs w:val="21"/>
        </w:rPr>
        <w:t>（</w:t>
      </w:r>
      <w:r>
        <w:rPr>
          <w:bCs/>
          <w:szCs w:val="21"/>
        </w:rPr>
        <w:t>1）中小企业声明函（仅限中小企业）</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本公司郑重声明，根据《政府采购促进中小企业发展暂行办法》（财库〔</w:t>
      </w:r>
      <w:r>
        <w:rPr>
          <w:bCs/>
          <w:szCs w:val="21"/>
        </w:rPr>
        <w:t>2011〕181号）的规定，本公司为______（请填写：中型、小型、微型）企业。即，本公司同时满足以下条件：</w:t>
      </w:r>
    </w:p>
    <w:p>
      <w:pPr>
        <w:tabs>
          <w:tab w:val="clear" w:pos="426"/>
        </w:tabs>
        <w:ind w:left="-2" w:leftChars="-1" w:firstLine="420" w:firstLineChars="200"/>
        <w:rPr>
          <w:bCs/>
          <w:szCs w:val="21"/>
        </w:rPr>
      </w:pPr>
      <w:r>
        <w:rPr>
          <w:bCs/>
          <w:szCs w:val="21"/>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szCs w:val="21"/>
        </w:rPr>
      </w:pPr>
      <w:r>
        <w:rPr>
          <w:bCs/>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szCs w:val="21"/>
        </w:rPr>
      </w:pPr>
      <w:r>
        <w:rPr>
          <w:rFonts w:hint="eastAsia"/>
          <w:bCs/>
          <w:szCs w:val="21"/>
        </w:rPr>
        <w:t>本公司对上述声明的真实性负责。如有虚假，将依法承担相应责任。</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w:t>
      </w:r>
      <w:r>
        <w:rPr>
          <w:bCs/>
          <w:szCs w:val="21"/>
        </w:rPr>
        <w:t>2）残疾人福利性单位声明函（仅限残疾人福利性单位）</w:t>
      </w:r>
    </w:p>
    <w:p>
      <w:pPr>
        <w:tabs>
          <w:tab w:val="clear" w:pos="426"/>
        </w:tabs>
        <w:ind w:left="-2" w:leftChars="-1" w:firstLine="420" w:firstLineChars="200"/>
        <w:rPr>
          <w:bCs/>
          <w:szCs w:val="21"/>
        </w:rPr>
      </w:pPr>
    </w:p>
    <w:p>
      <w:pPr>
        <w:tabs>
          <w:tab w:val="clear" w:pos="426"/>
        </w:tabs>
        <w:ind w:left="-2" w:leftChars="-1" w:firstLine="420" w:firstLineChars="200"/>
        <w:rPr>
          <w:bCs/>
          <w:szCs w:val="21"/>
        </w:rPr>
      </w:pPr>
      <w:r>
        <w:rPr>
          <w:rFonts w:hint="eastAsia"/>
          <w:bCs/>
          <w:szCs w:val="21"/>
        </w:rPr>
        <w:t>本单位郑重声明，根据《财政部</w:t>
      </w:r>
      <w:r>
        <w:rPr>
          <w:bCs/>
          <w:szCs w:val="21"/>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szCs w:val="21"/>
        </w:rPr>
      </w:pPr>
      <w:r>
        <w:rPr>
          <w:rFonts w:hint="eastAsia"/>
          <w:bCs/>
          <w:szCs w:val="21"/>
        </w:rPr>
        <w:t>本单位对上述声明的真实性负责。如有虚假，将依法承担相应责任。</w:t>
      </w:r>
    </w:p>
    <w:p>
      <w:pPr>
        <w:tabs>
          <w:tab w:val="clear" w:pos="426"/>
        </w:tabs>
        <w:ind w:left="-2" w:leftChars="-1" w:firstLine="420" w:firstLineChars="200"/>
        <w:rPr>
          <w:bCs/>
          <w:szCs w:val="21"/>
        </w:rPr>
      </w:pPr>
    </w:p>
    <w:p>
      <w:pPr>
        <w:tabs>
          <w:tab w:val="clear" w:pos="426"/>
        </w:tabs>
        <w:ind w:left="-2" w:leftChars="-1" w:firstLine="420" w:firstLineChars="200"/>
        <w:rPr>
          <w:bCs/>
          <w:szCs w:val="21"/>
          <w:lang w:val="en-GB"/>
        </w:rPr>
      </w:pPr>
      <w:r>
        <w:rPr>
          <w:rFonts w:hint="eastAsia"/>
          <w:bCs/>
          <w:szCs w:val="21"/>
        </w:rPr>
        <w:t>（</w:t>
      </w:r>
      <w:r>
        <w:rPr>
          <w:bCs/>
          <w:szCs w:val="21"/>
        </w:rPr>
        <w:t>3）省级以上监狱管理局、戒毒管理局（含新疆生产建设兵团）出具的属于监狱企业的证明文件（仅限监狱企业，格式自定）</w:t>
      </w:r>
    </w:p>
    <w:p>
      <w:pPr>
        <w:tabs>
          <w:tab w:val="clear" w:pos="426"/>
        </w:tabs>
        <w:ind w:firstLine="420" w:firstLineChars="200"/>
      </w:pPr>
    </w:p>
    <w:bookmarkEnd w:id="87"/>
    <w:p>
      <w:pPr>
        <w:tabs>
          <w:tab w:val="clear" w:pos="426"/>
        </w:tabs>
        <w:spacing w:line="500" w:lineRule="exact"/>
        <w:rPr>
          <w:u w:val="single"/>
        </w:rPr>
      </w:pPr>
      <w:r>
        <w:rPr>
          <w:rFonts w:hint="eastAsia"/>
          <w:spacing w:val="4"/>
        </w:rPr>
        <w:t>投标人名称（盖公章）：</w:t>
      </w:r>
    </w:p>
    <w:p>
      <w:pPr>
        <w:tabs>
          <w:tab w:val="clear" w:pos="426"/>
        </w:tabs>
        <w:spacing w:line="440" w:lineRule="exact"/>
      </w:pPr>
    </w:p>
    <w:p>
      <w:pPr>
        <w:tabs>
          <w:tab w:val="clear" w:pos="426"/>
        </w:tabs>
        <w:spacing w:line="440" w:lineRule="exact"/>
        <w:rPr>
          <w:spacing w:val="4"/>
          <w:u w:val="single"/>
        </w:rPr>
      </w:pPr>
      <w:r>
        <w:rPr>
          <w:rFonts w:hint="eastAsia"/>
        </w:rPr>
        <w:t>法定代表人或投标人授权代表（签名或盖章）：</w:t>
      </w:r>
      <w:r>
        <w:rPr>
          <w:rFonts w:hint="eastAsia"/>
          <w:spacing w:val="4"/>
        </w:rPr>
        <w:t>职务：日期：</w:t>
      </w:r>
    </w:p>
    <w:p>
      <w:pPr>
        <w:tabs>
          <w:tab w:val="clear" w:pos="426"/>
        </w:tabs>
        <w:spacing w:line="500" w:lineRule="exact"/>
        <w:rPr>
          <w:sz w:val="24"/>
        </w:rPr>
      </w:pPr>
    </w:p>
    <w:p>
      <w:pPr>
        <w:numPr>
          <w:ilvl w:val="0"/>
          <w:numId w:val="29"/>
        </w:numPr>
        <w:adjustRightInd/>
        <w:snapToGrid/>
        <w:spacing w:before="280" w:after="290" w:line="377" w:lineRule="auto"/>
        <w:outlineLvl w:val="2"/>
        <w:rPr>
          <w:b/>
          <w:sz w:val="24"/>
        </w:rPr>
      </w:pPr>
      <w:r>
        <w:br w:type="page"/>
      </w:r>
      <w:r>
        <w:rPr>
          <w:rFonts w:hint="eastAsia"/>
          <w:b/>
          <w:sz w:val="24"/>
        </w:rPr>
        <w:t>招标代理服务费承诺书</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88" w:name="_Toc275865624"/>
      <w:bookmarkStart w:id="89" w:name="_Toc480789488"/>
      <w:bookmarkStart w:id="90" w:name="_Toc480755938"/>
      <w:bookmarkStart w:id="91" w:name="_Toc480754217"/>
      <w:bookmarkStart w:id="92" w:name="_Toc480756084"/>
      <w:r>
        <w:rPr>
          <w:rFonts w:hint="eastAsia" w:cs="Times New Roman"/>
          <w:bCs/>
          <w:kern w:val="2"/>
          <w:sz w:val="32"/>
          <w:szCs w:val="32"/>
        </w:rPr>
        <w:t>招标代理服务费承诺书</w:t>
      </w:r>
      <w:bookmarkEnd w:id="88"/>
      <w:bookmarkEnd w:id="89"/>
      <w:bookmarkEnd w:id="90"/>
      <w:bookmarkEnd w:id="91"/>
      <w:bookmarkEnd w:id="92"/>
    </w:p>
    <w:p>
      <w:pPr>
        <w:tabs>
          <w:tab w:val="clear" w:pos="426"/>
        </w:tabs>
        <w:adjustRightInd/>
        <w:snapToGrid/>
        <w:rPr>
          <w:b/>
        </w:rPr>
      </w:pPr>
    </w:p>
    <w:p>
      <w:pPr>
        <w:tabs>
          <w:tab w:val="clear" w:pos="426"/>
        </w:tabs>
        <w:adjustRightInd/>
        <w:snapToGrid/>
      </w:pPr>
      <w:r>
        <w:rPr>
          <w:rFonts w:hint="eastAsia"/>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 xml:space="preserve">  (投标人名称)  </w:t>
      </w:r>
      <w:r>
        <w:rPr>
          <w:rFonts w:hint="eastAsia"/>
        </w:rPr>
        <w:t>在参加</w:t>
      </w:r>
      <w:r>
        <w:rPr>
          <w:rFonts w:hint="eastAsia"/>
          <w:u w:val="single"/>
        </w:rPr>
        <w:t xml:space="preserve">（项目名称） </w:t>
      </w:r>
      <w:r>
        <w:rPr>
          <w:rFonts w:hint="eastAsia"/>
        </w:rPr>
        <w:t>(招标项目编号：</w:t>
      </w:r>
      <w:r>
        <w:rPr>
          <w:rFonts w:hint="eastAsia"/>
          <w:u w:val="single"/>
        </w:rPr>
        <w:t xml:space="preserve">  （项目编号）  </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p>
    <w:p>
      <w:pPr>
        <w:tabs>
          <w:tab w:val="clear" w:pos="426"/>
        </w:tabs>
        <w:spacing w:line="520" w:lineRule="exact"/>
        <w:ind w:left="424" w:leftChars="202"/>
        <w:rPr>
          <w:u w:val="single"/>
        </w:rPr>
      </w:pPr>
      <w:r>
        <w:rPr>
          <w:rFonts w:hint="eastAsia"/>
        </w:rPr>
        <w:t>投标人地址:</w:t>
      </w:r>
    </w:p>
    <w:p>
      <w:pPr>
        <w:tabs>
          <w:tab w:val="clear" w:pos="426"/>
        </w:tabs>
        <w:spacing w:line="520" w:lineRule="exact"/>
        <w:ind w:left="424" w:leftChars="202"/>
      </w:pPr>
      <w:r>
        <w:rPr>
          <w:rFonts w:hint="eastAsia"/>
        </w:rPr>
        <w:t>电话:</w:t>
      </w:r>
    </w:p>
    <w:p>
      <w:pPr>
        <w:tabs>
          <w:tab w:val="clear" w:pos="426"/>
        </w:tabs>
        <w:spacing w:line="520" w:lineRule="exact"/>
        <w:ind w:left="424" w:leftChars="202"/>
      </w:pPr>
      <w:r>
        <w:rPr>
          <w:rFonts w:hint="eastAsia"/>
        </w:rPr>
        <w:t>传真:</w:t>
      </w:r>
    </w:p>
    <w:p>
      <w:pPr>
        <w:tabs>
          <w:tab w:val="clear" w:pos="426"/>
        </w:tabs>
        <w:spacing w:line="520" w:lineRule="exact"/>
        <w:ind w:left="424" w:leftChars="202"/>
        <w:rPr>
          <w:u w:val="single"/>
        </w:rPr>
      </w:pPr>
      <w:r>
        <w:rPr>
          <w:rFonts w:hint="eastAsia"/>
        </w:rPr>
        <w:t>法定代表人或投标人授权代表（签名或盖章）</w:t>
      </w:r>
    </w:p>
    <w:p>
      <w:pPr>
        <w:tabs>
          <w:tab w:val="clear" w:pos="426"/>
        </w:tabs>
        <w:spacing w:line="520" w:lineRule="exact"/>
        <w:ind w:left="424" w:leftChars="202"/>
        <w:rPr>
          <w:u w:val="single"/>
        </w:rPr>
      </w:pPr>
    </w:p>
    <w:p>
      <w:pPr>
        <w:tabs>
          <w:tab w:val="clear" w:pos="426"/>
        </w:tabs>
        <w:spacing w:line="520" w:lineRule="exact"/>
        <w:ind w:left="424" w:leftChars="202"/>
      </w:pPr>
    </w:p>
    <w:p>
      <w:pPr>
        <w:tabs>
          <w:tab w:val="clear" w:pos="426"/>
        </w:tabs>
        <w:spacing w:line="520" w:lineRule="exact"/>
        <w:ind w:left="424" w:leftChars="202"/>
      </w:pPr>
    </w:p>
    <w:p>
      <w:pPr>
        <w:tabs>
          <w:tab w:val="clear" w:pos="426"/>
        </w:tabs>
        <w:spacing w:line="520" w:lineRule="exact"/>
        <w:ind w:left="424" w:leftChars="202"/>
      </w:pPr>
    </w:p>
    <w:p>
      <w:pPr>
        <w:widowControl w:val="0"/>
        <w:shd w:val="clear" w:color="auto" w:fill="auto"/>
        <w:tabs>
          <w:tab w:val="clear" w:pos="426"/>
        </w:tabs>
        <w:adjustRightInd/>
        <w:snapToGrid/>
        <w:spacing w:line="300" w:lineRule="auto"/>
        <w:jc w:val="center"/>
        <w:rPr>
          <w:rFonts w:cs="Times New Roman"/>
          <w:bCs/>
          <w:kern w:val="2"/>
          <w:sz w:val="32"/>
          <w:szCs w:val="32"/>
        </w:rPr>
      </w:pPr>
    </w:p>
    <w:p>
      <w:pPr>
        <w:shd w:val="clear" w:color="auto" w:fill="auto"/>
        <w:tabs>
          <w:tab w:val="clear" w:pos="426"/>
        </w:tabs>
        <w:adjustRightInd/>
        <w:snapToGrid/>
        <w:spacing w:line="240" w:lineRule="auto"/>
        <w:jc w:val="left"/>
        <w:rPr>
          <w:rFonts w:cs="Times New Roman"/>
          <w:bCs/>
          <w:kern w:val="2"/>
          <w:sz w:val="32"/>
          <w:szCs w:val="32"/>
        </w:rPr>
      </w:pPr>
      <w:r>
        <w:rPr>
          <w:rFonts w:cs="Times New Roman"/>
          <w:bCs/>
          <w:kern w:val="2"/>
          <w:sz w:val="32"/>
          <w:szCs w:val="32"/>
        </w:rP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szCs w:val="21"/>
              </w:rPr>
            </w:pPr>
            <w:r>
              <w:rPr>
                <w:rFonts w:hint="eastAsia"/>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pPr>
              <w:tabs>
                <w:tab w:val="clear" w:pos="426"/>
              </w:tabs>
              <w:spacing w:line="240" w:lineRule="auto"/>
              <w:jc w:val="center"/>
              <w:rPr>
                <w:b/>
                <w:szCs w:val="21"/>
              </w:rPr>
            </w:pPr>
            <w:r>
              <w:rPr>
                <w:rFonts w:hint="eastAsia"/>
              </w:rPr>
              <w:t>4000021219200366130</w:t>
            </w:r>
          </w:p>
        </w:tc>
      </w:tr>
    </w:tbl>
    <w:p>
      <w:pPr>
        <w:tabs>
          <w:tab w:val="clear" w:pos="426"/>
        </w:tabs>
        <w:rPr>
          <w:rFonts w:cs="Arial"/>
          <w:bCs/>
          <w:sz w:val="24"/>
        </w:rPr>
      </w:pPr>
    </w:p>
    <w:p>
      <w:pPr>
        <w:tabs>
          <w:tab w:val="clear" w:pos="426"/>
        </w:tabs>
        <w:spacing w:line="440" w:lineRule="exact"/>
        <w:rPr>
          <w:spacing w:val="4"/>
          <w:u w:val="single"/>
        </w:rPr>
      </w:pPr>
    </w:p>
    <w:p>
      <w:pPr>
        <w:tabs>
          <w:tab w:val="clear" w:pos="426"/>
        </w:tabs>
        <w:spacing w:line="440" w:lineRule="exact"/>
        <w:rPr>
          <w:bCs/>
        </w:rPr>
      </w:pPr>
      <w:r>
        <w:rPr>
          <w:spacing w:val="4"/>
          <w:u w:val="single"/>
        </w:rPr>
        <w:br w:type="page"/>
      </w:r>
    </w:p>
    <w:p>
      <w:pPr>
        <w:tabs>
          <w:tab w:val="clear" w:pos="426"/>
        </w:tabs>
        <w:spacing w:line="440" w:lineRule="exact"/>
        <w:rPr>
          <w:spacing w:val="4"/>
          <w:u w:val="single"/>
        </w:rPr>
      </w:pPr>
    </w:p>
    <w:bookmarkEnd w:id="74"/>
    <w:bookmarkEnd w:id="75"/>
    <w:bookmarkEnd w:id="76"/>
    <w:bookmarkEnd w:id="77"/>
    <w:p>
      <w:pPr>
        <w:adjustRightInd/>
        <w:snapToGrid/>
        <w:spacing w:before="280" w:after="290" w:line="377" w:lineRule="auto"/>
        <w:outlineLvl w:val="2"/>
        <w:rPr>
          <w:b/>
          <w:sz w:val="24"/>
        </w:rPr>
      </w:pPr>
      <w:r>
        <w:rPr>
          <w:rFonts w:hint="eastAsia"/>
          <w:b/>
          <w:bCs/>
          <w:sz w:val="24"/>
        </w:rPr>
        <w:t>十九、招标文件要求的其他内容及投标人认为需要加以说明的其他内容</w:t>
      </w:r>
    </w:p>
    <w:p>
      <w:pPr>
        <w:tabs>
          <w:tab w:val="clear" w:pos="426"/>
        </w:tabs>
        <w:adjustRightInd/>
        <w:snapToGrid/>
        <w:ind w:firstLine="420" w:firstLineChars="200"/>
      </w:pPr>
      <w:bookmarkStart w:id="93" w:name="_Toc398220528"/>
      <w:r>
        <w:rPr>
          <w:rFonts w:hint="eastAsia"/>
        </w:rPr>
        <w:t>提供招标公告和评标信息中关于投标人的其他相关证明文件（如评标信息中涉及的各种证件（身份证除外）、设备发票等，未涉及的可以不提供）。</w:t>
      </w:r>
    </w:p>
    <w:p>
      <w:pPr>
        <w:tabs>
          <w:tab w:val="clear" w:pos="426"/>
        </w:tabs>
      </w:pPr>
    </w:p>
    <w:p>
      <w:pPr>
        <w:tabs>
          <w:tab w:val="clear" w:pos="426"/>
        </w:tabs>
      </w:pPr>
    </w:p>
    <w:p>
      <w:pPr>
        <w:pStyle w:val="42"/>
        <w:tabs>
          <w:tab w:val="clear" w:pos="426"/>
        </w:tabs>
      </w:pPr>
      <w:r>
        <w:br w:type="page"/>
      </w:r>
      <w:bookmarkStart w:id="94" w:name="_Toc5875393"/>
      <w:r>
        <w:rPr>
          <w:rFonts w:hint="eastAsia"/>
        </w:rPr>
        <w:t>第二册  通用条款</w:t>
      </w:r>
      <w:bookmarkEnd w:id="93"/>
      <w:bookmarkEnd w:id="94"/>
    </w:p>
    <w:p>
      <w:pPr>
        <w:jc w:val="center"/>
        <w:rPr>
          <w:b/>
        </w:rPr>
      </w:pPr>
      <w:bookmarkStart w:id="95" w:name="_Toc432592821"/>
      <w:bookmarkStart w:id="96" w:name="_Toc398220529"/>
      <w:r>
        <w:rPr>
          <w:rFonts w:hint="eastAsia"/>
          <w:b/>
        </w:rPr>
        <w:t>（投标人须知）</w:t>
      </w:r>
    </w:p>
    <w:p>
      <w:pPr>
        <w:pStyle w:val="6"/>
      </w:pPr>
      <w:bookmarkStart w:id="97" w:name="_Toc5875394"/>
      <w:r>
        <w:rPr>
          <w:rFonts w:hint="eastAsia"/>
        </w:rPr>
        <w:t>第一章 总则</w:t>
      </w:r>
      <w:bookmarkEnd w:id="95"/>
      <w:bookmarkEnd w:id="96"/>
      <w:bookmarkEnd w:id="97"/>
    </w:p>
    <w:p>
      <w:pPr>
        <w:tabs>
          <w:tab w:val="clear" w:pos="426"/>
        </w:tabs>
      </w:pPr>
      <w:r>
        <w:rPr>
          <w:rFonts w:hint="eastAsia"/>
        </w:rPr>
        <w:t>1.通用条款说明</w:t>
      </w:r>
    </w:p>
    <w:p>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pPr>
        <w:tabs>
          <w:tab w:val="clear" w:pos="426"/>
        </w:tabs>
      </w:pPr>
      <w:bookmarkStart w:id="98" w:name="_Toc73518119"/>
      <w:bookmarkStart w:id="99" w:name="_Toc60631622"/>
      <w:bookmarkStart w:id="100" w:name="_Toc73521637"/>
      <w:bookmarkStart w:id="101" w:name="_Toc73521549"/>
      <w:bookmarkStart w:id="102" w:name="_Toc100052366"/>
      <w:bookmarkStart w:id="103" w:name="_Toc60560627"/>
      <w:bookmarkStart w:id="104" w:name="_Toc73517641"/>
      <w:bookmarkStart w:id="105" w:name="_Toc73521639"/>
      <w:bookmarkStart w:id="106" w:name="_Toc73518121"/>
      <w:bookmarkStart w:id="107" w:name="_Toc60560629"/>
      <w:bookmarkStart w:id="108" w:name="_Toc100052368"/>
      <w:bookmarkStart w:id="109" w:name="_Toc73517643"/>
      <w:bookmarkStart w:id="110" w:name="_Toc60631624"/>
      <w:bookmarkStart w:id="111" w:name="_Toc73521551"/>
      <w:r>
        <w:rPr>
          <w:rFonts w:hint="eastAsia"/>
        </w:rPr>
        <w:t>2</w:t>
      </w:r>
      <w:r>
        <w:t>．</w:t>
      </w:r>
      <w:r>
        <w:rPr>
          <w:rFonts w:hint="eastAsia"/>
        </w:rPr>
        <w:t>招标说明</w:t>
      </w:r>
      <w:bookmarkEnd w:id="98"/>
      <w:bookmarkEnd w:id="99"/>
      <w:bookmarkEnd w:id="100"/>
      <w:bookmarkEnd w:id="101"/>
      <w:bookmarkEnd w:id="102"/>
      <w:bookmarkEnd w:id="103"/>
      <w:bookmarkEnd w:id="104"/>
    </w:p>
    <w:p>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pPr>
        <w:tabs>
          <w:tab w:val="clear" w:pos="426"/>
        </w:tabs>
        <w:rPr>
          <w:color w:val="000000"/>
          <w:szCs w:val="21"/>
        </w:rPr>
      </w:pPr>
      <w:r>
        <w:rPr>
          <w:rFonts w:hint="eastAsia"/>
          <w:color w:val="000000"/>
          <w:szCs w:val="21"/>
        </w:rPr>
        <w:t>本招标文件的解释权归属深圳市深水水务咨询有限公司。</w:t>
      </w:r>
    </w:p>
    <w:p>
      <w:pPr>
        <w:tabs>
          <w:tab w:val="clear" w:pos="426"/>
        </w:tabs>
      </w:pPr>
      <w:bookmarkStart w:id="112" w:name="_Toc60560628"/>
      <w:bookmarkStart w:id="113" w:name="_Toc100052367"/>
      <w:bookmarkStart w:id="114" w:name="_Toc73517642"/>
      <w:bookmarkStart w:id="115" w:name="_Toc73521550"/>
      <w:bookmarkStart w:id="116" w:name="_Toc73518120"/>
      <w:bookmarkStart w:id="117" w:name="_Toc60631623"/>
      <w:bookmarkStart w:id="118" w:name="_Toc73521638"/>
      <w:r>
        <w:rPr>
          <w:rFonts w:hint="eastAsia"/>
        </w:rPr>
        <w:t>3．定义</w:t>
      </w:r>
      <w:bookmarkEnd w:id="112"/>
      <w:bookmarkEnd w:id="113"/>
      <w:bookmarkEnd w:id="114"/>
      <w:bookmarkEnd w:id="115"/>
      <w:bookmarkEnd w:id="116"/>
      <w:bookmarkEnd w:id="117"/>
      <w:bookmarkEnd w:id="118"/>
    </w:p>
    <w:p>
      <w:pPr>
        <w:tabs>
          <w:tab w:val="clear" w:pos="426"/>
        </w:tabs>
      </w:pPr>
      <w:r>
        <w:t>招标文件中下列术语应解释为：</w:t>
      </w:r>
    </w:p>
    <w:p>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rPr>
          <w:rFonts w:hint="eastAsia"/>
        </w:rPr>
        <w:t xml:space="preserve">3.2“采购人”或“采购单位”：系指利用财政性资金依法进行政府采购的国家机关、事业单位、团体组织； </w:t>
      </w:r>
    </w:p>
    <w:p>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pPr>
        <w:tabs>
          <w:tab w:val="clear" w:pos="426"/>
        </w:tabs>
      </w:pPr>
      <w:r>
        <w:rPr>
          <w:rFonts w:hint="eastAsia"/>
        </w:rPr>
        <w:t>3.4“评标委员会”和“谈判小组”是依据《深圳经济特区政府采购条例》有关规定组建的专门负责本次招标其评标（谈判）工作的临时性机构；</w:t>
      </w:r>
    </w:p>
    <w:p>
      <w:pPr>
        <w:tabs>
          <w:tab w:val="clear" w:pos="426"/>
        </w:tabs>
      </w:pPr>
      <w:r>
        <w:rPr>
          <w:rFonts w:hint="eastAsia"/>
        </w:rPr>
        <w:t>3.5“日期”</w:t>
      </w:r>
      <w:r>
        <w:t>指</w:t>
      </w:r>
      <w:r>
        <w:rPr>
          <w:rFonts w:hint="eastAsia"/>
        </w:rPr>
        <w:t>公历日；</w:t>
      </w:r>
    </w:p>
    <w:p>
      <w:pPr>
        <w:tabs>
          <w:tab w:val="clear" w:pos="426"/>
        </w:tabs>
      </w:pPr>
      <w:r>
        <w:rPr>
          <w:rFonts w:hint="eastAsia"/>
        </w:rPr>
        <w:t>3.6“合同”指由本次招标所产生的合同或合约文件；</w:t>
      </w:r>
    </w:p>
    <w:p>
      <w:pPr>
        <w:tabs>
          <w:tab w:val="clear" w:pos="426"/>
        </w:tabs>
      </w:pPr>
      <w:r>
        <w:rPr>
          <w:rFonts w:hint="eastAsia"/>
        </w:rPr>
        <w:t>3.7招标文件中的标题或题名仅起引导作用，而不应视为对招标文件内容的理解和解释。</w:t>
      </w:r>
    </w:p>
    <w:p>
      <w:pPr>
        <w:tabs>
          <w:tab w:val="clear" w:pos="426"/>
        </w:tabs>
      </w:pPr>
      <w:r>
        <w:rPr>
          <w:rFonts w:hint="eastAsia"/>
        </w:rPr>
        <w:t>4. 政府采购供应商责任</w:t>
      </w:r>
    </w:p>
    <w:p>
      <w:pPr>
        <w:tabs>
          <w:tab w:val="clear" w:pos="426"/>
        </w:tabs>
      </w:pPr>
      <w:r>
        <w:rPr>
          <w:rFonts w:hint="eastAsia"/>
        </w:rPr>
        <w:t>4.1欢迎诚信、有实力和有社会责任心的供应商参与政府采购事业。</w:t>
      </w:r>
    </w:p>
    <w:p>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tabs>
          <w:tab w:val="clear" w:pos="426"/>
        </w:tabs>
      </w:pPr>
      <w:r>
        <w:rPr>
          <w:rFonts w:hint="eastAsia"/>
        </w:rPr>
        <w:t>5．</w:t>
      </w:r>
      <w:bookmarkEnd w:id="105"/>
      <w:bookmarkEnd w:id="106"/>
      <w:bookmarkEnd w:id="107"/>
      <w:bookmarkEnd w:id="108"/>
      <w:bookmarkEnd w:id="109"/>
      <w:bookmarkEnd w:id="110"/>
      <w:bookmarkEnd w:id="111"/>
      <w:r>
        <w:rPr>
          <w:rFonts w:hint="eastAsia"/>
        </w:rPr>
        <w:t>合格的投标人</w:t>
      </w:r>
    </w:p>
    <w:p>
      <w:pPr>
        <w:widowControl w:val="0"/>
        <w:shd w:val="clear" w:color="auto" w:fill="auto"/>
        <w:tabs>
          <w:tab w:val="clear" w:pos="426"/>
        </w:tabs>
        <w:autoSpaceDE w:val="0"/>
        <w:autoSpaceDN w:val="0"/>
        <w:rPr>
          <w:szCs w:val="21"/>
        </w:rPr>
      </w:pPr>
      <w:bookmarkStart w:id="119" w:name="_Toc60560631"/>
      <w:bookmarkStart w:id="120" w:name="_Toc73521641"/>
      <w:bookmarkStart w:id="121" w:name="_Toc73518123"/>
      <w:bookmarkStart w:id="122" w:name="_Toc73521553"/>
      <w:bookmarkStart w:id="123" w:name="_Toc60631626"/>
      <w:bookmarkStart w:id="124" w:name="_Toc73517645"/>
      <w:bookmarkStart w:id="125" w:name="_Toc100052370"/>
      <w:r>
        <w:rPr>
          <w:rFonts w:hint="eastAsia"/>
          <w:szCs w:val="21"/>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rFonts w:hint="eastAsia"/>
          <w:szCs w:val="21"/>
        </w:rPr>
        <w:t>5.2.9 符合</w:t>
      </w:r>
      <w:r>
        <w:rPr>
          <w:rFonts w:hint="eastAsia" w:cs="黑体"/>
          <w:szCs w:val="21"/>
        </w:rPr>
        <w:t>第一章采购公告“投标人资格要求”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pPr>
        <w:tabs>
          <w:tab w:val="clear" w:pos="426"/>
        </w:tabs>
      </w:pPr>
      <w:r>
        <w:rPr>
          <w:rFonts w:hint="eastAsia"/>
        </w:rPr>
        <w:t>6．联合体投标</w:t>
      </w:r>
    </w:p>
    <w:p>
      <w:pPr>
        <w:tabs>
          <w:tab w:val="clear" w:pos="426"/>
        </w:tabs>
      </w:pPr>
      <w:r>
        <w:rPr>
          <w:rFonts w:hint="eastAsia"/>
        </w:rPr>
        <w:t>6.1　以下有关联合体投标的条款仅适用于允许投标人组成联合体投标的项目。</w:t>
      </w:r>
    </w:p>
    <w:p>
      <w:pPr>
        <w:tabs>
          <w:tab w:val="clear" w:pos="426"/>
        </w:tabs>
      </w:pPr>
      <w:r>
        <w:rPr>
          <w:rFonts w:hint="eastAsia"/>
        </w:rPr>
        <w:t>6.2　由两个或两个以上的自然人、法人或者其他组织可以组成一个联合体，以一个供应商的身份共同投标时，应符合以下原则：</w:t>
      </w:r>
    </w:p>
    <w:p>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rPr>
      </w:pPr>
      <w:r>
        <w:rPr>
          <w:rFonts w:hint="eastAsia"/>
          <w:color w:val="000000"/>
        </w:rPr>
        <w:t>6.2.3投标人的投标文件及中标后签署的合同协议对联合体各方均具法律约束力；</w:t>
      </w:r>
    </w:p>
    <w:p>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rPr>
      </w:pPr>
      <w:r>
        <w:rPr>
          <w:rFonts w:hint="eastAsia"/>
          <w:color w:val="000000"/>
        </w:rPr>
        <w:t>6.2.7除非另有规定或说明，本须知中“投标人”一词亦指联合体各方。</w:t>
      </w:r>
    </w:p>
    <w:p>
      <w:pPr>
        <w:tabs>
          <w:tab w:val="clear" w:pos="426"/>
        </w:tabs>
      </w:pPr>
      <w:r>
        <w:rPr>
          <w:rFonts w:hint="eastAsia"/>
        </w:rPr>
        <w:t>7. 合格的服务和货物</w:t>
      </w:r>
    </w:p>
    <w:p>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pPr>
      <w:r>
        <w:rPr>
          <w:rFonts w:hint="eastAsia"/>
        </w:rPr>
        <w:t>8．投标费用</w:t>
      </w:r>
      <w:bookmarkEnd w:id="119"/>
      <w:bookmarkEnd w:id="120"/>
      <w:bookmarkEnd w:id="121"/>
      <w:bookmarkEnd w:id="122"/>
      <w:bookmarkEnd w:id="123"/>
      <w:bookmarkEnd w:id="124"/>
      <w:bookmarkEnd w:id="125"/>
    </w:p>
    <w:p>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bookmarkStart w:id="126" w:name="_Toc100052371"/>
      <w:bookmarkStart w:id="127" w:name="_Toc73521642"/>
      <w:bookmarkStart w:id="128" w:name="_Toc60631627"/>
      <w:bookmarkStart w:id="129" w:name="_Toc73517646"/>
      <w:bookmarkStart w:id="130" w:name="_Toc60560632"/>
      <w:bookmarkStart w:id="131" w:name="_Toc73518124"/>
      <w:bookmarkStart w:id="132" w:name="_Toc73521554"/>
      <w:r>
        <w:rPr>
          <w:rFonts w:hint="eastAsia"/>
        </w:rPr>
        <w:t>9．踏勘现场</w:t>
      </w:r>
      <w:bookmarkEnd w:id="126"/>
      <w:bookmarkEnd w:id="127"/>
      <w:bookmarkEnd w:id="128"/>
      <w:bookmarkEnd w:id="129"/>
      <w:bookmarkEnd w:id="130"/>
      <w:bookmarkEnd w:id="131"/>
      <w:bookmarkEnd w:id="132"/>
    </w:p>
    <w:p>
      <w:pPr>
        <w:tabs>
          <w:tab w:val="clear" w:pos="426"/>
        </w:tabs>
      </w:pPr>
      <w:bookmarkStart w:id="133" w:name="_Toc78260681"/>
      <w:bookmarkStart w:id="134"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pPr>
        <w:tabs>
          <w:tab w:val="clear" w:pos="426"/>
        </w:tabs>
      </w:pPr>
      <w:r>
        <w:rPr>
          <w:rFonts w:hint="eastAsia"/>
        </w:rPr>
        <w:t>9.3采购单位必须通过采购代理机构向投标人提供有关现场的资料和数据。</w:t>
      </w:r>
    </w:p>
    <w:p>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pPr>
      <w:r>
        <w:rPr>
          <w:rFonts w:hint="eastAsia"/>
        </w:rPr>
        <w:t>9.5 未参与现场踏勘不作为否定投标人资格的理由。</w:t>
      </w:r>
    </w:p>
    <w:p>
      <w:pPr>
        <w:tabs>
          <w:tab w:val="clear" w:pos="426"/>
        </w:tabs>
      </w:pPr>
      <w:r>
        <w:rPr>
          <w:rFonts w:hint="eastAsia"/>
        </w:rPr>
        <w:t>10．招标</w:t>
      </w:r>
      <w:bookmarkEnd w:id="133"/>
      <w:r>
        <w:rPr>
          <w:rFonts w:hint="eastAsia"/>
        </w:rPr>
        <w:t>答疑</w:t>
      </w:r>
      <w:bookmarkEnd w:id="134"/>
    </w:p>
    <w:p>
      <w:pPr>
        <w:tabs>
          <w:tab w:val="clear" w:pos="426"/>
        </w:tabs>
      </w:pPr>
      <w:r>
        <w:rPr>
          <w:rFonts w:hint="eastAsia"/>
        </w:rPr>
        <w:t>10.1招标答疑的目的是澄清、解答投标人在查阅招标文件后或现场踏勘中可能提出的与投标有关的疑问或询问。</w:t>
      </w:r>
    </w:p>
    <w:p>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pPr>
        <w:tabs>
          <w:tab w:val="clear" w:pos="426"/>
        </w:tabs>
      </w:pPr>
      <w:r>
        <w:rPr>
          <w:rFonts w:hint="eastAsia"/>
        </w:rPr>
        <w:t>10.5未参与招标答疑不作为否定投标人资格的理由。</w:t>
      </w:r>
    </w:p>
    <w:p>
      <w:pPr>
        <w:pStyle w:val="6"/>
        <w:tabs>
          <w:tab w:val="clear" w:pos="426"/>
        </w:tabs>
      </w:pPr>
      <w:bookmarkStart w:id="135" w:name="bt招标文件"/>
      <w:bookmarkEnd w:id="135"/>
      <w:bookmarkStart w:id="136" w:name="_Toc432592822"/>
      <w:bookmarkStart w:id="137" w:name="_Toc101074878"/>
      <w:bookmarkStart w:id="138" w:name="_Toc398220530"/>
      <w:bookmarkStart w:id="139" w:name="_Toc5875395"/>
      <w:bookmarkStart w:id="140" w:name="_Toc73521644"/>
      <w:bookmarkStart w:id="141" w:name="_Toc73518126"/>
      <w:bookmarkStart w:id="142" w:name="_Toc73517648"/>
      <w:bookmarkStart w:id="143" w:name="_Toc100052373"/>
      <w:bookmarkStart w:id="144" w:name="_Toc73521556"/>
      <w:r>
        <w:rPr>
          <w:rFonts w:hint="eastAsia"/>
        </w:rPr>
        <w:t>第二章 招标文件</w:t>
      </w:r>
      <w:bookmarkEnd w:id="136"/>
      <w:bookmarkEnd w:id="137"/>
      <w:bookmarkEnd w:id="138"/>
      <w:bookmarkEnd w:id="139"/>
      <w:bookmarkEnd w:id="140"/>
      <w:bookmarkEnd w:id="141"/>
      <w:bookmarkEnd w:id="142"/>
      <w:bookmarkEnd w:id="143"/>
      <w:bookmarkEnd w:id="144"/>
    </w:p>
    <w:p>
      <w:pPr>
        <w:tabs>
          <w:tab w:val="clear" w:pos="426"/>
        </w:tabs>
      </w:pPr>
      <w:bookmarkStart w:id="145" w:name="_Toc100052374"/>
      <w:bookmarkStart w:id="146" w:name="_Toc73521557"/>
      <w:bookmarkStart w:id="147" w:name="_Toc73517649"/>
      <w:bookmarkStart w:id="148" w:name="_Toc73521645"/>
      <w:bookmarkStart w:id="149" w:name="_Toc73518127"/>
      <w:r>
        <w:rPr>
          <w:rFonts w:hint="eastAsia"/>
        </w:rPr>
        <w:t>11．招标文件的编制与组成</w:t>
      </w:r>
      <w:bookmarkEnd w:id="145"/>
      <w:bookmarkEnd w:id="146"/>
      <w:bookmarkEnd w:id="147"/>
      <w:bookmarkEnd w:id="148"/>
      <w:bookmarkEnd w:id="149"/>
    </w:p>
    <w:p>
      <w:pPr>
        <w:tabs>
          <w:tab w:val="clear" w:pos="426"/>
        </w:tabs>
      </w:pPr>
      <w:r>
        <w:rPr>
          <w:rFonts w:hint="eastAsia"/>
        </w:rPr>
        <w:t>11.1招标文件除以下内容外，采购代理机构在招标（或谈判）期间发出的答疑纪要和其他补充修改函件，均是招标文件的组成部分，对投标人起约束作用；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  专用条款</w:t>
      </w:r>
    </w:p>
    <w:p>
      <w:pPr>
        <w:tabs>
          <w:tab w:val="clear" w:pos="426"/>
        </w:tabs>
      </w:pPr>
      <w:r>
        <w:rPr>
          <w:rFonts w:hint="eastAsia"/>
        </w:rPr>
        <w:t>第一章  采购公告</w:t>
      </w:r>
    </w:p>
    <w:p>
      <w:pPr>
        <w:tabs>
          <w:tab w:val="clear" w:pos="426"/>
        </w:tabs>
      </w:pPr>
      <w:r>
        <w:rPr>
          <w:rFonts w:hint="eastAsia"/>
        </w:rPr>
        <w:t>第二章  招标项目需求</w:t>
      </w:r>
    </w:p>
    <w:p>
      <w:pPr>
        <w:tabs>
          <w:tab w:val="clear" w:pos="426"/>
        </w:tabs>
      </w:pPr>
      <w:r>
        <w:rPr>
          <w:rFonts w:hint="eastAsia"/>
        </w:rPr>
        <w:t>第三章  合同条款及格式</w:t>
      </w:r>
    </w:p>
    <w:p>
      <w:pPr>
        <w:tabs>
          <w:tab w:val="clear" w:pos="426"/>
        </w:tabs>
      </w:pPr>
      <w:r>
        <w:rPr>
          <w:rFonts w:hint="eastAsia"/>
        </w:rPr>
        <w:t>第四章  投标文件格式、附件</w:t>
      </w:r>
    </w:p>
    <w:p>
      <w:pPr>
        <w:tabs>
          <w:tab w:val="clear" w:pos="426"/>
        </w:tabs>
      </w:pPr>
      <w:r>
        <w:rPr>
          <w:rFonts w:hint="eastAsia"/>
        </w:rPr>
        <w:t>第五章  政府采购履约情况反馈表</w:t>
      </w:r>
    </w:p>
    <w:p>
      <w:pPr>
        <w:tabs>
          <w:tab w:val="clear" w:pos="426"/>
        </w:tabs>
      </w:pPr>
      <w:r>
        <w:rPr>
          <w:rFonts w:hint="eastAsia"/>
        </w:rPr>
        <w:t>第二册  通用条款</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质疑处理</w:t>
      </w:r>
    </w:p>
    <w:p>
      <w:pPr>
        <w:tabs>
          <w:tab w:val="clear" w:pos="426"/>
        </w:tabs>
      </w:pPr>
      <w:bookmarkStart w:id="150" w:name="_Toc73518128"/>
      <w:bookmarkStart w:id="151" w:name="_Toc73521558"/>
      <w:bookmarkStart w:id="152" w:name="_Toc100052375"/>
      <w:bookmarkStart w:id="153" w:name="_Toc60631631"/>
      <w:bookmarkStart w:id="154" w:name="_Toc60560636"/>
      <w:bookmarkStart w:id="155" w:name="_Toc73517650"/>
      <w:bookmarkStart w:id="156" w:name="_Toc73521646"/>
      <w:bookmarkStart w:id="157" w:name="_Toc100052376"/>
      <w:bookmarkStart w:id="158" w:name="_Toc73521559"/>
      <w:bookmarkStart w:id="159" w:name="_Toc73521647"/>
      <w:bookmarkStart w:id="160" w:name="_Toc73517651"/>
      <w:bookmarkStart w:id="161" w:name="_Toc60560637"/>
      <w:bookmarkStart w:id="162" w:name="_Toc60631632"/>
      <w:bookmarkStart w:id="163" w:name="_Toc7351812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pPr>
      <w:r>
        <w:rPr>
          <w:rFonts w:hint="eastAsia"/>
        </w:rPr>
        <w:t>12．招标文件的澄清</w:t>
      </w:r>
      <w:bookmarkEnd w:id="150"/>
      <w:bookmarkEnd w:id="151"/>
      <w:bookmarkEnd w:id="152"/>
      <w:bookmarkEnd w:id="153"/>
      <w:bookmarkEnd w:id="154"/>
      <w:bookmarkEnd w:id="155"/>
      <w:bookmarkEnd w:id="156"/>
    </w:p>
    <w:p>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pPr>
        <w:tabs>
          <w:tab w:val="clear" w:pos="426"/>
        </w:tabs>
      </w:pPr>
      <w:r>
        <w:rPr>
          <w:rFonts w:hint="eastAsia"/>
        </w:rPr>
        <w:t>12.3 对招标文件中描述有歧意或前后不一致的地方，评标委员会有权进行评判，但对同一条款的评判应适用于每个投标人。</w:t>
      </w:r>
    </w:p>
    <w:p>
      <w:pPr>
        <w:tabs>
          <w:tab w:val="clear" w:pos="426"/>
        </w:tabs>
      </w:pPr>
      <w:r>
        <w:t>1</w:t>
      </w:r>
      <w:r>
        <w:rPr>
          <w:rFonts w:hint="eastAsia"/>
        </w:rPr>
        <w:t>3．招标文件的修改</w:t>
      </w:r>
      <w:bookmarkEnd w:id="157"/>
      <w:bookmarkEnd w:id="158"/>
      <w:bookmarkEnd w:id="159"/>
      <w:bookmarkEnd w:id="160"/>
      <w:bookmarkEnd w:id="161"/>
      <w:bookmarkEnd w:id="162"/>
      <w:bookmarkEnd w:id="163"/>
    </w:p>
    <w:p>
      <w:pPr>
        <w:tabs>
          <w:tab w:val="clear" w:pos="426"/>
        </w:tabs>
      </w:pPr>
      <w:bookmarkStart w:id="164" w:name="bt投标文件"/>
      <w:bookmarkEnd w:id="164"/>
      <w:bookmarkStart w:id="165" w:name="_Toc100052377"/>
      <w:bookmarkStart w:id="166" w:name="_Toc101074879"/>
      <w:bookmarkStart w:id="167" w:name="_Toc73521648"/>
      <w:bookmarkStart w:id="168" w:name="_Toc73518130"/>
      <w:bookmarkStart w:id="169" w:name="_Toc73521560"/>
      <w:bookmarkStart w:id="170" w:name="_Toc73517652"/>
      <w:r>
        <w:t>1</w:t>
      </w:r>
      <w:r>
        <w:rPr>
          <w:rFonts w:hint="eastAsia"/>
        </w:rPr>
        <w:t>3.1招标文件发出后，在投标截止日期前任何时候，确需要变更招标内容的，采购代理机构可主动地或在解答投标人提出的澄清问题时对招标文件进行修改；</w:t>
      </w:r>
    </w:p>
    <w:p>
      <w:pPr>
        <w:tabs>
          <w:tab w:val="clear" w:pos="426"/>
        </w:tabs>
      </w:pPr>
      <w:r>
        <w:t>1</w:t>
      </w:r>
      <w:r>
        <w:rPr>
          <w:rFonts w:hint="eastAsia"/>
        </w:rPr>
        <w:t>3.2招标文件的修改以书面形式（包括网站公开发布方式）发送给所有投标人，招标文件的修改内容作为招标文件的组成部分，并具有约束力。</w:t>
      </w:r>
    </w:p>
    <w:p>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6"/>
        <w:tabs>
          <w:tab w:val="clear" w:pos="426"/>
        </w:tabs>
      </w:pPr>
      <w:bookmarkStart w:id="171" w:name="_Toc5875396"/>
      <w:bookmarkStart w:id="172" w:name="_Toc398220531"/>
      <w:bookmarkStart w:id="173" w:name="_Toc432592823"/>
      <w:r>
        <w:rPr>
          <w:rFonts w:hint="eastAsia"/>
        </w:rPr>
        <w:t>第三章 投标文件</w:t>
      </w:r>
      <w:bookmarkEnd w:id="165"/>
      <w:bookmarkEnd w:id="166"/>
      <w:bookmarkEnd w:id="167"/>
      <w:bookmarkEnd w:id="168"/>
      <w:bookmarkEnd w:id="169"/>
      <w:bookmarkEnd w:id="170"/>
      <w:r>
        <w:rPr>
          <w:rFonts w:hint="eastAsia"/>
        </w:rPr>
        <w:t>的编制与递交</w:t>
      </w:r>
      <w:bookmarkEnd w:id="171"/>
      <w:bookmarkEnd w:id="172"/>
      <w:bookmarkEnd w:id="173"/>
    </w:p>
    <w:p>
      <w:pPr>
        <w:tabs>
          <w:tab w:val="clear" w:pos="426"/>
        </w:tabs>
      </w:pPr>
      <w:bookmarkStart w:id="174" w:name="_Toc60560639"/>
      <w:bookmarkStart w:id="175" w:name="_Toc73517653"/>
      <w:bookmarkStart w:id="176" w:name="_Toc73521649"/>
      <w:bookmarkStart w:id="177" w:name="_Toc73521561"/>
      <w:bookmarkStart w:id="178" w:name="_Toc100052378"/>
      <w:bookmarkStart w:id="179" w:name="_Toc60631634"/>
      <w:bookmarkStart w:id="180" w:name="_Toc73518131"/>
      <w:r>
        <w:rPr>
          <w:rFonts w:hint="eastAsia"/>
        </w:rPr>
        <w:t>14．投标文件的语言及度量单位</w:t>
      </w:r>
      <w:bookmarkEnd w:id="174"/>
      <w:bookmarkEnd w:id="175"/>
      <w:bookmarkEnd w:id="176"/>
      <w:bookmarkEnd w:id="177"/>
      <w:bookmarkEnd w:id="178"/>
      <w:bookmarkEnd w:id="179"/>
      <w:bookmarkEnd w:id="180"/>
    </w:p>
    <w:p>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pPr>
      <w:r>
        <w:rPr>
          <w:rFonts w:hint="eastAsia"/>
        </w:rPr>
        <w:t>14.2 除技术规范另有规定外，投标文件使用的度量单位，均采用中华人民共和国法定计量单位。</w:t>
      </w:r>
    </w:p>
    <w:p>
      <w:pPr>
        <w:tabs>
          <w:tab w:val="clear" w:pos="426"/>
        </w:tabs>
      </w:pPr>
      <w:bookmarkStart w:id="181" w:name="_Toc73521650"/>
      <w:bookmarkStart w:id="182" w:name="_Toc60631635"/>
      <w:bookmarkStart w:id="183" w:name="_Toc73521562"/>
      <w:bookmarkStart w:id="184" w:name="_Toc73517654"/>
      <w:bookmarkStart w:id="185" w:name="_Toc73518132"/>
      <w:bookmarkStart w:id="186" w:name="_Toc60560640"/>
      <w:bookmarkStart w:id="187" w:name="_Toc100052379"/>
      <w:r>
        <w:rPr>
          <w:rFonts w:hint="eastAsia"/>
        </w:rPr>
        <w:t>15．投标文件的组成</w:t>
      </w:r>
      <w:bookmarkEnd w:id="181"/>
      <w:bookmarkEnd w:id="182"/>
      <w:bookmarkEnd w:id="183"/>
      <w:bookmarkEnd w:id="184"/>
      <w:bookmarkEnd w:id="185"/>
      <w:bookmarkEnd w:id="186"/>
      <w:bookmarkEnd w:id="187"/>
    </w:p>
    <w:p>
      <w:pPr>
        <w:tabs>
          <w:tab w:val="clear" w:pos="426"/>
        </w:tabs>
      </w:pPr>
      <w:r>
        <w:rPr>
          <w:rFonts w:hint="eastAsia"/>
        </w:rPr>
        <w:t>具体内容请详见本项目专用条款的相关内容。</w:t>
      </w:r>
      <w:bookmarkStart w:id="188" w:name="_Toc73517655"/>
      <w:bookmarkStart w:id="189" w:name="_Toc73518133"/>
      <w:bookmarkStart w:id="190" w:name="_Toc73521651"/>
      <w:bookmarkStart w:id="191" w:name="投标文件的组成"/>
      <w:bookmarkStart w:id="192" w:name="_Toc73521563"/>
      <w:bookmarkStart w:id="193" w:name="_Toc60560641"/>
      <w:bookmarkStart w:id="194" w:name="_Toc60631636"/>
    </w:p>
    <w:p>
      <w:pPr>
        <w:tabs>
          <w:tab w:val="clear" w:pos="426"/>
        </w:tabs>
      </w:pPr>
      <w:r>
        <w:rPr>
          <w:rFonts w:hint="eastAsia"/>
        </w:rPr>
        <w:t>16. 投标文件格式</w:t>
      </w:r>
    </w:p>
    <w:p>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88"/>
    <w:bookmarkEnd w:id="189"/>
    <w:bookmarkEnd w:id="190"/>
    <w:bookmarkEnd w:id="191"/>
    <w:bookmarkEnd w:id="192"/>
    <w:bookmarkEnd w:id="193"/>
    <w:bookmarkEnd w:id="194"/>
    <w:p>
      <w:pPr>
        <w:tabs>
          <w:tab w:val="clear" w:pos="426"/>
        </w:tabs>
      </w:pPr>
      <w:bookmarkStart w:id="195" w:name="_Toc73521565"/>
      <w:bookmarkStart w:id="196" w:name="_Toc60560643"/>
      <w:bookmarkStart w:id="197" w:name="_Toc73518135"/>
      <w:bookmarkStart w:id="198" w:name="_Toc100052382"/>
      <w:bookmarkStart w:id="199" w:name="_Toc60631638"/>
      <w:bookmarkStart w:id="200" w:name="_Toc73521653"/>
      <w:bookmarkStart w:id="201" w:name="_Toc73517657"/>
      <w:r>
        <w:rPr>
          <w:rFonts w:hint="eastAsia"/>
        </w:rPr>
        <w:t>17．投标货币</w:t>
      </w:r>
      <w:bookmarkEnd w:id="195"/>
      <w:bookmarkEnd w:id="196"/>
      <w:bookmarkEnd w:id="197"/>
      <w:bookmarkEnd w:id="198"/>
      <w:bookmarkEnd w:id="199"/>
      <w:bookmarkEnd w:id="200"/>
      <w:bookmarkEnd w:id="201"/>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rPr>
          <w:rFonts w:hint="eastAsia"/>
        </w:rPr>
        <w:t>18. 证明投标人合格和资格的文件</w:t>
      </w:r>
    </w:p>
    <w:p>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pPr>
        <w:tabs>
          <w:tab w:val="clear" w:pos="426"/>
        </w:tabs>
      </w:pPr>
      <w:r>
        <w:rPr>
          <w:rFonts w:hint="eastAsia"/>
        </w:rPr>
        <w:t>19．证明投标文件投标技术方案的合格性和符合招标文件规定的文件要求</w:t>
      </w:r>
    </w:p>
    <w:p>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pPr>
      <w:r>
        <w:rPr>
          <w:rFonts w:hint="eastAsia"/>
        </w:rPr>
        <w:t>19.2.1主要技术指标和性能的详细说明。</w:t>
      </w:r>
    </w:p>
    <w:p>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pPr>
        <w:tabs>
          <w:tab w:val="clear" w:pos="426"/>
        </w:tabs>
      </w:pPr>
      <w:r>
        <w:rPr>
          <w:rFonts w:hint="eastAsia"/>
        </w:rPr>
        <w:t>19.3相关资料不符合19.2款要求的，评标委员会有权认定为投标技术方案不合格响应，其相关分数予以扣减或作废标处理。</w:t>
      </w:r>
    </w:p>
    <w:p>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pPr>
      <w:r>
        <w:rPr>
          <w:rFonts w:hint="eastAsia"/>
        </w:rPr>
        <w:t>19.6为保证公平公正，除非另有规定或说明，投标人对同一货物或服务投标时，不得同时提供两套或两套以上的投标方案。</w:t>
      </w:r>
    </w:p>
    <w:p>
      <w:pPr>
        <w:tabs>
          <w:tab w:val="clear" w:pos="426"/>
        </w:tabs>
      </w:pPr>
      <w:r>
        <w:rPr>
          <w:rFonts w:hint="eastAsia"/>
        </w:rPr>
        <w:t>20．投标文件其他证明文件的要求</w:t>
      </w:r>
    </w:p>
    <w:p>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pPr>
      <w:bookmarkStart w:id="202" w:name="_Toc100052383"/>
      <w:bookmarkStart w:id="203" w:name="_Toc60560644"/>
      <w:bookmarkStart w:id="204" w:name="_Toc73518136"/>
      <w:bookmarkStart w:id="205" w:name="_Toc73517658"/>
      <w:bookmarkStart w:id="206" w:name="_Toc73521654"/>
      <w:bookmarkStart w:id="207" w:name="_Toc60631639"/>
      <w:bookmarkStart w:id="208" w:name="_Toc73521566"/>
      <w:r>
        <w:rPr>
          <w:rFonts w:hint="eastAsia"/>
        </w:rPr>
        <w:t>21．投标有效期</w:t>
      </w:r>
      <w:bookmarkEnd w:id="202"/>
      <w:bookmarkEnd w:id="203"/>
      <w:bookmarkEnd w:id="204"/>
      <w:bookmarkEnd w:id="205"/>
      <w:bookmarkEnd w:id="206"/>
      <w:bookmarkEnd w:id="207"/>
      <w:bookmarkEnd w:id="208"/>
    </w:p>
    <w:p>
      <w:pPr>
        <w:tabs>
          <w:tab w:val="clear" w:pos="426"/>
        </w:tabs>
      </w:pPr>
      <w:r>
        <w:rPr>
          <w:rFonts w:hint="eastAsia"/>
        </w:rPr>
        <w:t>21.1 投标有效期为从投标截止之日算起的日历天数，具体见专用条款中投标有效期的天数要求。在此期限内，所有投标文件均保持有效；</w:t>
      </w:r>
    </w:p>
    <w:p>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pPr>
        <w:tabs>
          <w:tab w:val="clear" w:pos="426"/>
        </w:tabs>
      </w:pPr>
      <w:bookmarkStart w:id="209" w:name="_Toc100052384"/>
      <w:bookmarkStart w:id="210" w:name="_Toc73517659"/>
      <w:bookmarkStart w:id="211" w:name="_Toc73518137"/>
      <w:bookmarkStart w:id="212" w:name="_Toc60631640"/>
      <w:bookmarkStart w:id="213" w:name="_Toc73521567"/>
      <w:bookmarkStart w:id="214" w:name="_Toc60560645"/>
      <w:bookmarkStart w:id="215" w:name="_Toc73521655"/>
      <w:r>
        <w:rPr>
          <w:rFonts w:hint="eastAsia"/>
        </w:rPr>
        <w:t>22．投标</w:t>
      </w:r>
      <w:bookmarkEnd w:id="209"/>
      <w:bookmarkEnd w:id="210"/>
      <w:bookmarkEnd w:id="211"/>
      <w:bookmarkEnd w:id="212"/>
      <w:bookmarkEnd w:id="213"/>
      <w:bookmarkEnd w:id="214"/>
      <w:bookmarkEnd w:id="215"/>
      <w:r>
        <w:rPr>
          <w:rFonts w:hint="eastAsia"/>
        </w:rPr>
        <w:t>保证金</w:t>
      </w:r>
    </w:p>
    <w:p>
      <w:pPr>
        <w:tabs>
          <w:tab w:val="clear" w:pos="426"/>
        </w:tabs>
      </w:pPr>
      <w:bookmarkStart w:id="216" w:name="_Toc73521568"/>
      <w:bookmarkStart w:id="217" w:name="_Toc100052385"/>
      <w:bookmarkStart w:id="218" w:name="_Toc73521656"/>
      <w:bookmarkStart w:id="219" w:name="_Toc60560646"/>
      <w:bookmarkStart w:id="220" w:name="_Toc60631641"/>
      <w:bookmarkStart w:id="221" w:name="_Toc73517660"/>
      <w:bookmarkStart w:id="222" w:name="_Toc73518138"/>
      <w:r>
        <w:rPr>
          <w:rFonts w:hint="eastAsia"/>
        </w:rPr>
        <w:t>22.1投标保证金的缴纳：</w:t>
      </w:r>
    </w:p>
    <w:p>
      <w:pPr>
        <w:tabs>
          <w:tab w:val="clear" w:pos="426"/>
        </w:tabs>
      </w:pPr>
      <w:r>
        <w:rPr>
          <w:rFonts w:hint="eastAsia"/>
        </w:rPr>
        <w:t>22.1.1缴纳投标保证金的方式：参与投标前须缴纳壹万元保证金，落标或中标项目完成后返还，参与投标前未缴纳的，其投标将不予受理。</w:t>
      </w:r>
    </w:p>
    <w:p>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pPr>
        <w:tabs>
          <w:tab w:val="clear" w:pos="426"/>
        </w:tabs>
      </w:pPr>
      <w:r>
        <w:rPr>
          <w:rFonts w:hint="eastAsia"/>
        </w:rPr>
        <w:t>22.3如下列任何情况发生时，投标保证金将被没收。</w:t>
      </w:r>
    </w:p>
    <w:p>
      <w:pPr>
        <w:tabs>
          <w:tab w:val="clear" w:pos="426"/>
        </w:tabs>
      </w:pPr>
      <w:r>
        <w:rPr>
          <w:rFonts w:hint="eastAsia"/>
        </w:rPr>
        <w:t>1）投标人在招标文件中规定的投标有效期内撤回其投标；</w:t>
      </w:r>
    </w:p>
    <w:p>
      <w:pPr>
        <w:tabs>
          <w:tab w:val="clear" w:pos="426"/>
        </w:tabs>
      </w:pPr>
      <w:r>
        <w:rPr>
          <w:rFonts w:hint="eastAsia"/>
        </w:rPr>
        <w:t>2）中标人在规定期限内未能根据本项通用条款第47条规定签订合同；</w:t>
      </w:r>
    </w:p>
    <w:p>
      <w:pPr>
        <w:tabs>
          <w:tab w:val="clear" w:pos="426"/>
        </w:tabs>
      </w:pPr>
      <w:r>
        <w:rPr>
          <w:rFonts w:hint="eastAsia"/>
        </w:rPr>
        <w:t>3）投标人提供虚假投标文件或虚假补充文件：</w:t>
      </w:r>
    </w:p>
    <w:p>
      <w:pPr>
        <w:tabs>
          <w:tab w:val="clear" w:pos="426"/>
        </w:tabs>
      </w:pPr>
      <w:r>
        <w:rPr>
          <w:rFonts w:hint="eastAsia"/>
        </w:rPr>
        <w:t>4）投标人以谋取中标为目的的技术规格模糊响应（如有意照搬照抄招标文件的技术要求）或虚假响应的；</w:t>
      </w:r>
    </w:p>
    <w:p>
      <w:pPr>
        <w:tabs>
          <w:tab w:val="clear" w:pos="426"/>
        </w:tabs>
      </w:pPr>
      <w:r>
        <w:rPr>
          <w:rFonts w:hint="eastAsia"/>
        </w:rPr>
        <w:t>5）投标人质疑投诉提供虚假情况。</w:t>
      </w:r>
    </w:p>
    <w:p>
      <w:pPr>
        <w:tabs>
          <w:tab w:val="clear" w:pos="426"/>
        </w:tabs>
      </w:pPr>
      <w:r>
        <w:rPr>
          <w:rFonts w:hint="eastAsia"/>
        </w:rPr>
        <w:t>22.4投标保证金账户信息：</w:t>
      </w:r>
    </w:p>
    <w:p>
      <w:pPr>
        <w:tabs>
          <w:tab w:val="clear" w:pos="426"/>
        </w:tabs>
        <w:rPr>
          <w:b/>
        </w:rPr>
      </w:pPr>
      <w:r>
        <w:rPr>
          <w:rFonts w:hint="eastAsia"/>
          <w:b/>
        </w:rPr>
        <w:t>账户名称：深圳市政府采购中心</w:t>
      </w:r>
    </w:p>
    <w:p>
      <w:pPr>
        <w:tabs>
          <w:tab w:val="clear" w:pos="426"/>
        </w:tabs>
        <w:rPr>
          <w:b/>
        </w:rPr>
      </w:pPr>
      <w:r>
        <w:rPr>
          <w:rFonts w:hint="eastAsia"/>
          <w:b/>
        </w:rPr>
        <w:t>账</w:t>
      </w:r>
      <w:r>
        <w:rPr>
          <w:b/>
        </w:rPr>
        <w:t xml:space="preserve">    号：0012100200549</w:t>
      </w:r>
    </w:p>
    <w:p>
      <w:pPr>
        <w:tabs>
          <w:tab w:val="clear" w:pos="426"/>
        </w:tabs>
        <w:rPr>
          <w:b/>
        </w:rPr>
      </w:pPr>
      <w:r>
        <w:rPr>
          <w:rFonts w:hint="eastAsia"/>
          <w:b/>
        </w:rPr>
        <w:t>开户银行：平安银行股份有限公司深圳分行营业部</w:t>
      </w:r>
    </w:p>
    <w:p>
      <w:pPr>
        <w:tabs>
          <w:tab w:val="clear" w:pos="426"/>
        </w:tabs>
        <w:rPr>
          <w:b/>
        </w:rPr>
      </w:pPr>
      <w:r>
        <w:rPr>
          <w:rFonts w:hint="eastAsia"/>
          <w:b/>
        </w:rPr>
        <w:t>行</w:t>
      </w:r>
      <w:r>
        <w:rPr>
          <w:b/>
        </w:rPr>
        <w:t xml:space="preserve">    号：307584021015</w:t>
      </w:r>
    </w:p>
    <w:p>
      <w:pPr>
        <w:tabs>
          <w:tab w:val="clear" w:pos="426"/>
        </w:tabs>
      </w:pPr>
      <w:r>
        <w:rPr>
          <w:rFonts w:hint="eastAsia"/>
        </w:rPr>
        <w:t>23．投标人的替代方案</w:t>
      </w:r>
      <w:bookmarkEnd w:id="216"/>
      <w:bookmarkEnd w:id="217"/>
      <w:bookmarkEnd w:id="218"/>
      <w:bookmarkEnd w:id="219"/>
      <w:bookmarkEnd w:id="220"/>
      <w:bookmarkEnd w:id="221"/>
      <w:bookmarkEnd w:id="222"/>
    </w:p>
    <w:p>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23" w:name="_Toc100052391"/>
      <w:bookmarkStart w:id="224" w:name="_Toc73521662"/>
      <w:bookmarkStart w:id="225" w:name="_Toc73521574"/>
      <w:bookmarkStart w:id="226" w:name="_Toc73518144"/>
      <w:bookmarkStart w:id="227" w:name="_Toc73517666"/>
      <w:bookmarkStart w:id="228" w:name="_Toc101074881"/>
    </w:p>
    <w:p>
      <w:pPr>
        <w:tabs>
          <w:tab w:val="clear" w:pos="426"/>
        </w:tabs>
      </w:pPr>
      <w:bookmarkStart w:id="229" w:name="_Toc135666815"/>
      <w:bookmarkStart w:id="230" w:name="_Toc157847820"/>
      <w:bookmarkStart w:id="231" w:name="_Toc201401576"/>
      <w:bookmarkStart w:id="232" w:name="_Toc188869280"/>
      <w:bookmarkStart w:id="233" w:name="_Toc143658455"/>
      <w:bookmarkStart w:id="234" w:name="_Toc148954859"/>
      <w:bookmarkStart w:id="235" w:name="_Toc148329801"/>
      <w:bookmarkStart w:id="236" w:name="_Toc148413300"/>
      <w:bookmarkStart w:id="237" w:name="_Toc134852021"/>
      <w:bookmarkStart w:id="238" w:name="_Toc148780238"/>
      <w:bookmarkStart w:id="239" w:name="_Toc187729580"/>
      <w:bookmarkStart w:id="240" w:name="_Toc163530302"/>
      <w:bookmarkStart w:id="241" w:name="_Toc201401384"/>
      <w:bookmarkStart w:id="242" w:name="_Toc135666628"/>
      <w:bookmarkStart w:id="243" w:name="_Toc201997835"/>
      <w:bookmarkStart w:id="244" w:name="_Toc148954464"/>
      <w:bookmarkStart w:id="245" w:name="_Toc148779952"/>
      <w:bookmarkStart w:id="246" w:name="_Toc148778157"/>
      <w:bookmarkStart w:id="247" w:name="_Toc98817934"/>
      <w:r>
        <w:rPr>
          <w:rFonts w:hint="eastAsia"/>
        </w:rPr>
        <w:t>24． 投标文件的密封、标记</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rPr>
        <w:t>和装订</w:t>
      </w:r>
    </w:p>
    <w:p>
      <w:pPr>
        <w:widowControl w:val="0"/>
        <w:shd w:val="clear" w:color="auto" w:fill="auto"/>
        <w:tabs>
          <w:tab w:val="clear" w:pos="426"/>
        </w:tabs>
        <w:autoSpaceDE w:val="0"/>
        <w:autoSpaceDN w:val="0"/>
        <w:rPr>
          <w:rFonts w:cs="黑体"/>
          <w:bCs/>
          <w:szCs w:val="21"/>
        </w:rPr>
      </w:pPr>
      <w:r>
        <w:rPr>
          <w:rFonts w:hint="eastAsia"/>
        </w:rPr>
        <w:t xml:space="preserve">24.1 </w:t>
      </w:r>
      <w:r>
        <w:rPr>
          <w:rFonts w:hint="eastAsia" w:cs="黑体"/>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rPr>
      </w:pPr>
      <w: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pPr>
      <w:r>
        <w:rPr>
          <w:rFonts w:hint="eastAsia"/>
        </w:rPr>
        <w:t xml:space="preserve">投标文件 </w:t>
      </w:r>
    </w:p>
    <w:p>
      <w:pPr>
        <w:tabs>
          <w:tab w:val="clear" w:pos="426"/>
        </w:tabs>
      </w:pPr>
      <w:r>
        <w:rPr>
          <w:rFonts w:hint="eastAsia"/>
        </w:rPr>
        <w:t>招标项目编号：</w:t>
      </w:r>
    </w:p>
    <w:p>
      <w:pPr>
        <w:tabs>
          <w:tab w:val="clear" w:pos="426"/>
        </w:tabs>
      </w:pPr>
      <w:r>
        <w:rPr>
          <w:rFonts w:hint="eastAsia"/>
        </w:rPr>
        <w:t>项目名称：</w:t>
      </w:r>
    </w:p>
    <w:p>
      <w:pPr>
        <w:tabs>
          <w:tab w:val="clear" w:pos="426"/>
        </w:tabs>
      </w:pPr>
      <w:r>
        <w:rPr>
          <w:rFonts w:hint="eastAsia"/>
        </w:rPr>
        <w:t>投标人名称（盖章）：</w:t>
      </w:r>
    </w:p>
    <w:p>
      <w:pPr>
        <w:tabs>
          <w:tab w:val="clear" w:pos="426"/>
        </w:tabs>
      </w:pPr>
      <w:r>
        <w:rPr>
          <w:rFonts w:hint="eastAsia"/>
        </w:rPr>
        <w:t>投标截止时间：</w:t>
      </w:r>
      <w:r>
        <w:rPr>
          <w:rFonts w:hint="eastAsia"/>
          <w:u w:val="single"/>
        </w:rPr>
        <w:t xml:space="preserve">       年      月      日      时      分（前不得开封）</w:t>
      </w:r>
      <w:r>
        <w:rPr>
          <w:rFonts w:hint="eastAsia"/>
        </w:rPr>
        <w:t>。</w:t>
      </w:r>
    </w:p>
    <w:p>
      <w:pPr>
        <w:tabs>
          <w:tab w:val="clear" w:pos="426"/>
        </w:tabs>
      </w:pPr>
      <w:r>
        <w:rPr>
          <w:rFonts w:hint="eastAsia"/>
        </w:rPr>
        <w:t>24.3  所有投标文件的密封袋的封口处均应加盖投标人公章。</w:t>
      </w:r>
    </w:p>
    <w:p>
      <w:pPr>
        <w:tabs>
          <w:tab w:val="clear" w:pos="426"/>
        </w:tabs>
      </w:pPr>
      <w:r>
        <w:rPr>
          <w:rFonts w:hint="eastAsia"/>
        </w:rPr>
        <w:t>24.4  对于因标书标识不清、装订不牢、密封不严等导致的不利后果由该投标人自负。</w:t>
      </w:r>
    </w:p>
    <w:p>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投标方应将投标文件按24.1-24.2中的规定进行密封和标记后，按专用条款中采购公告注明的地址送至采购代理机构。</w:t>
      </w:r>
    </w:p>
    <w:p>
      <w:pPr>
        <w:tabs>
          <w:tab w:val="clear" w:pos="426"/>
        </w:tabs>
        <w:rPr>
          <w:color w:val="000000"/>
          <w:szCs w:val="21"/>
        </w:rPr>
      </w:pPr>
      <w:r>
        <w:rPr>
          <w:rFonts w:hint="eastAsia"/>
          <w:color w:val="000000"/>
          <w:szCs w:val="21"/>
        </w:rPr>
        <w:t>24.6  邮寄、电报、电话、传真形式的投标概不接受。</w:t>
      </w:r>
    </w:p>
    <w:p>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szCs w:val="21"/>
        </w:rPr>
      </w:pPr>
      <w:r>
        <w:rPr>
          <w:rFonts w:hint="eastAsia"/>
          <w:color w:val="000000"/>
          <w:szCs w:val="21"/>
        </w:rPr>
        <w:t>25． 投标截止时间</w:t>
      </w:r>
    </w:p>
    <w:p>
      <w:pPr>
        <w:tabs>
          <w:tab w:val="clear" w:pos="426"/>
        </w:tabs>
        <w:ind w:firstLine="424" w:firstLineChars="202"/>
        <w:rPr>
          <w:szCs w:val="21"/>
        </w:rPr>
      </w:pPr>
      <w:r>
        <w:rPr>
          <w:rFonts w:hint="eastAsia"/>
          <w:szCs w:val="21"/>
        </w:rPr>
        <w:t>采购代理机构在投标人须知第24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pPr>
        <w:tabs>
          <w:tab w:val="clear" w:pos="426"/>
        </w:tabs>
        <w:rPr>
          <w:color w:val="000000"/>
          <w:szCs w:val="21"/>
        </w:rPr>
      </w:pPr>
      <w:r>
        <w:rPr>
          <w:rFonts w:hint="eastAsia"/>
          <w:color w:val="000000"/>
          <w:szCs w:val="21"/>
        </w:rPr>
        <w:t>26．迟交的投标书</w:t>
      </w:r>
    </w:p>
    <w:p>
      <w:pPr>
        <w:tabs>
          <w:tab w:val="clear" w:pos="426"/>
        </w:tabs>
        <w:ind w:firstLine="424" w:firstLineChars="202"/>
        <w:rPr>
          <w:color w:val="000000"/>
          <w:szCs w:val="21"/>
        </w:rPr>
      </w:pPr>
      <w:r>
        <w:rPr>
          <w:rFonts w:hint="eastAsia"/>
          <w:color w:val="000000"/>
          <w:szCs w:val="21"/>
        </w:rPr>
        <w:t>按照本通用条款第25条规定，采购代理机构将拒绝并原封退回在其规定的投标截止期后收到的任何投标书。</w:t>
      </w:r>
    </w:p>
    <w:p>
      <w:pPr>
        <w:tabs>
          <w:tab w:val="clear" w:pos="426"/>
        </w:tabs>
      </w:pPr>
      <w:r>
        <w:rPr>
          <w:rFonts w:hint="eastAsia"/>
        </w:rPr>
        <w:t>27． 投标文件的提交和截标时投标文件的数量要求</w:t>
      </w:r>
    </w:p>
    <w:p>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pPr>
        <w:tabs>
          <w:tab w:val="clear" w:pos="426"/>
        </w:tabs>
      </w:pPr>
      <w:bookmarkStart w:id="248" w:name="_Toc187729583"/>
      <w:bookmarkStart w:id="249" w:name="_Toc188869283"/>
      <w:bookmarkStart w:id="250" w:name="_Toc157847823"/>
      <w:bookmarkStart w:id="251" w:name="_Toc148780241"/>
      <w:bookmarkStart w:id="252" w:name="_Toc163530305"/>
      <w:bookmarkStart w:id="253" w:name="_Toc148954862"/>
      <w:bookmarkStart w:id="254" w:name="_Toc148778160"/>
      <w:bookmarkStart w:id="255" w:name="_Toc148413303"/>
      <w:bookmarkStart w:id="256" w:name="_Toc148954467"/>
      <w:bookmarkStart w:id="257" w:name="_Toc143658458"/>
      <w:bookmarkStart w:id="258" w:name="_Toc148779955"/>
      <w:bookmarkStart w:id="259" w:name="_Toc148329804"/>
      <w:bookmarkStart w:id="260" w:name="_Toc135666818"/>
      <w:bookmarkStart w:id="261" w:name="_Toc201401386"/>
      <w:bookmarkStart w:id="262" w:name="_Toc201401578"/>
      <w:bookmarkStart w:id="263" w:name="_Toc201997837"/>
      <w:bookmarkStart w:id="264" w:name="_Toc135666631"/>
      <w:bookmarkStart w:id="265" w:name="_Toc98817937"/>
      <w:bookmarkStart w:id="266" w:name="_Toc134852024"/>
      <w:r>
        <w:rPr>
          <w:rFonts w:hint="eastAsia"/>
        </w:rPr>
        <w:t>28．  投标文件的修改或撤回</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pPr>
        <w:tabs>
          <w:tab w:val="clear" w:pos="426"/>
        </w:tabs>
      </w:pPr>
      <w:r>
        <w:rPr>
          <w:rFonts w:hint="eastAsia"/>
        </w:rPr>
        <w:t>28.2  采购代理机构收到由投标人代表签名的修改或撤回的书面通知并确认后，投标人可对其投标文件进行修改，或是撤回其投标。</w:t>
      </w:r>
    </w:p>
    <w:p>
      <w:pPr>
        <w:tabs>
          <w:tab w:val="clear" w:pos="426"/>
        </w:tabs>
      </w:pPr>
      <w:bookmarkStart w:id="267" w:name="_Toc188869284"/>
      <w:r>
        <w:rPr>
          <w:rFonts w:hint="eastAsia"/>
        </w:rPr>
        <w:t>28.3  投标人的修改文件应按照本招标文件的规定进行编制、密封、标记和提交，并在密封袋上注明“投标修改”。</w:t>
      </w:r>
    </w:p>
    <w:p>
      <w:pPr>
        <w:tabs>
          <w:tab w:val="clear" w:pos="426"/>
        </w:tabs>
      </w:pPr>
      <w:r>
        <w:rPr>
          <w:rFonts w:hint="eastAsia"/>
        </w:rPr>
        <w:t>28.4  投标截止时间之后至投标文件有效期终止之前，投标人不得要求撤回其投标。在此期间撤回投标的，其投标担保将会被没收。</w:t>
      </w:r>
    </w:p>
    <w:p>
      <w:pPr>
        <w:tabs>
          <w:tab w:val="clear" w:pos="426"/>
        </w:tabs>
      </w:pPr>
      <w:r>
        <w:rPr>
          <w:rFonts w:hint="eastAsia"/>
        </w:rPr>
        <w:t>28.5  评标结束后，不论中标与否，投标人均不得收回投标文件。</w:t>
      </w:r>
    </w:p>
    <w:bookmarkEnd w:id="267"/>
    <w:p>
      <w:pPr>
        <w:pStyle w:val="6"/>
        <w:tabs>
          <w:tab w:val="clear" w:pos="426"/>
        </w:tabs>
      </w:pPr>
      <w:bookmarkStart w:id="268" w:name="_Toc432592824"/>
      <w:bookmarkStart w:id="269" w:name="_Toc398220532"/>
      <w:bookmarkStart w:id="270" w:name="_Toc5875397"/>
      <w:r>
        <w:rPr>
          <w:rFonts w:hint="eastAsia"/>
        </w:rPr>
        <w:t>第四章 开标</w:t>
      </w:r>
      <w:bookmarkEnd w:id="223"/>
      <w:bookmarkEnd w:id="224"/>
      <w:bookmarkEnd w:id="225"/>
      <w:bookmarkEnd w:id="226"/>
      <w:bookmarkEnd w:id="227"/>
      <w:bookmarkEnd w:id="228"/>
      <w:bookmarkEnd w:id="268"/>
      <w:bookmarkEnd w:id="269"/>
      <w:bookmarkEnd w:id="270"/>
    </w:p>
    <w:p>
      <w:pPr>
        <w:tabs>
          <w:tab w:val="clear" w:pos="426"/>
        </w:tabs>
      </w:pPr>
      <w:bookmarkStart w:id="271" w:name="_Toc201401388"/>
      <w:bookmarkStart w:id="272" w:name="_Toc201401580"/>
      <w:bookmarkStart w:id="273" w:name="_Toc201997841"/>
      <w:bookmarkStart w:id="274" w:name="_Toc135666820"/>
      <w:bookmarkStart w:id="275" w:name="_Toc148329806"/>
      <w:bookmarkStart w:id="276" w:name="_Toc148413305"/>
      <w:bookmarkStart w:id="277" w:name="_Toc148778162"/>
      <w:bookmarkStart w:id="278" w:name="_Toc148779957"/>
      <w:bookmarkStart w:id="279" w:name="_Toc148780243"/>
      <w:bookmarkStart w:id="280" w:name="_Toc148954469"/>
      <w:bookmarkStart w:id="281" w:name="_Toc148954864"/>
      <w:bookmarkStart w:id="282" w:name="_Toc143658460"/>
      <w:bookmarkStart w:id="283" w:name="_Toc157847825"/>
      <w:bookmarkStart w:id="284" w:name="_Toc163530307"/>
      <w:bookmarkStart w:id="285" w:name="_Toc187729585"/>
      <w:bookmarkStart w:id="286" w:name="_Toc188869286"/>
      <w:bookmarkStart w:id="287" w:name="_Toc98817939"/>
      <w:bookmarkStart w:id="288" w:name="_Toc134852027"/>
      <w:bookmarkStart w:id="289" w:name="_Toc135666633"/>
      <w:bookmarkStart w:id="290" w:name="_Toc73517668"/>
      <w:bookmarkStart w:id="291" w:name="_Toc73518146"/>
      <w:bookmarkStart w:id="292" w:name="_Toc73521576"/>
      <w:bookmarkStart w:id="293" w:name="_Toc73521664"/>
      <w:bookmarkStart w:id="294" w:name="_Toc100052393"/>
      <w:bookmarkStart w:id="295" w:name="_Toc101074882"/>
      <w:r>
        <w:rPr>
          <w:rFonts w:hint="eastAsia"/>
        </w:rPr>
        <w:t>29．　开标</w:t>
      </w:r>
      <w:bookmarkEnd w:id="271"/>
      <w:bookmarkEnd w:id="272"/>
      <w:bookmarkEnd w:id="273"/>
    </w:p>
    <w:p>
      <w:pPr>
        <w:tabs>
          <w:tab w:val="clear" w:pos="426"/>
        </w:tabs>
      </w:pPr>
      <w:bookmarkStart w:id="296" w:name="_Toc201401389"/>
      <w:bookmarkStart w:id="297" w:name="_Toc201401581"/>
      <w:bookmarkStart w:id="298" w:name="_Toc201997842"/>
      <w:r>
        <w:rPr>
          <w:rFonts w:hint="eastAsia"/>
        </w:rPr>
        <w:t>29.1  采购人在“投标须知前附表”中规定的时间、地点组织公开开标。邀请所有投标人代表参加。不参加开标会的投标人，视为其认可开标程序和结果。</w:t>
      </w:r>
      <w:bookmarkEnd w:id="296"/>
      <w:bookmarkEnd w:id="297"/>
      <w:bookmarkEnd w:id="298"/>
    </w:p>
    <w:p>
      <w:pPr>
        <w:tabs>
          <w:tab w:val="clear" w:pos="426"/>
        </w:tabs>
      </w:pPr>
      <w:bookmarkStart w:id="299" w:name="_Toc201401390"/>
      <w:bookmarkStart w:id="300" w:name="_Toc201401582"/>
      <w:bookmarkStart w:id="301" w:name="_Toc201997843"/>
      <w:r>
        <w:rPr>
          <w:rFonts w:hint="eastAsia"/>
        </w:rPr>
        <w:t>29.2  参加开标会议的投标人只委派一名代表，且必须是本单位法定代表人或授权代表，参加会议人员须提供相应的授权委托书。</w:t>
      </w:r>
    </w:p>
    <w:bookmarkEnd w:id="299"/>
    <w:bookmarkEnd w:id="300"/>
    <w:bookmarkEnd w:id="301"/>
    <w:p>
      <w:pPr>
        <w:tabs>
          <w:tab w:val="clear" w:pos="426"/>
        </w:tabs>
      </w:pPr>
      <w:r>
        <w:rPr>
          <w:rFonts w:hint="eastAsia"/>
        </w:rPr>
        <w:t>29.3  开标会由采购代理机构主持，开标程序如下：</w:t>
      </w:r>
    </w:p>
    <w:p>
      <w:pPr>
        <w:tabs>
          <w:tab w:val="clear" w:pos="426"/>
        </w:tabs>
      </w:pPr>
      <w:r>
        <w:rPr>
          <w:rFonts w:hint="eastAsia"/>
        </w:rPr>
        <w:t xml:space="preserve">29.3.1  采购代理机构核对法人代表或其授权代表身份证明，若不能提供相应的身份证明或不相符，则不能参与开标会议； </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Pr>
        <w:tabs>
          <w:tab w:val="clear" w:pos="426"/>
        </w:tabs>
        <w:rPr>
          <w:color w:val="000000"/>
          <w:szCs w:val="21"/>
        </w:rPr>
      </w:pPr>
      <w:r>
        <w:rPr>
          <w:rFonts w:hint="eastAsia"/>
          <w:color w:val="000000"/>
          <w:szCs w:val="21"/>
        </w:rPr>
        <w:t>29.3.2  采购代理机构将按“采购公告”规定的时间和地点组织公开开标。投标人应委派代表参加，参加开标的代表应签名报到以证明出席。</w:t>
      </w:r>
    </w:p>
    <w:p>
      <w:pPr>
        <w:tabs>
          <w:tab w:val="clear" w:pos="426"/>
        </w:tabs>
        <w:rPr>
          <w:color w:val="000000"/>
          <w:szCs w:val="21"/>
        </w:rPr>
      </w:pPr>
      <w:r>
        <w:rPr>
          <w:rFonts w:hint="eastAsia"/>
          <w:color w:val="000000"/>
          <w:szCs w:val="21"/>
        </w:rPr>
        <w:t>29.3.3  开标时，采购代理机构将当众宣读投标人名称、修改和撤回投标的通知、开标一览表（以招标文件规定的开标一览表内容为准）。投标文件中开标一览表内容与投标报价明细表内容不一致的，以开标一览表为准。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rPr>
      </w:pPr>
      <w:r>
        <w:rPr>
          <w:rFonts w:hint="eastAsia"/>
          <w:color w:val="000000"/>
          <w:szCs w:val="21"/>
        </w:rPr>
        <w:t>除了按照本通用条款第26条规定原封退回的投标之外，开标时将不得拒绝任何投标书。</w:t>
      </w:r>
    </w:p>
    <w:p>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.4 开标时，采购代理机构仅拆封开标信封。如投标人未单独密封包装开标信封，采购代理机构有权拆封投标文件。</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3.5按照投标人须知第</w:t>
      </w:r>
      <w:r>
        <w:rPr>
          <w:color w:val="000000"/>
          <w:szCs w:val="21"/>
        </w:rPr>
        <w:t>2</w:t>
      </w:r>
      <w:r>
        <w:rPr>
          <w:rFonts w:hint="eastAsia"/>
          <w:color w:val="000000"/>
          <w:szCs w:val="21"/>
        </w:rPr>
        <w:t>8条规定，提交了可接受的“撤回”通知的投标将不予开封。</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3.6 无论如何在开标时没有启封和读出的投标书在评标时将不予考虑。撤回的投标书将原封退回投标人。</w:t>
      </w:r>
    </w:p>
    <w:p>
      <w:pPr>
        <w:tabs>
          <w:tab w:val="clear" w:pos="426"/>
        </w:tabs>
        <w:rPr>
          <w:color w:val="000000"/>
          <w:szCs w:val="21"/>
        </w:rPr>
      </w:pPr>
      <w:r>
        <w:rPr>
          <w:color w:val="000000"/>
          <w:szCs w:val="21"/>
        </w:rPr>
        <w:t>2</w:t>
      </w:r>
      <w:r>
        <w:rPr>
          <w:rFonts w:hint="eastAsia"/>
          <w:color w:val="000000"/>
          <w:szCs w:val="21"/>
        </w:rPr>
        <w:t>9.3.7采购代理机构将做开标记录，开标记录包括按本通用条款第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pPr>
        <w:tabs>
          <w:tab w:val="clear" w:pos="426"/>
        </w:tabs>
      </w:pPr>
      <w:r>
        <w:rPr>
          <w:rFonts w:hint="eastAsia"/>
        </w:rPr>
        <w:t>29.3.8  供应商在开标过程中知道或者应知其权益受到损害时必须现场明确提出，未明确提出的，即视为认可开标结果。</w:t>
      </w:r>
    </w:p>
    <w:p>
      <w:pPr>
        <w:pStyle w:val="6"/>
        <w:tabs>
          <w:tab w:val="clear" w:pos="426"/>
        </w:tabs>
      </w:pPr>
      <w:bookmarkStart w:id="302" w:name="_Toc5875398"/>
      <w:bookmarkStart w:id="303" w:name="_Toc432592825"/>
      <w:bookmarkStart w:id="304" w:name="_Toc398220533"/>
      <w:r>
        <w:rPr>
          <w:rFonts w:hint="eastAsia"/>
        </w:rPr>
        <w:t>第五章 评标</w:t>
      </w:r>
      <w:bookmarkEnd w:id="290"/>
      <w:bookmarkEnd w:id="291"/>
      <w:bookmarkEnd w:id="292"/>
      <w:bookmarkEnd w:id="293"/>
      <w:r>
        <w:rPr>
          <w:rFonts w:hint="eastAsia"/>
        </w:rPr>
        <w:t>要求</w:t>
      </w:r>
      <w:bookmarkEnd w:id="294"/>
      <w:bookmarkEnd w:id="295"/>
      <w:bookmarkEnd w:id="302"/>
      <w:bookmarkEnd w:id="303"/>
      <w:bookmarkEnd w:id="304"/>
    </w:p>
    <w:p>
      <w:pPr>
        <w:tabs>
          <w:tab w:val="clear" w:pos="426"/>
        </w:tabs>
      </w:pPr>
      <w:bookmarkStart w:id="305" w:name="bt评标会议"/>
      <w:bookmarkEnd w:id="305"/>
      <w:bookmarkStart w:id="306" w:name="_Toc73517669"/>
      <w:bookmarkStart w:id="307" w:name="_Toc73518147"/>
      <w:bookmarkStart w:id="308" w:name="_Toc73521577"/>
      <w:bookmarkStart w:id="309" w:name="_Toc73521665"/>
      <w:bookmarkStart w:id="310" w:name="_Toc100052394"/>
      <w:r>
        <w:rPr>
          <w:rFonts w:hint="eastAsia"/>
        </w:rPr>
        <w:t>30．评标委员会组成</w:t>
      </w:r>
    </w:p>
    <w:p>
      <w:pPr>
        <w:tabs>
          <w:tab w:val="clear" w:pos="426"/>
        </w:tabs>
      </w:pPr>
      <w:r>
        <w:rPr>
          <w:rFonts w:hint="eastAsia"/>
        </w:rPr>
        <w:t>30.1开标结束后召开评标会议，评标委员会由采购代理机构依法组建，负责评标活动。</w:t>
      </w:r>
    </w:p>
    <w:p>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pPr>
        <w:tabs>
          <w:tab w:val="clear" w:pos="426"/>
        </w:tabs>
      </w:pPr>
      <w:r>
        <w:rPr>
          <w:rFonts w:hint="eastAsia"/>
        </w:rPr>
        <w:t>30.2评标定标应当遵循公平、公正、科学、择优的原则。</w:t>
      </w:r>
    </w:p>
    <w:p>
      <w:pPr>
        <w:tabs>
          <w:tab w:val="clear" w:pos="426"/>
        </w:tabs>
      </w:pPr>
      <w:r>
        <w:rPr>
          <w:rFonts w:hint="eastAsia"/>
        </w:rPr>
        <w:t>30.3评标活动依法进行，任何单位和个人不得非法干预评标过程和结果。</w:t>
      </w:r>
    </w:p>
    <w:p>
      <w:pPr>
        <w:tabs>
          <w:tab w:val="clear" w:pos="426"/>
        </w:tabs>
      </w:pPr>
      <w:r>
        <w:rPr>
          <w:rFonts w:hint="eastAsia"/>
        </w:rPr>
        <w:t>30.4评标过程中不允许违背评标程序或采用招标文件未载明的评标方法或评标因素进行评标。</w:t>
      </w:r>
    </w:p>
    <w:p>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pPr>
        <w:tabs>
          <w:tab w:val="clear" w:pos="426"/>
        </w:tabs>
      </w:pPr>
      <w:r>
        <w:rPr>
          <w:rFonts w:hint="eastAsia"/>
        </w:rPr>
        <w:t>31．向评标委员会提供的资料</w:t>
      </w:r>
    </w:p>
    <w:p>
      <w:pPr>
        <w:tabs>
          <w:tab w:val="clear" w:pos="426"/>
        </w:tabs>
      </w:pPr>
      <w:r>
        <w:rPr>
          <w:rFonts w:hint="eastAsia"/>
        </w:rPr>
        <w:t>31.1公开发布的招标文件，包括图纸、服务清单、答疑文件等；</w:t>
      </w:r>
    </w:p>
    <w:p>
      <w:pPr>
        <w:tabs>
          <w:tab w:val="clear" w:pos="426"/>
        </w:tabs>
      </w:pPr>
      <w:r>
        <w:rPr>
          <w:rFonts w:hint="eastAsia"/>
        </w:rPr>
        <w:t>31.2其他评标必须的资料。</w:t>
      </w:r>
    </w:p>
    <w:p>
      <w:pPr>
        <w:tabs>
          <w:tab w:val="clear" w:pos="426"/>
        </w:tabs>
      </w:pPr>
      <w:r>
        <w:rPr>
          <w:rFonts w:hint="eastAsia"/>
        </w:rPr>
        <w:t>31.3评标委员会应当认真研究招标文件，至少应了解熟悉以下内容：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（3）招标文件规定的投标人的资格、财政预算限额、商务条款；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End w:id="306"/>
      <w:bookmarkEnd w:id="307"/>
      <w:bookmarkEnd w:id="308"/>
      <w:bookmarkEnd w:id="309"/>
      <w:bookmarkEnd w:id="310"/>
      <w:bookmarkStart w:id="311" w:name="bt评标过程的保密"/>
      <w:bookmarkEnd w:id="311"/>
      <w:bookmarkStart w:id="312" w:name="bt错误的修正"/>
      <w:bookmarkEnd w:id="312"/>
    </w:p>
    <w:p>
      <w:pPr>
        <w:pStyle w:val="6"/>
        <w:tabs>
          <w:tab w:val="clear" w:pos="426"/>
        </w:tabs>
      </w:pPr>
      <w:bookmarkStart w:id="313" w:name="_Toc100052397"/>
      <w:bookmarkStart w:id="314" w:name="_Toc101074883"/>
      <w:bookmarkStart w:id="315" w:name="_Toc398220534"/>
      <w:bookmarkStart w:id="316" w:name="_Toc432592826"/>
      <w:bookmarkStart w:id="317" w:name="_Toc5875399"/>
      <w:r>
        <w:rPr>
          <w:rFonts w:hint="eastAsia"/>
        </w:rPr>
        <w:t>第六章 评标程序</w:t>
      </w:r>
      <w:bookmarkStart w:id="318" w:name="bt投标文件的审查"/>
      <w:bookmarkEnd w:id="318"/>
      <w:bookmarkStart w:id="319" w:name="_Toc73517671"/>
      <w:bookmarkStart w:id="320" w:name="_Toc73518149"/>
      <w:bookmarkStart w:id="321" w:name="_Toc73521579"/>
      <w:bookmarkStart w:id="322" w:name="_Toc73521667"/>
      <w:r>
        <w:rPr>
          <w:rFonts w:hint="eastAsia"/>
        </w:rPr>
        <w:t>及评标方法</w:t>
      </w:r>
      <w:bookmarkEnd w:id="313"/>
      <w:bookmarkEnd w:id="314"/>
      <w:bookmarkEnd w:id="315"/>
      <w:bookmarkEnd w:id="316"/>
      <w:bookmarkEnd w:id="317"/>
    </w:p>
    <w:p>
      <w:pPr>
        <w:tabs>
          <w:tab w:val="clear" w:pos="426"/>
        </w:tabs>
      </w:pPr>
      <w:bookmarkStart w:id="323" w:name="_Toc100052398"/>
      <w:r>
        <w:rPr>
          <w:rFonts w:hint="eastAsia"/>
        </w:rPr>
        <w:t>33．投标文件初审</w:t>
      </w:r>
      <w:bookmarkEnd w:id="323"/>
    </w:p>
    <w:bookmarkEnd w:id="319"/>
    <w:bookmarkEnd w:id="320"/>
    <w:bookmarkEnd w:id="321"/>
    <w:bookmarkEnd w:id="322"/>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pPr>
        <w:tabs>
          <w:tab w:val="clear" w:pos="426"/>
        </w:tabs>
      </w:pPr>
      <w:r>
        <w:t>33.3 投标文件初审中关于供应商家数的计算</w:t>
      </w:r>
    </w:p>
    <w:p>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pPr>
      <w:r>
        <w:t>33.3.4公开招标以外采购方式以及政府采购服务和工程涉及采购货物的项目，也按此方法计算供应商家数。</w:t>
      </w:r>
    </w:p>
    <w:p>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bookmarkStart w:id="324" w:name="_Toc100052399"/>
      <w:r>
        <w:rPr>
          <w:rFonts w:hint="eastAsia"/>
        </w:rPr>
        <w:t>34．澄清有关问题</w:t>
      </w:r>
      <w:bookmarkEnd w:id="324"/>
    </w:p>
    <w:p>
      <w:pPr>
        <w:tabs>
          <w:tab w:val="clear" w:pos="426"/>
        </w:tabs>
      </w:pPr>
      <w:bookmarkStart w:id="325" w:name="bt投标文件的澄清"/>
      <w:bookmarkEnd w:id="325"/>
      <w:bookmarkStart w:id="326" w:name="bt废标"/>
      <w:bookmarkEnd w:id="326"/>
      <w:bookmarkStart w:id="327" w:name="bt投标文件的评估和比较"/>
      <w:bookmarkEnd w:id="327"/>
      <w:bookmarkStart w:id="328" w:name="_Toc73518153"/>
      <w:bookmarkStart w:id="329" w:name="_Toc73521583"/>
      <w:bookmarkStart w:id="330" w:name="_Toc73521671"/>
      <w:bookmarkStart w:id="331" w:name="_Toc73517675"/>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pPr>
      <w:bookmarkStart w:id="332" w:name="_Toc73517673"/>
      <w:bookmarkStart w:id="333" w:name="_Toc73518151"/>
      <w:bookmarkStart w:id="334" w:name="_Toc73521581"/>
      <w:bookmarkStart w:id="335" w:name="_Toc73521669"/>
      <w:bookmarkStart w:id="336" w:name="_Toc100052400"/>
      <w:r>
        <w:rPr>
          <w:rFonts w:hint="eastAsia"/>
        </w:rPr>
        <w:t>35．错误的修正</w:t>
      </w:r>
      <w:bookmarkEnd w:id="332"/>
      <w:bookmarkEnd w:id="333"/>
      <w:bookmarkEnd w:id="334"/>
      <w:bookmarkEnd w:id="335"/>
      <w:bookmarkEnd w:id="336"/>
    </w:p>
    <w:p>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pPr>
        <w:tabs>
          <w:tab w:val="clear" w:pos="426"/>
        </w:tabs>
      </w:pPr>
      <w:r>
        <w:rPr>
          <w:rFonts w:hint="eastAsia"/>
        </w:rPr>
        <w:t>35.2  算术错误将按以下方法更正（次序排先者优先）：</w:t>
      </w:r>
    </w:p>
    <w:p>
      <w:pPr>
        <w:tabs>
          <w:tab w:val="clear" w:pos="426"/>
        </w:tabs>
      </w:pPr>
      <w:r>
        <w:rPr>
          <w:rFonts w:hint="eastAsia"/>
        </w:rPr>
        <w:t>35.2.1投标文件中开标一览表（报价表）内容与投标文件中相应内容不一致的，以开标一览表（报价表）为准；</w:t>
      </w:r>
    </w:p>
    <w:p>
      <w:pPr>
        <w:tabs>
          <w:tab w:val="clear" w:pos="426"/>
        </w:tabs>
      </w:pPr>
      <w:r>
        <w:rPr>
          <w:rFonts w:hint="eastAsia"/>
        </w:rPr>
        <w:t>35.2.2大写金额和小写金额不一致的，以大写金额为准；</w:t>
      </w:r>
    </w:p>
    <w:p>
      <w:pPr>
        <w:tabs>
          <w:tab w:val="clear" w:pos="426"/>
        </w:tabs>
      </w:pPr>
      <w:r>
        <w:rPr>
          <w:rFonts w:hint="eastAsia"/>
        </w:rPr>
        <w:t>35.2.3单价金额小数点或者百分比有明显错位的，以开标一览表的总价为准，并修改单价；</w:t>
      </w:r>
    </w:p>
    <w:p>
      <w:pPr>
        <w:tabs>
          <w:tab w:val="clear" w:pos="426"/>
        </w:tabs>
      </w:pPr>
      <w:r>
        <w:rPr>
          <w:rFonts w:hint="eastAsia"/>
        </w:rPr>
        <w:t>35.2.4总价金额与按单价汇总金额不一致的，以单价金额计算结果为准；</w:t>
      </w:r>
    </w:p>
    <w:p>
      <w:pPr>
        <w:tabs>
          <w:tab w:val="clear" w:pos="426"/>
        </w:tabs>
      </w:pPr>
      <w:r>
        <w:rPr>
          <w:rFonts w:hint="eastAsia"/>
        </w:rPr>
        <w:t>35.2.5 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pPr>
        <w:tabs>
          <w:tab w:val="clear" w:pos="426"/>
        </w:tabs>
      </w:pPr>
      <w:bookmarkStart w:id="337" w:name="_Toc100052401"/>
      <w:r>
        <w:rPr>
          <w:rFonts w:hint="eastAsia"/>
        </w:rPr>
        <w:t>36．投标文件的</w:t>
      </w:r>
      <w:bookmarkEnd w:id="328"/>
      <w:bookmarkEnd w:id="329"/>
      <w:bookmarkEnd w:id="330"/>
      <w:bookmarkEnd w:id="331"/>
      <w:r>
        <w:rPr>
          <w:rFonts w:hint="eastAsia"/>
        </w:rPr>
        <w:t>比较与评价</w:t>
      </w:r>
      <w:bookmarkEnd w:id="337"/>
    </w:p>
    <w:p>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评标委员会应当对投标人的投标文件进行分析和比较。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投标人以他人的名义投标或出现下列串通投标、弄虚作假投标嫌疑的：</w:t>
      </w:r>
    </w:p>
    <w:p>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不同投标人的投标文件错漏之处一致的；</w:t>
      </w:r>
    </w:p>
    <w:p>
      <w:pPr>
        <w:tabs>
          <w:tab w:val="clear" w:pos="426"/>
        </w:tabs>
        <w:rPr>
          <w:kern w:val="10"/>
        </w:rPr>
      </w:pPr>
      <w:r>
        <w:rPr>
          <w:rFonts w:hint="eastAsia"/>
          <w:kern w:val="10"/>
        </w:rPr>
        <w:t xml:space="preserve">36.5.1.3  </w:t>
      </w:r>
      <w:r>
        <w:rPr>
          <w:kern w:val="10"/>
        </w:rPr>
        <w:t>不同投标人的投标报价或者报价组成异常一致或者呈规律性变化的；</w:t>
      </w:r>
    </w:p>
    <w:p>
      <w:pPr>
        <w:tabs>
          <w:tab w:val="clear" w:pos="426"/>
        </w:tabs>
        <w:rPr>
          <w:kern w:val="10"/>
        </w:rPr>
      </w:pPr>
      <w:r>
        <w:rPr>
          <w:rFonts w:hint="eastAsia"/>
          <w:kern w:val="10"/>
        </w:rPr>
        <w:t xml:space="preserve">36.5.1.4  </w:t>
      </w:r>
      <w:r>
        <w:rPr>
          <w:kern w:val="10"/>
        </w:rPr>
        <w:t>不同投标人的投标文件由同一单位或者同一个人编制的；</w:t>
      </w:r>
    </w:p>
    <w:p>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不同投标人的投标文件相互混装的；</w:t>
      </w:r>
    </w:p>
    <w:p>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pPr>
        <w:tabs>
          <w:tab w:val="clear" w:pos="426"/>
        </w:tabs>
        <w:rPr>
          <w:kern w:val="10"/>
        </w:rPr>
      </w:pPr>
      <w:r>
        <w:rPr>
          <w:rFonts w:hint="eastAsia"/>
          <w:kern w:val="10"/>
        </w:rPr>
        <w:t>36.5.1.8  不同投标人聘请同一人为其投标提供技术或者经济咨询服务的，但招标工程本身要求采用专有技术的除外；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pPr>
        <w:tabs>
          <w:tab w:val="clear" w:pos="426"/>
        </w:tabs>
      </w:pPr>
      <w:r>
        <w:rPr>
          <w:rFonts w:hint="eastAsia"/>
        </w:rPr>
        <w:t>37.2若招标文件要求进行现场演示或设备测试的，投标人应做好相应准备。</w:t>
      </w:r>
    </w:p>
    <w:p>
      <w:pPr>
        <w:tabs>
          <w:tab w:val="clear" w:pos="426"/>
        </w:tabs>
      </w:pPr>
      <w:bookmarkStart w:id="338" w:name="_Toc100052402"/>
      <w:r>
        <w:rPr>
          <w:rFonts w:hint="eastAsia"/>
        </w:rPr>
        <w:t>38．评标方法</w:t>
      </w:r>
      <w:bookmarkEnd w:id="338"/>
    </w:p>
    <w:p>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w:t>
      </w:r>
      <w:bookmarkStart w:id="339" w:name="评标方法2"/>
      <w:r>
        <w:rPr>
          <w:rFonts w:hint="eastAsia"/>
        </w:rPr>
        <w:t>最低评标价法</w:t>
      </w:r>
    </w:p>
    <w:p>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pPr>
        <w:tabs>
          <w:tab w:val="clear" w:pos="426"/>
        </w:tabs>
        <w:rPr>
          <w:b/>
        </w:rPr>
      </w:pPr>
      <w:r>
        <w:rPr>
          <w:rFonts w:hint="eastAsia"/>
        </w:rPr>
        <w:t>38.2.2</w:t>
      </w:r>
      <w:bookmarkStart w:id="340" w:name="_Hlk5289489"/>
      <w:r>
        <w:rPr>
          <w:rFonts w:hint="eastAsia"/>
        </w:rPr>
        <w:t>综合评分法</w:t>
      </w:r>
      <w:bookmarkEnd w:id="339"/>
      <w:bookmarkEnd w:id="340"/>
    </w:p>
    <w:p>
      <w:pPr>
        <w:tabs>
          <w:tab w:val="clear" w:pos="426"/>
        </w:tabs>
      </w:pPr>
      <w:bookmarkStart w:id="341" w:name="评标方法3"/>
      <w:r>
        <w:rPr>
          <w:rFonts w:hint="eastAsia"/>
        </w:rPr>
        <w:t>综合评分法是指投标文件满足招标文件全部实质性要求，且按照评审因素的量化指标评审得分最高的投标人为中标候选人的评标方法。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tabs>
          <w:tab w:val="clear" w:pos="426"/>
        </w:tabs>
      </w:pPr>
      <w:bookmarkStart w:id="342" w:name="_Hlk5289498"/>
      <w:r>
        <w:rPr>
          <w:rFonts w:hint="eastAsia"/>
        </w:rPr>
        <w:t>综合评分法是指投标文件满足招标文件全部实质性要求，且按照评审因素的量化指标评审得分排名前列的的投标人为中标候选人的评标方法。</w:t>
      </w:r>
      <w:bookmarkEnd w:id="342"/>
    </w:p>
    <w:p>
      <w:pPr>
        <w:tabs>
          <w:tab w:val="clear" w:pos="426"/>
        </w:tabs>
        <w:rPr>
          <w:color w:val="1D1D1D"/>
          <w:sz w:val="18"/>
          <w:szCs w:val="18"/>
          <w:shd w:val="clear" w:color="auto" w:fill="FFFFFF"/>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pPr>
      <w:r>
        <w:rPr>
          <w:rFonts w:hint="eastAsia"/>
        </w:rPr>
        <w:t>38.3.3最低价法</w:t>
      </w:r>
    </w:p>
    <w:p>
      <w:pPr>
        <w:tabs>
          <w:tab w:val="clear" w:pos="426"/>
        </w:tabs>
      </w:pPr>
      <w:r>
        <w:rPr>
          <w:rFonts w:hint="eastAsia"/>
        </w:rPr>
        <w:t>最低价法是指以价格为主要因素确定候选中标人的评审方法。</w:t>
      </w:r>
    </w:p>
    <w:p>
      <w:pPr>
        <w:tabs>
          <w:tab w:val="clear" w:pos="426"/>
        </w:tabs>
      </w:pPr>
      <w:r>
        <w:rPr>
          <w:rFonts w:hint="eastAsia"/>
        </w:rPr>
        <w:t>38.4本项目采用的评标方法</w:t>
      </w:r>
      <w:bookmarkEnd w:id="341"/>
      <w:r>
        <w:rPr>
          <w:rFonts w:hint="eastAsia"/>
        </w:rPr>
        <w:t>见本项目招标文件专用条款的相关内容。</w:t>
      </w:r>
    </w:p>
    <w:p>
      <w:pPr>
        <w:pStyle w:val="6"/>
        <w:tabs>
          <w:tab w:val="clear" w:pos="426"/>
        </w:tabs>
      </w:pPr>
      <w:bookmarkStart w:id="343" w:name="_Toc432592827"/>
      <w:bookmarkStart w:id="344" w:name="_Toc5875400"/>
      <w:bookmarkStart w:id="345" w:name="_Toc398220535"/>
      <w:r>
        <w:rPr>
          <w:rFonts w:hint="eastAsia"/>
        </w:rPr>
        <w:t>第七章 定标及公示</w:t>
      </w:r>
      <w:bookmarkEnd w:id="343"/>
      <w:bookmarkEnd w:id="344"/>
      <w:bookmarkEnd w:id="345"/>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r>
        <w:rPr>
          <w:rFonts w:hint="eastAsia"/>
          <w:b/>
          <w:szCs w:val="21"/>
        </w:rPr>
        <w:t>得分且投标报价相同的且技术指标或服务方案优劣相同的，</w:t>
      </w:r>
      <w:r>
        <w:rPr>
          <w:rFonts w:cs="Times New Roman"/>
          <w:b/>
          <w:bCs/>
          <w:kern w:val="2"/>
          <w:szCs w:val="21"/>
        </w:rPr>
        <w:t>采取随机抽取方式确定中标人推荐资格</w:t>
      </w:r>
      <w:r>
        <w:rPr>
          <w:rFonts w:hint="eastAsia" w:cs="Times New Roman"/>
          <w:b/>
          <w:bCs/>
          <w:kern w:val="2"/>
          <w:szCs w:val="21"/>
        </w:rPr>
        <w:t>。</w:t>
      </w: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适用评定分离的政府采购项目，采购人应当根据不同的项目选用自定法、抽签法、竞价法或者法律、法规及规章规定的其他定标方法确定中标人。</w:t>
      </w:r>
    </w:p>
    <w:p>
      <w:pPr>
        <w:tabs>
          <w:tab w:val="clear" w:pos="426"/>
        </w:tabs>
      </w:pPr>
      <w:r>
        <w:rPr>
          <w:rFonts w:hint="eastAsia"/>
        </w:rPr>
        <w:t>39</w:t>
      </w:r>
      <w:r>
        <w:t>.</w:t>
      </w:r>
      <w:r>
        <w:rPr>
          <w:rFonts w:hint="eastAsia"/>
        </w:rPr>
        <w:t>3.1自定法是指采购人组织定标委员会，由定标委员会在候选中标人中确定中标人。</w:t>
      </w:r>
    </w:p>
    <w:p>
      <w:pPr>
        <w:tabs>
          <w:tab w:val="clear" w:pos="426"/>
        </w:tabs>
      </w:pPr>
      <w:r>
        <w:rPr>
          <w:rFonts w:hint="eastAsia"/>
        </w:rPr>
        <w:t>39</w:t>
      </w:r>
      <w:r>
        <w:t>.</w:t>
      </w:r>
      <w:r>
        <w:rPr>
          <w:rFonts w:hint="eastAsia"/>
        </w:rPr>
        <w:t>3.2 抽签法是指候选中标人产生后，由采购人委托采购代理机构按照随机抽签的方式在候选中标人中确定中标人。 </w:t>
      </w:r>
    </w:p>
    <w:p>
      <w:pPr>
        <w:tabs>
          <w:tab w:val="clear" w:pos="426"/>
        </w:tabs>
      </w:pPr>
      <w:r>
        <w:rPr>
          <w:rFonts w:hint="eastAsia"/>
        </w:rPr>
        <w:t>39</w:t>
      </w:r>
      <w:r>
        <w:t>.</w:t>
      </w:r>
      <w:r>
        <w:rPr>
          <w:rFonts w:hint="eastAsia"/>
        </w:rPr>
        <w:t>3.3竞价法是指候选中标人产生后，由采购人委托采购代理机构组织候选中标人进行二次竞价，最终报价最低的为中标人</w:t>
      </w:r>
    </w:p>
    <w:p>
      <w:pPr>
        <w:tabs>
          <w:tab w:val="clear" w:pos="426"/>
        </w:tabs>
        <w:rPr>
          <w:color w:val="FF0000"/>
        </w:rPr>
      </w:pPr>
      <w:r>
        <w:rPr>
          <w:rFonts w:hint="eastAsia"/>
        </w:rPr>
        <w:t>39.4本项目采用的定标方法见本项目招标文件专用条款的相关内容。</w:t>
      </w:r>
    </w:p>
    <w:p>
      <w:pPr>
        <w:tabs>
          <w:tab w:val="clear" w:pos="426"/>
        </w:tabs>
      </w:pPr>
      <w:bookmarkStart w:id="346" w:name="_Toc100052404"/>
      <w:r>
        <w:rPr>
          <w:rFonts w:hint="eastAsia"/>
        </w:rPr>
        <w:t>40．编写评标报告</w:t>
      </w:r>
      <w:bookmarkEnd w:id="346"/>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bookmarkStart w:id="347" w:name="_Toc100052405"/>
      <w:bookmarkStart w:id="348" w:name="_Toc73517681"/>
      <w:bookmarkStart w:id="349" w:name="_Toc73518159"/>
      <w:bookmarkStart w:id="350" w:name="_Toc73521588"/>
      <w:bookmarkStart w:id="351" w:name="_Toc73521676"/>
      <w:r>
        <w:rPr>
          <w:rFonts w:hint="eastAsia"/>
        </w:rPr>
        <w:t>41．中标公告</w:t>
      </w:r>
      <w:bookmarkEnd w:id="347"/>
    </w:p>
    <w:p>
      <w:pPr>
        <w:tabs>
          <w:tab w:val="clear" w:pos="426"/>
        </w:tabs>
      </w:pPr>
      <w:r>
        <w:rPr>
          <w:rFonts w:hint="eastAsia"/>
        </w:rPr>
        <w:t>41.1为体现“公开、公平、公正”的原则，评标结束后，采购代理机构将在“深圳政府采购网”（</w:t>
      </w:r>
      <w:r>
        <w:fldChar w:fldCharType="begin"/>
      </w:r>
      <w:r>
        <w:instrText xml:space="preserve"> HYPERLINK "http://www.szfb.gov.cn:8080/" </w:instrText>
      </w:r>
      <w:r>
        <w:fldChar w:fldCharType="separate"/>
      </w:r>
      <w:r>
        <w:rPr>
          <w:color w:val="0000FF"/>
          <w:u w:val="single"/>
        </w:rPr>
        <w:t>http://www.szzfcg.cn/</w:t>
      </w:r>
      <w:r>
        <w:rPr>
          <w:color w:val="0000FF"/>
          <w:u w:val="single"/>
        </w:rPr>
        <w:fldChar w:fldCharType="end"/>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bookmarkStart w:id="352" w:name="_Toc100052406"/>
      <w:r>
        <w:rPr>
          <w:rFonts w:hint="eastAsia"/>
        </w:rPr>
        <w:t>42．中标通知书</w:t>
      </w:r>
      <w:bookmarkEnd w:id="352"/>
    </w:p>
    <w:bookmarkEnd w:id="348"/>
    <w:bookmarkEnd w:id="349"/>
    <w:bookmarkEnd w:id="350"/>
    <w:bookmarkEnd w:id="351"/>
    <w:p>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6"/>
        <w:tabs>
          <w:tab w:val="clear" w:pos="426"/>
        </w:tabs>
      </w:pPr>
      <w:bookmarkStart w:id="353" w:name="bt合同的授予"/>
      <w:bookmarkEnd w:id="353"/>
      <w:bookmarkStart w:id="354" w:name="_Toc432592828"/>
      <w:bookmarkStart w:id="355" w:name="_Toc398220536"/>
      <w:bookmarkStart w:id="356" w:name="_Toc5875401"/>
      <w:bookmarkStart w:id="357" w:name="_Toc73517678"/>
      <w:bookmarkStart w:id="358" w:name="_Toc73518156"/>
      <w:bookmarkStart w:id="359" w:name="_Toc100052407"/>
      <w:bookmarkStart w:id="360" w:name="_Toc101074884"/>
      <w:r>
        <w:rPr>
          <w:rFonts w:hint="eastAsia"/>
        </w:rPr>
        <w:t>第八章 公开招标失败的后续处理</w:t>
      </w:r>
      <w:bookmarkEnd w:id="354"/>
      <w:bookmarkEnd w:id="355"/>
      <w:bookmarkEnd w:id="356"/>
    </w:p>
    <w:p>
      <w:pPr>
        <w:tabs>
          <w:tab w:val="clear" w:pos="426"/>
        </w:tabs>
      </w:pPr>
      <w:r>
        <w:rPr>
          <w:rFonts w:hint="eastAsia"/>
        </w:rPr>
        <w:t>43．公开招标失败的处理</w:t>
      </w:r>
    </w:p>
    <w:p>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pPr>
        <w:tabs>
          <w:tab w:val="clear" w:pos="426"/>
        </w:tabs>
      </w:pPr>
      <w:r>
        <w:rPr>
          <w:rFonts w:hint="eastAsia"/>
        </w:rPr>
        <w:t>43.4公开招标失败的采购项目重新组织公开招标，采购代理机构要重新按公开招标流程发布采购公告和招标文件、组成评标委员会等组织采购活动。</w:t>
      </w:r>
    </w:p>
    <w:p>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44.4.4谈判小组向采购代理机构提交书面评标报告，并推荐中标候选人或确定中标人。</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45.4.2谈判小组向采购代理机构提交书面评标报告，并推荐中标候选人或确定中标人。</w:t>
      </w:r>
    </w:p>
    <w:bookmarkEnd w:id="357"/>
    <w:bookmarkEnd w:id="358"/>
    <w:bookmarkEnd w:id="359"/>
    <w:bookmarkEnd w:id="360"/>
    <w:p>
      <w:pPr>
        <w:pStyle w:val="6"/>
        <w:tabs>
          <w:tab w:val="clear" w:pos="426"/>
        </w:tabs>
        <w:rPr>
          <w:sz w:val="28"/>
          <w:szCs w:val="28"/>
        </w:rPr>
      </w:pPr>
      <w:bookmarkStart w:id="361" w:name="_Toc398220537"/>
      <w:bookmarkStart w:id="362" w:name="_Toc5875402"/>
      <w:bookmarkStart w:id="363" w:name="_Toc432592829"/>
      <w:r>
        <w:rPr>
          <w:rFonts w:hint="eastAsia"/>
        </w:rPr>
        <w:t>第九章 合同的授予与备案</w:t>
      </w:r>
      <w:bookmarkEnd w:id="361"/>
      <w:bookmarkEnd w:id="362"/>
      <w:bookmarkEnd w:id="363"/>
    </w:p>
    <w:p>
      <w:pPr>
        <w:tabs>
          <w:tab w:val="clear" w:pos="426"/>
        </w:tabs>
      </w:pPr>
      <w:bookmarkStart w:id="364" w:name="_33._合同授予标准"/>
      <w:bookmarkEnd w:id="364"/>
      <w:bookmarkStart w:id="365" w:name="_Toc201401407"/>
      <w:bookmarkStart w:id="366" w:name="_Toc201401599"/>
      <w:bookmarkStart w:id="367" w:name="_Toc201997860"/>
      <w:r>
        <w:rPr>
          <w:rFonts w:hint="eastAsia"/>
        </w:rPr>
        <w:t xml:space="preserve">46．  </w:t>
      </w:r>
      <w:bookmarkEnd w:id="365"/>
      <w:bookmarkEnd w:id="366"/>
      <w:r>
        <w:rPr>
          <w:rFonts w:hint="eastAsia"/>
        </w:rPr>
        <w:t>履约担保</w:t>
      </w:r>
      <w:bookmarkEnd w:id="367"/>
    </w:p>
    <w:p>
      <w:pPr>
        <w:tabs>
          <w:tab w:val="clear" w:pos="426"/>
        </w:tabs>
      </w:pPr>
      <w:r>
        <w:rPr>
          <w:rFonts w:hint="eastAsia"/>
        </w:rPr>
        <w:t>46.1  本项目履约担保的相关要求：详见“投标须知前附表”。</w:t>
      </w:r>
    </w:p>
    <w:p>
      <w:pPr>
        <w:tabs>
          <w:tab w:val="clear" w:pos="426"/>
        </w:tabs>
      </w:pPr>
      <w:r>
        <w:rPr>
          <w:rFonts w:hint="eastAsia"/>
        </w:rPr>
        <w:t>46.2  在签订合同前，中标人应按规定向采购人提交履约担保，采用履约保函形式的可参照使用本招标文件提供的格式。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如果中标人拒不提交本节第42.1条、第42.2条要求的履约担保的，采购人可取消其中标资格，并没收其投标担保。</w:t>
      </w:r>
    </w:p>
    <w:p>
      <w:pPr>
        <w:tabs>
          <w:tab w:val="clear" w:pos="426"/>
        </w:tabs>
      </w:pPr>
      <w:bookmarkStart w:id="368" w:name="_Toc201401408"/>
      <w:bookmarkStart w:id="369" w:name="_Toc201997862"/>
      <w:bookmarkStart w:id="370" w:name="_Toc201401600"/>
      <w:r>
        <w:rPr>
          <w:rFonts w:hint="eastAsia"/>
        </w:rPr>
        <w:t>47．  签订合同</w:t>
      </w:r>
      <w:bookmarkEnd w:id="368"/>
      <w:bookmarkEnd w:id="369"/>
      <w:bookmarkEnd w:id="370"/>
    </w:p>
    <w:p>
      <w:pPr>
        <w:tabs>
          <w:tab w:val="clear" w:pos="426"/>
        </w:tabs>
      </w:pPr>
      <w:r>
        <w:rPr>
          <w:rFonts w:hint="eastAsia"/>
        </w:rPr>
        <w:t>47.1  采购人和中标人应当按“投标须知前附表”的规定，依据招标文件和中标人的投标文件订立书面合同。</w:t>
      </w:r>
    </w:p>
    <w:p>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6"/>
        <w:tabs>
          <w:tab w:val="clear" w:pos="426"/>
        </w:tabs>
      </w:pPr>
      <w:bookmarkStart w:id="371" w:name="_Toc432592830"/>
      <w:bookmarkStart w:id="372" w:name="_Toc398220538"/>
      <w:bookmarkStart w:id="373" w:name="_Toc5875403"/>
      <w:r>
        <w:rPr>
          <w:rFonts w:hint="eastAsia"/>
        </w:rPr>
        <w:t>第十章 质疑受理</w:t>
      </w:r>
      <w:bookmarkEnd w:id="371"/>
      <w:bookmarkEnd w:id="372"/>
      <w:bookmarkEnd w:id="373"/>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52.4采购代理机构原则上在质疑受理之日起十个工作日内书面答复质疑供应商。答复函以直接领取、传真或邮寄方式送达。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bookmarkStart w:id="374" w:name="_Toc201401601"/>
      <w:bookmarkStart w:id="375" w:name="_Toc201997863"/>
      <w:bookmarkStart w:id="376" w:name="_Toc201401409"/>
      <w:r>
        <w:rPr>
          <w:rFonts w:hint="eastAsia"/>
        </w:rPr>
        <w:t xml:space="preserve">54．  </w:t>
      </w:r>
      <w:r>
        <w:rPr>
          <w:rFonts w:hint="eastAsia"/>
          <w:b/>
        </w:rPr>
        <w:t>其他</w:t>
      </w:r>
      <w:bookmarkEnd w:id="374"/>
      <w:bookmarkEnd w:id="375"/>
      <w:bookmarkEnd w:id="376"/>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tabs>
          <w:tab w:val="clear" w:pos="426"/>
        </w:tabs>
      </w:pPr>
      <w:r>
        <w:rPr>
          <w:rFonts w:hint="eastAsia"/>
        </w:rPr>
        <w:t>54.5 本招标文件所有的附件与本招标文件具有同等效力。</w:t>
      </w:r>
    </w:p>
    <w:p>
      <w:pPr>
        <w:tabs>
          <w:tab w:val="clear" w:pos="426"/>
        </w:tabs>
      </w:pPr>
    </w:p>
    <w:p>
      <w:pPr>
        <w:pStyle w:val="42"/>
        <w:tabs>
          <w:tab w:val="clear" w:pos="426"/>
        </w:tabs>
      </w:pPr>
      <w:r>
        <w:rPr>
          <w:rFonts w:ascii="宋体" w:hAnsi="宋体"/>
        </w:rPr>
        <w:br w:type="page"/>
      </w:r>
      <w:bookmarkStart w:id="377" w:name="_Toc5875404"/>
      <w:r>
        <w:rPr>
          <w:rFonts w:hint="eastAsia"/>
        </w:rPr>
        <w:t>招标代理服务取费说明</w:t>
      </w:r>
      <w:bookmarkEnd w:id="377"/>
    </w:p>
    <w:p>
      <w:pPr>
        <w:tabs>
          <w:tab w:val="clear" w:pos="426"/>
        </w:tabs>
        <w:spacing w:line="300" w:lineRule="auto"/>
        <w:ind w:firstLine="440" w:firstLineChars="200"/>
        <w:rPr>
          <w:sz w:val="22"/>
        </w:rPr>
      </w:pPr>
    </w:p>
    <w:p>
      <w:pPr>
        <w:tabs>
          <w:tab w:val="clear" w:pos="426"/>
        </w:tabs>
        <w:spacing w:line="300" w:lineRule="auto"/>
        <w:ind w:firstLine="440" w:firstLineChars="20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的规定，招标代理服务收费将以项目中标金额为计算基数，按差额定率累进法计算，并向中标人收取，收费标准如下表所列： </w:t>
      </w:r>
    </w:p>
    <w:p>
      <w:pPr>
        <w:tabs>
          <w:tab w:val="clear" w:pos="426"/>
        </w:tabs>
        <w:spacing w:line="300" w:lineRule="auto"/>
        <w:ind w:firstLine="440" w:firstLineChars="200"/>
        <w:rPr>
          <w:sz w:val="22"/>
        </w:rPr>
      </w:pPr>
      <w:r>
        <w:rPr>
          <w:rFonts w:hint="eastAsia"/>
          <w:sz w:val="22"/>
        </w:rPr>
        <w:t>招标代理服务收费标准</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sz w:val="22"/>
              </w:rPr>
            </w:pPr>
            <w:r>
              <w:rPr>
                <w:rFonts w:hint="eastAsia"/>
                <w:sz w:val="22"/>
              </w:rPr>
              <w:t>项目类型</w:t>
            </w:r>
          </w:p>
          <w:p>
            <w:pPr>
              <w:tabs>
                <w:tab w:val="clear" w:pos="426"/>
              </w:tabs>
              <w:spacing w:line="240" w:lineRule="auto"/>
              <w:jc w:val="center"/>
              <w:rPr>
                <w:sz w:val="22"/>
              </w:rPr>
            </w:pPr>
            <w:r>
              <w:rPr>
                <w:rFonts w:hint="eastAsia"/>
                <w:sz w:val="22"/>
              </w:rPr>
              <w:t>费率</w:t>
            </w:r>
          </w:p>
          <w:p>
            <w:pPr>
              <w:tabs>
                <w:tab w:val="clear" w:pos="426"/>
              </w:tabs>
              <w:spacing w:line="240" w:lineRule="auto"/>
              <w:rPr>
                <w:sz w:val="22"/>
              </w:rPr>
            </w:pPr>
            <w:r>
              <w:rPr>
                <w:rFonts w:hint="eastAsia"/>
                <w:sz w:val="22"/>
              </w:rPr>
              <w:t>中标金额</w:t>
            </w:r>
          </w:p>
        </w:tc>
        <w:tc>
          <w:tcPr>
            <w:tcW w:w="1845" w:type="dxa"/>
            <w:vAlign w:val="center"/>
          </w:tcPr>
          <w:p>
            <w:pPr>
              <w:tabs>
                <w:tab w:val="clear" w:pos="426"/>
              </w:tabs>
              <w:spacing w:line="240" w:lineRule="auto"/>
              <w:jc w:val="center"/>
              <w:rPr>
                <w:sz w:val="22"/>
              </w:rPr>
            </w:pPr>
            <w:r>
              <w:rPr>
                <w:rFonts w:hint="eastAsia"/>
                <w:sz w:val="22"/>
              </w:rPr>
              <w:t>货物采购</w:t>
            </w:r>
          </w:p>
        </w:tc>
        <w:tc>
          <w:tcPr>
            <w:tcW w:w="1845" w:type="dxa"/>
            <w:vAlign w:val="center"/>
          </w:tcPr>
          <w:p>
            <w:pPr>
              <w:tabs>
                <w:tab w:val="clear" w:pos="426"/>
              </w:tabs>
              <w:spacing w:line="240" w:lineRule="auto"/>
              <w:jc w:val="center"/>
              <w:rPr>
                <w:sz w:val="22"/>
              </w:rPr>
            </w:pPr>
            <w:r>
              <w:rPr>
                <w:rFonts w:hint="eastAsia"/>
                <w:sz w:val="22"/>
              </w:rPr>
              <w:t>服务采购</w:t>
            </w:r>
          </w:p>
        </w:tc>
        <w:tc>
          <w:tcPr>
            <w:tcW w:w="1846" w:type="dxa"/>
            <w:vAlign w:val="center"/>
          </w:tcPr>
          <w:p>
            <w:pPr>
              <w:tabs>
                <w:tab w:val="clear" w:pos="426"/>
              </w:tabs>
              <w:spacing w:line="240" w:lineRule="auto"/>
              <w:jc w:val="center"/>
              <w:rPr>
                <w:sz w:val="22"/>
              </w:rPr>
            </w:pPr>
            <w:r>
              <w:rPr>
                <w:rFonts w:hint="eastAsia"/>
                <w:sz w:val="22"/>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100万元以下</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5" w:type="dxa"/>
            <w:vAlign w:val="center"/>
          </w:tcPr>
          <w:p>
            <w:pPr>
              <w:spacing w:line="240" w:lineRule="auto"/>
              <w:jc w:val="center"/>
              <w:rPr>
                <w:color w:val="000000"/>
                <w:sz w:val="22"/>
                <w:szCs w:val="22"/>
              </w:rPr>
            </w:pPr>
            <w:r>
              <w:rPr>
                <w:rFonts w:hint="eastAsia"/>
                <w:color w:val="000000"/>
                <w:sz w:val="22"/>
                <w:szCs w:val="22"/>
              </w:rPr>
              <w:t>1.500%</w:t>
            </w:r>
          </w:p>
        </w:tc>
        <w:tc>
          <w:tcPr>
            <w:tcW w:w="1846" w:type="dxa"/>
            <w:vAlign w:val="center"/>
          </w:tcPr>
          <w:p>
            <w:pPr>
              <w:spacing w:line="240" w:lineRule="auto"/>
              <w:jc w:val="center"/>
              <w:rPr>
                <w:color w:val="000000"/>
                <w:sz w:val="22"/>
                <w:szCs w:val="22"/>
              </w:rPr>
            </w:pPr>
            <w:r>
              <w:rPr>
                <w:rFonts w:hint="eastAsia"/>
                <w:color w:val="000000"/>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100万元（含）-500万元</w:t>
            </w:r>
          </w:p>
        </w:tc>
        <w:tc>
          <w:tcPr>
            <w:tcW w:w="1845" w:type="dxa"/>
            <w:vAlign w:val="center"/>
          </w:tcPr>
          <w:p>
            <w:pPr>
              <w:spacing w:line="240" w:lineRule="auto"/>
              <w:jc w:val="center"/>
              <w:rPr>
                <w:color w:val="000000"/>
                <w:sz w:val="22"/>
                <w:szCs w:val="22"/>
              </w:rPr>
            </w:pPr>
            <w:r>
              <w:rPr>
                <w:rFonts w:hint="eastAsia"/>
                <w:color w:val="000000"/>
                <w:sz w:val="22"/>
                <w:szCs w:val="22"/>
              </w:rPr>
              <w:t>1.100%</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6" w:type="dxa"/>
            <w:vAlign w:val="center"/>
          </w:tcPr>
          <w:p>
            <w:pPr>
              <w:spacing w:line="240" w:lineRule="auto"/>
              <w:jc w:val="center"/>
              <w:rPr>
                <w:color w:val="000000"/>
                <w:sz w:val="22"/>
                <w:szCs w:val="22"/>
              </w:rPr>
            </w:pPr>
            <w:r>
              <w:rPr>
                <w:rFonts w:hint="eastAsia"/>
                <w:color w:val="000000"/>
                <w:sz w:val="22"/>
                <w:szCs w:val="22"/>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500万元（含）-1000万元</w:t>
            </w:r>
          </w:p>
        </w:tc>
        <w:tc>
          <w:tcPr>
            <w:tcW w:w="1845" w:type="dxa"/>
            <w:vAlign w:val="center"/>
          </w:tcPr>
          <w:p>
            <w:pPr>
              <w:spacing w:line="240" w:lineRule="auto"/>
              <w:jc w:val="center"/>
              <w:rPr>
                <w:color w:val="000000"/>
                <w:sz w:val="22"/>
                <w:szCs w:val="22"/>
              </w:rPr>
            </w:pPr>
            <w:r>
              <w:rPr>
                <w:rFonts w:hint="eastAsia"/>
                <w:color w:val="000000"/>
                <w:sz w:val="22"/>
                <w:szCs w:val="22"/>
              </w:rPr>
              <w:t>0.800%</w:t>
            </w:r>
          </w:p>
        </w:tc>
        <w:tc>
          <w:tcPr>
            <w:tcW w:w="1845" w:type="dxa"/>
            <w:vAlign w:val="center"/>
          </w:tcPr>
          <w:p>
            <w:pPr>
              <w:spacing w:line="240" w:lineRule="auto"/>
              <w:jc w:val="center"/>
              <w:rPr>
                <w:color w:val="000000"/>
                <w:sz w:val="22"/>
                <w:szCs w:val="22"/>
              </w:rPr>
            </w:pPr>
            <w:r>
              <w:rPr>
                <w:rFonts w:hint="eastAsia"/>
                <w:color w:val="000000"/>
                <w:sz w:val="22"/>
                <w:szCs w:val="22"/>
              </w:rPr>
              <w:t>0.450%</w:t>
            </w:r>
          </w:p>
        </w:tc>
        <w:tc>
          <w:tcPr>
            <w:tcW w:w="1846" w:type="dxa"/>
            <w:vAlign w:val="center"/>
          </w:tcPr>
          <w:p>
            <w:pPr>
              <w:spacing w:line="240" w:lineRule="auto"/>
              <w:jc w:val="center"/>
              <w:rPr>
                <w:color w:val="000000"/>
                <w:sz w:val="22"/>
                <w:szCs w:val="22"/>
              </w:rPr>
            </w:pPr>
            <w:r>
              <w:rPr>
                <w:rFonts w:hint="eastAsia"/>
                <w:color w:val="000000"/>
                <w:sz w:val="22"/>
                <w:szCs w:val="22"/>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1000万元（含）-5000万元</w:t>
            </w:r>
          </w:p>
        </w:tc>
        <w:tc>
          <w:tcPr>
            <w:tcW w:w="1845" w:type="dxa"/>
            <w:vAlign w:val="center"/>
          </w:tcPr>
          <w:p>
            <w:pPr>
              <w:spacing w:line="240" w:lineRule="auto"/>
              <w:jc w:val="center"/>
              <w:rPr>
                <w:color w:val="000000"/>
                <w:sz w:val="22"/>
                <w:szCs w:val="22"/>
              </w:rPr>
            </w:pPr>
            <w:r>
              <w:rPr>
                <w:rFonts w:hint="eastAsia"/>
                <w:color w:val="000000"/>
                <w:sz w:val="22"/>
                <w:szCs w:val="22"/>
              </w:rPr>
              <w:t>0.500%</w:t>
            </w:r>
          </w:p>
        </w:tc>
        <w:tc>
          <w:tcPr>
            <w:tcW w:w="1845" w:type="dxa"/>
            <w:vAlign w:val="center"/>
          </w:tcPr>
          <w:p>
            <w:pPr>
              <w:spacing w:line="240" w:lineRule="auto"/>
              <w:jc w:val="center"/>
              <w:rPr>
                <w:color w:val="000000"/>
                <w:sz w:val="22"/>
                <w:szCs w:val="22"/>
              </w:rPr>
            </w:pPr>
            <w:r>
              <w:rPr>
                <w:rFonts w:hint="eastAsia"/>
                <w:color w:val="000000"/>
                <w:sz w:val="22"/>
                <w:szCs w:val="22"/>
              </w:rPr>
              <w:t>0.250%</w:t>
            </w:r>
          </w:p>
        </w:tc>
        <w:tc>
          <w:tcPr>
            <w:tcW w:w="1846" w:type="dxa"/>
            <w:vAlign w:val="center"/>
          </w:tcPr>
          <w:p>
            <w:pPr>
              <w:spacing w:line="240" w:lineRule="auto"/>
              <w:jc w:val="center"/>
              <w:rPr>
                <w:color w:val="000000"/>
                <w:sz w:val="22"/>
                <w:szCs w:val="22"/>
              </w:rPr>
            </w:pPr>
            <w:r>
              <w:rPr>
                <w:rFonts w:hint="eastAsia"/>
                <w:color w:val="000000"/>
                <w:sz w:val="22"/>
                <w:szCs w:val="22"/>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5000万元（含）-1亿元</w:t>
            </w:r>
          </w:p>
        </w:tc>
        <w:tc>
          <w:tcPr>
            <w:tcW w:w="1845" w:type="dxa"/>
            <w:vAlign w:val="center"/>
          </w:tcPr>
          <w:p>
            <w:pPr>
              <w:spacing w:line="240" w:lineRule="auto"/>
              <w:jc w:val="center"/>
              <w:rPr>
                <w:sz w:val="22"/>
                <w:szCs w:val="22"/>
              </w:rPr>
            </w:pPr>
            <w:r>
              <w:rPr>
                <w:rFonts w:hint="eastAsia"/>
                <w:sz w:val="22"/>
                <w:szCs w:val="22"/>
              </w:rPr>
              <w:t>0.250%</w:t>
            </w:r>
          </w:p>
        </w:tc>
        <w:tc>
          <w:tcPr>
            <w:tcW w:w="1845" w:type="dxa"/>
            <w:vAlign w:val="center"/>
          </w:tcPr>
          <w:p>
            <w:pPr>
              <w:spacing w:line="240" w:lineRule="auto"/>
              <w:jc w:val="center"/>
              <w:rPr>
                <w:sz w:val="22"/>
                <w:szCs w:val="22"/>
              </w:rPr>
            </w:pPr>
            <w:r>
              <w:rPr>
                <w:rFonts w:hint="eastAsia"/>
                <w:sz w:val="22"/>
                <w:szCs w:val="22"/>
              </w:rPr>
              <w:t>0.100%</w:t>
            </w:r>
          </w:p>
        </w:tc>
        <w:tc>
          <w:tcPr>
            <w:tcW w:w="1846" w:type="dxa"/>
            <w:vAlign w:val="center"/>
          </w:tcPr>
          <w:p>
            <w:pPr>
              <w:spacing w:line="240" w:lineRule="auto"/>
              <w:jc w:val="center"/>
              <w:rPr>
                <w:sz w:val="22"/>
                <w:szCs w:val="22"/>
              </w:rPr>
            </w:pPr>
            <w:r>
              <w:rPr>
                <w:rFonts w:hint="eastAsia"/>
                <w:sz w:val="22"/>
                <w:szCs w:val="22"/>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1亿元（含）-5亿元</w:t>
            </w:r>
          </w:p>
        </w:tc>
        <w:tc>
          <w:tcPr>
            <w:tcW w:w="1845" w:type="dxa"/>
            <w:vAlign w:val="center"/>
          </w:tcPr>
          <w:p>
            <w:pPr>
              <w:spacing w:line="240" w:lineRule="auto"/>
              <w:jc w:val="center"/>
              <w:rPr>
                <w:sz w:val="22"/>
                <w:szCs w:val="22"/>
              </w:rPr>
            </w:pPr>
            <w:r>
              <w:rPr>
                <w:rFonts w:hint="eastAsia"/>
                <w:sz w:val="22"/>
                <w:szCs w:val="22"/>
              </w:rPr>
              <w:t>0.050%</w:t>
            </w:r>
          </w:p>
        </w:tc>
        <w:tc>
          <w:tcPr>
            <w:tcW w:w="1845" w:type="dxa"/>
            <w:vAlign w:val="center"/>
          </w:tcPr>
          <w:p>
            <w:pPr>
              <w:spacing w:line="240" w:lineRule="auto"/>
              <w:jc w:val="center"/>
              <w:rPr>
                <w:sz w:val="22"/>
                <w:szCs w:val="22"/>
              </w:rPr>
            </w:pPr>
            <w:r>
              <w:rPr>
                <w:rFonts w:hint="eastAsia"/>
                <w:sz w:val="22"/>
                <w:szCs w:val="22"/>
              </w:rPr>
              <w:t>0.050%</w:t>
            </w:r>
          </w:p>
        </w:tc>
        <w:tc>
          <w:tcPr>
            <w:tcW w:w="1846" w:type="dxa"/>
            <w:vAlign w:val="center"/>
          </w:tcPr>
          <w:p>
            <w:pPr>
              <w:spacing w:line="240" w:lineRule="auto"/>
              <w:jc w:val="center"/>
              <w:rPr>
                <w:sz w:val="22"/>
                <w:szCs w:val="22"/>
              </w:rPr>
            </w:pPr>
            <w:r>
              <w:rPr>
                <w:rFonts w:hint="eastAsia"/>
                <w:sz w:val="22"/>
                <w:szCs w:val="22"/>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5亿元（含）-10亿元</w:t>
            </w:r>
          </w:p>
        </w:tc>
        <w:tc>
          <w:tcPr>
            <w:tcW w:w="1845" w:type="dxa"/>
            <w:vAlign w:val="center"/>
          </w:tcPr>
          <w:p>
            <w:pPr>
              <w:spacing w:line="240" w:lineRule="auto"/>
              <w:jc w:val="center"/>
              <w:rPr>
                <w:sz w:val="22"/>
                <w:szCs w:val="22"/>
              </w:rPr>
            </w:pPr>
            <w:r>
              <w:rPr>
                <w:rFonts w:hint="eastAsia"/>
                <w:sz w:val="22"/>
                <w:szCs w:val="22"/>
              </w:rPr>
              <w:t>0.035%</w:t>
            </w:r>
          </w:p>
        </w:tc>
        <w:tc>
          <w:tcPr>
            <w:tcW w:w="1845" w:type="dxa"/>
            <w:vAlign w:val="center"/>
          </w:tcPr>
          <w:p>
            <w:pPr>
              <w:spacing w:line="240" w:lineRule="auto"/>
              <w:jc w:val="center"/>
              <w:rPr>
                <w:sz w:val="22"/>
                <w:szCs w:val="22"/>
              </w:rPr>
            </w:pPr>
            <w:r>
              <w:rPr>
                <w:rFonts w:hint="eastAsia"/>
                <w:sz w:val="22"/>
                <w:szCs w:val="22"/>
              </w:rPr>
              <w:t>0.035%</w:t>
            </w:r>
          </w:p>
        </w:tc>
        <w:tc>
          <w:tcPr>
            <w:tcW w:w="1846" w:type="dxa"/>
            <w:vAlign w:val="center"/>
          </w:tcPr>
          <w:p>
            <w:pPr>
              <w:spacing w:line="240" w:lineRule="auto"/>
              <w:jc w:val="center"/>
              <w:rPr>
                <w:sz w:val="22"/>
                <w:szCs w:val="22"/>
              </w:rPr>
            </w:pPr>
            <w:r>
              <w:rPr>
                <w:rFonts w:hint="eastAsia"/>
                <w:sz w:val="22"/>
                <w:szCs w:val="22"/>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10亿元（含）-50亿元</w:t>
            </w:r>
          </w:p>
        </w:tc>
        <w:tc>
          <w:tcPr>
            <w:tcW w:w="1845" w:type="dxa"/>
            <w:vAlign w:val="center"/>
          </w:tcPr>
          <w:p>
            <w:pPr>
              <w:spacing w:line="240" w:lineRule="auto"/>
              <w:jc w:val="center"/>
              <w:rPr>
                <w:sz w:val="22"/>
                <w:szCs w:val="22"/>
              </w:rPr>
            </w:pPr>
            <w:r>
              <w:rPr>
                <w:rFonts w:hint="eastAsia"/>
                <w:sz w:val="22"/>
                <w:szCs w:val="22"/>
              </w:rPr>
              <w:t>0.008%</w:t>
            </w:r>
          </w:p>
        </w:tc>
        <w:tc>
          <w:tcPr>
            <w:tcW w:w="1845" w:type="dxa"/>
            <w:vAlign w:val="center"/>
          </w:tcPr>
          <w:p>
            <w:pPr>
              <w:spacing w:line="240" w:lineRule="auto"/>
              <w:jc w:val="center"/>
              <w:rPr>
                <w:sz w:val="22"/>
                <w:szCs w:val="22"/>
              </w:rPr>
            </w:pPr>
            <w:r>
              <w:rPr>
                <w:rFonts w:hint="eastAsia"/>
                <w:sz w:val="22"/>
                <w:szCs w:val="22"/>
              </w:rPr>
              <w:t>0.008%</w:t>
            </w:r>
          </w:p>
        </w:tc>
        <w:tc>
          <w:tcPr>
            <w:tcW w:w="1846" w:type="dxa"/>
            <w:vAlign w:val="center"/>
          </w:tcPr>
          <w:p>
            <w:pPr>
              <w:spacing w:line="240" w:lineRule="auto"/>
              <w:jc w:val="center"/>
              <w:rPr>
                <w:sz w:val="22"/>
                <w:szCs w:val="22"/>
              </w:rPr>
            </w:pPr>
            <w:r>
              <w:rPr>
                <w:rFonts w:hint="eastAsia"/>
                <w:sz w:val="22"/>
                <w:szCs w:val="22"/>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50亿元（含）-100亿元</w:t>
            </w:r>
          </w:p>
        </w:tc>
        <w:tc>
          <w:tcPr>
            <w:tcW w:w="1845" w:type="dxa"/>
            <w:vAlign w:val="center"/>
          </w:tcPr>
          <w:p>
            <w:pPr>
              <w:spacing w:line="240" w:lineRule="auto"/>
              <w:jc w:val="center"/>
              <w:rPr>
                <w:sz w:val="22"/>
                <w:szCs w:val="22"/>
              </w:rPr>
            </w:pPr>
            <w:r>
              <w:rPr>
                <w:rFonts w:hint="eastAsia"/>
                <w:sz w:val="22"/>
                <w:szCs w:val="22"/>
              </w:rPr>
              <w:t>0.006%</w:t>
            </w:r>
          </w:p>
        </w:tc>
        <w:tc>
          <w:tcPr>
            <w:tcW w:w="1845" w:type="dxa"/>
            <w:vAlign w:val="center"/>
          </w:tcPr>
          <w:p>
            <w:pPr>
              <w:spacing w:line="240" w:lineRule="auto"/>
              <w:jc w:val="center"/>
              <w:rPr>
                <w:sz w:val="22"/>
                <w:szCs w:val="22"/>
              </w:rPr>
            </w:pPr>
            <w:r>
              <w:rPr>
                <w:rFonts w:hint="eastAsia"/>
                <w:sz w:val="22"/>
                <w:szCs w:val="22"/>
              </w:rPr>
              <w:t>0.006%</w:t>
            </w:r>
          </w:p>
        </w:tc>
        <w:tc>
          <w:tcPr>
            <w:tcW w:w="1846" w:type="dxa"/>
            <w:vAlign w:val="center"/>
          </w:tcPr>
          <w:p>
            <w:pPr>
              <w:spacing w:line="240" w:lineRule="auto"/>
              <w:jc w:val="center"/>
              <w:rPr>
                <w:sz w:val="22"/>
                <w:szCs w:val="22"/>
              </w:rPr>
            </w:pPr>
            <w:r>
              <w:rPr>
                <w:rFonts w:hint="eastAsia"/>
                <w:sz w:val="22"/>
                <w:szCs w:val="22"/>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sz w:val="22"/>
                <w:szCs w:val="22"/>
              </w:rPr>
            </w:pPr>
            <w:r>
              <w:rPr>
                <w:rFonts w:hint="eastAsia"/>
                <w:color w:val="000000"/>
                <w:sz w:val="22"/>
                <w:szCs w:val="22"/>
              </w:rPr>
              <w:t>100亿元（含）以上</w:t>
            </w:r>
          </w:p>
        </w:tc>
        <w:tc>
          <w:tcPr>
            <w:tcW w:w="1845" w:type="dxa"/>
            <w:vAlign w:val="center"/>
          </w:tcPr>
          <w:p>
            <w:pPr>
              <w:spacing w:line="240" w:lineRule="auto"/>
              <w:jc w:val="center"/>
              <w:rPr>
                <w:sz w:val="22"/>
                <w:szCs w:val="22"/>
              </w:rPr>
            </w:pPr>
            <w:r>
              <w:rPr>
                <w:rFonts w:hint="eastAsia"/>
                <w:sz w:val="22"/>
                <w:szCs w:val="22"/>
              </w:rPr>
              <w:t>0.004%</w:t>
            </w:r>
          </w:p>
        </w:tc>
        <w:tc>
          <w:tcPr>
            <w:tcW w:w="1845" w:type="dxa"/>
            <w:vAlign w:val="center"/>
          </w:tcPr>
          <w:p>
            <w:pPr>
              <w:spacing w:line="240" w:lineRule="auto"/>
              <w:jc w:val="center"/>
              <w:rPr>
                <w:sz w:val="22"/>
                <w:szCs w:val="22"/>
              </w:rPr>
            </w:pPr>
            <w:r>
              <w:rPr>
                <w:rFonts w:hint="eastAsia"/>
                <w:sz w:val="22"/>
                <w:szCs w:val="22"/>
              </w:rPr>
              <w:t>0.004%</w:t>
            </w:r>
          </w:p>
        </w:tc>
        <w:tc>
          <w:tcPr>
            <w:tcW w:w="1846" w:type="dxa"/>
            <w:vAlign w:val="center"/>
          </w:tcPr>
          <w:p>
            <w:pPr>
              <w:spacing w:line="240" w:lineRule="auto"/>
              <w:jc w:val="center"/>
              <w:rPr>
                <w:sz w:val="22"/>
                <w:szCs w:val="22"/>
              </w:rPr>
            </w:pPr>
            <w:r>
              <w:rPr>
                <w:rFonts w:hint="eastAsia"/>
                <w:sz w:val="22"/>
                <w:szCs w:val="22"/>
              </w:rPr>
              <w:t>0.004%</w:t>
            </w:r>
          </w:p>
        </w:tc>
      </w:tr>
    </w:tbl>
    <w:p>
      <w:pPr>
        <w:tabs>
          <w:tab w:val="clear" w:pos="426"/>
        </w:tabs>
        <w:spacing w:line="300" w:lineRule="auto"/>
        <w:ind w:left="424" w:leftChars="202"/>
        <w:rPr>
          <w:sz w:val="22"/>
        </w:rPr>
      </w:pPr>
      <w:r>
        <w:rPr>
          <w:rFonts w:hint="eastAsia"/>
          <w:sz w:val="22"/>
        </w:rPr>
        <w:t>以某5000万项目货物类招标为例：</w:t>
      </w:r>
    </w:p>
    <w:p>
      <w:pPr>
        <w:tabs>
          <w:tab w:val="clear" w:pos="426"/>
        </w:tabs>
        <w:spacing w:line="300" w:lineRule="auto"/>
        <w:ind w:left="424" w:leftChars="202"/>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spacing w:line="300" w:lineRule="auto"/>
        <w:ind w:left="424" w:leftChars="202"/>
        <w:rPr>
          <w:sz w:val="22"/>
        </w:rPr>
      </w:pPr>
      <w:r>
        <w:rPr>
          <w:rFonts w:hint="eastAsia"/>
          <w:sz w:val="22"/>
        </w:rPr>
        <w:t>100万元×1.5%=1.5万元</w:t>
      </w:r>
    </w:p>
    <w:p>
      <w:pPr>
        <w:tabs>
          <w:tab w:val="clear" w:pos="426"/>
        </w:tabs>
        <w:spacing w:line="300" w:lineRule="auto"/>
        <w:ind w:left="424" w:leftChars="202"/>
        <w:rPr>
          <w:sz w:val="22"/>
        </w:rPr>
      </w:pPr>
      <w:r>
        <w:rPr>
          <w:rFonts w:hint="eastAsia"/>
          <w:sz w:val="22"/>
        </w:rPr>
        <w:t xml:space="preserve">（500-100）万元×1.1%=4.4万元 </w:t>
      </w:r>
    </w:p>
    <w:p>
      <w:pPr>
        <w:tabs>
          <w:tab w:val="clear" w:pos="426"/>
        </w:tabs>
        <w:spacing w:line="300" w:lineRule="auto"/>
        <w:ind w:left="424" w:leftChars="202"/>
        <w:rPr>
          <w:sz w:val="22"/>
        </w:rPr>
      </w:pPr>
      <w:r>
        <w:rPr>
          <w:rFonts w:hint="eastAsia"/>
          <w:sz w:val="22"/>
        </w:rPr>
        <w:t xml:space="preserve">（1000-500）万元×0.8%=4万元 </w:t>
      </w:r>
    </w:p>
    <w:p>
      <w:pPr>
        <w:tabs>
          <w:tab w:val="clear" w:pos="426"/>
        </w:tabs>
        <w:spacing w:line="300" w:lineRule="auto"/>
        <w:ind w:left="424" w:leftChars="202"/>
        <w:rPr>
          <w:sz w:val="22"/>
        </w:rPr>
      </w:pPr>
      <w:r>
        <w:rPr>
          <w:rFonts w:hint="eastAsia"/>
          <w:sz w:val="22"/>
        </w:rPr>
        <w:t>（5000-1000）万元×0.5%=20万元</w:t>
      </w:r>
    </w:p>
    <w:p>
      <w:pPr>
        <w:tabs>
          <w:tab w:val="clear" w:pos="426"/>
        </w:tabs>
        <w:spacing w:line="300" w:lineRule="auto"/>
        <w:ind w:left="424" w:leftChars="202"/>
        <w:rPr>
          <w:sz w:val="22"/>
        </w:rPr>
      </w:pPr>
      <w:r>
        <w:rPr>
          <w:rFonts w:hint="eastAsia"/>
          <w:sz w:val="22"/>
        </w:rPr>
        <w:t>因此，该项目招标代理服务费为：</w:t>
      </w:r>
      <w:r>
        <w:rPr>
          <w:sz w:val="22"/>
        </w:rPr>
        <w:t>1.5万元+4.4万元+4万元+20万元=29.9万元</w:t>
      </w:r>
    </w:p>
    <w:p>
      <w:pPr>
        <w:tabs>
          <w:tab w:val="clear" w:pos="426"/>
        </w:tabs>
      </w:pPr>
    </w:p>
    <w:p>
      <w:pPr>
        <w:pStyle w:val="33"/>
        <w:tabs>
          <w:tab w:val="clear" w:pos="426"/>
        </w:tabs>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D3B08"/>
    <w:multiLevelType w:val="singleLevel"/>
    <w:tmpl w:val="99CD3B08"/>
    <w:lvl w:ilvl="0" w:tentative="0">
      <w:start w:val="1"/>
      <w:numFmt w:val="decimal"/>
      <w:suff w:val="nothing"/>
      <w:lvlText w:val="（%1）"/>
      <w:lvlJc w:val="left"/>
    </w:lvl>
  </w:abstractNum>
  <w:abstractNum w:abstractNumId="1">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A3F3F51"/>
    <w:multiLevelType w:val="multilevel"/>
    <w:tmpl w:val="0A3F3F51"/>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316EAB7D"/>
    <w:multiLevelType w:val="singleLevel"/>
    <w:tmpl w:val="316EAB7D"/>
    <w:lvl w:ilvl="0" w:tentative="0">
      <w:start w:val="1"/>
      <w:numFmt w:val="decimal"/>
      <w:lvlText w:val="%1."/>
      <w:lvlJc w:val="left"/>
      <w:pPr>
        <w:tabs>
          <w:tab w:val="left" w:pos="312"/>
        </w:tabs>
      </w:pPr>
    </w:lvl>
  </w:abstractNum>
  <w:abstractNum w:abstractNumId="15">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8">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8CF8767"/>
    <w:multiLevelType w:val="singleLevel"/>
    <w:tmpl w:val="58CF8767"/>
    <w:lvl w:ilvl="0" w:tentative="0">
      <w:start w:val="1"/>
      <w:numFmt w:val="decimal"/>
      <w:suff w:val="nothing"/>
      <w:lvlText w:val="%1."/>
      <w:lvlJc w:val="left"/>
    </w:lvl>
  </w:abstractNum>
  <w:abstractNum w:abstractNumId="21">
    <w:nsid w:val="58CF899F"/>
    <w:multiLevelType w:val="singleLevel"/>
    <w:tmpl w:val="58CF899F"/>
    <w:lvl w:ilvl="0" w:tentative="0">
      <w:start w:val="2"/>
      <w:numFmt w:val="decimal"/>
      <w:suff w:val="nothing"/>
      <w:lvlText w:val="%1."/>
      <w:lvlJc w:val="left"/>
    </w:lvl>
  </w:abstractNum>
  <w:abstractNum w:abstractNumId="22">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5">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6F6A5181"/>
    <w:multiLevelType w:val="singleLevel"/>
    <w:tmpl w:val="6F6A5181"/>
    <w:lvl w:ilvl="0" w:tentative="0">
      <w:start w:val="2"/>
      <w:numFmt w:val="chineseCounting"/>
      <w:suff w:val="nothing"/>
      <w:lvlText w:val="（%1）"/>
      <w:lvlJc w:val="left"/>
      <w:rPr>
        <w:rFonts w:hint="eastAsia"/>
      </w:rPr>
    </w:lvl>
  </w:abstractNum>
  <w:abstractNum w:abstractNumId="28">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8"/>
  </w:num>
  <w:num w:numId="2">
    <w:abstractNumId w:val="15"/>
  </w:num>
  <w:num w:numId="3">
    <w:abstractNumId w:val="6"/>
  </w:num>
  <w:num w:numId="4">
    <w:abstractNumId w:val="7"/>
  </w:num>
  <w:num w:numId="5">
    <w:abstractNumId w:val="3"/>
  </w:num>
  <w:num w:numId="6">
    <w:abstractNumId w:val="10"/>
  </w:num>
  <w:num w:numId="7">
    <w:abstractNumId w:val="1"/>
  </w:num>
  <w:num w:numId="8">
    <w:abstractNumId w:val="29"/>
  </w:num>
  <w:num w:numId="9">
    <w:abstractNumId w:val="4"/>
  </w:num>
  <w:num w:numId="10">
    <w:abstractNumId w:val="19"/>
  </w:num>
  <w:num w:numId="11">
    <w:abstractNumId w:val="23"/>
  </w:num>
  <w:num w:numId="12">
    <w:abstractNumId w:val="2"/>
  </w:num>
  <w:num w:numId="13">
    <w:abstractNumId w:val="30"/>
  </w:num>
  <w:num w:numId="14">
    <w:abstractNumId w:val="25"/>
  </w:num>
  <w:num w:numId="15">
    <w:abstractNumId w:val="13"/>
  </w:num>
  <w:num w:numId="16">
    <w:abstractNumId w:val="22"/>
  </w:num>
  <w:num w:numId="17">
    <w:abstractNumId w:val="26"/>
  </w:num>
  <w:num w:numId="18">
    <w:abstractNumId w:val="16"/>
  </w:num>
  <w:num w:numId="19">
    <w:abstractNumId w:val="11"/>
  </w:num>
  <w:num w:numId="20">
    <w:abstractNumId w:val="28"/>
  </w:num>
  <w:num w:numId="21">
    <w:abstractNumId w:val="24"/>
  </w:num>
  <w:num w:numId="22">
    <w:abstractNumId w:val="14"/>
  </w:num>
  <w:num w:numId="23">
    <w:abstractNumId w:val="0"/>
  </w:num>
  <w:num w:numId="24">
    <w:abstractNumId w:val="21"/>
  </w:num>
  <w:num w:numId="25">
    <w:abstractNumId w:val="20"/>
  </w:num>
  <w:num w:numId="26">
    <w:abstractNumId w:val="12"/>
  </w:num>
  <w:num w:numId="27">
    <w:abstractNumId w:val="27"/>
  </w:num>
  <w:num w:numId="28">
    <w:abstractNumId w:val="5"/>
  </w:num>
  <w:num w:numId="29">
    <w:abstractNumId w:val="8"/>
  </w:num>
  <w:num w:numId="30">
    <w:abstractNumId w:val="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0A3"/>
    <w:rsid w:val="00011118"/>
    <w:rsid w:val="0001175B"/>
    <w:rsid w:val="00011A0C"/>
    <w:rsid w:val="000123F9"/>
    <w:rsid w:val="000124E2"/>
    <w:rsid w:val="000125F8"/>
    <w:rsid w:val="0001275D"/>
    <w:rsid w:val="00012C0A"/>
    <w:rsid w:val="00013948"/>
    <w:rsid w:val="0001457B"/>
    <w:rsid w:val="00014E10"/>
    <w:rsid w:val="00014F58"/>
    <w:rsid w:val="000151D5"/>
    <w:rsid w:val="000154D8"/>
    <w:rsid w:val="00015968"/>
    <w:rsid w:val="00015E98"/>
    <w:rsid w:val="00015F4B"/>
    <w:rsid w:val="0001610E"/>
    <w:rsid w:val="0001634A"/>
    <w:rsid w:val="00016BD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3B0F"/>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83"/>
    <w:rsid w:val="000359C1"/>
    <w:rsid w:val="0003617B"/>
    <w:rsid w:val="000372DD"/>
    <w:rsid w:val="000377F6"/>
    <w:rsid w:val="00037A3B"/>
    <w:rsid w:val="00037F52"/>
    <w:rsid w:val="00037F54"/>
    <w:rsid w:val="0004000A"/>
    <w:rsid w:val="0004001C"/>
    <w:rsid w:val="000401D1"/>
    <w:rsid w:val="00040D3C"/>
    <w:rsid w:val="0004120F"/>
    <w:rsid w:val="00041B72"/>
    <w:rsid w:val="00041B9A"/>
    <w:rsid w:val="00041E1A"/>
    <w:rsid w:val="00042632"/>
    <w:rsid w:val="0004282A"/>
    <w:rsid w:val="00043131"/>
    <w:rsid w:val="000436E0"/>
    <w:rsid w:val="00043A7B"/>
    <w:rsid w:val="00043A89"/>
    <w:rsid w:val="00044204"/>
    <w:rsid w:val="00044591"/>
    <w:rsid w:val="00044926"/>
    <w:rsid w:val="00044E2A"/>
    <w:rsid w:val="00045157"/>
    <w:rsid w:val="00045720"/>
    <w:rsid w:val="00045739"/>
    <w:rsid w:val="00045AD6"/>
    <w:rsid w:val="00045D2B"/>
    <w:rsid w:val="0004692C"/>
    <w:rsid w:val="000474C8"/>
    <w:rsid w:val="000500A8"/>
    <w:rsid w:val="000510B6"/>
    <w:rsid w:val="00051C09"/>
    <w:rsid w:val="00051D3E"/>
    <w:rsid w:val="00051F3F"/>
    <w:rsid w:val="000523BE"/>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79"/>
    <w:rsid w:val="000602D1"/>
    <w:rsid w:val="00060346"/>
    <w:rsid w:val="00060828"/>
    <w:rsid w:val="00060E5A"/>
    <w:rsid w:val="0006171E"/>
    <w:rsid w:val="00061BBA"/>
    <w:rsid w:val="00061DCB"/>
    <w:rsid w:val="000625CA"/>
    <w:rsid w:val="0006267A"/>
    <w:rsid w:val="00062882"/>
    <w:rsid w:val="00062BA0"/>
    <w:rsid w:val="00062C42"/>
    <w:rsid w:val="00062FE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3180"/>
    <w:rsid w:val="00073340"/>
    <w:rsid w:val="000738F2"/>
    <w:rsid w:val="0007455E"/>
    <w:rsid w:val="000745AD"/>
    <w:rsid w:val="00074662"/>
    <w:rsid w:val="00074870"/>
    <w:rsid w:val="000749AF"/>
    <w:rsid w:val="00075086"/>
    <w:rsid w:val="000750DC"/>
    <w:rsid w:val="0007542D"/>
    <w:rsid w:val="00075C4A"/>
    <w:rsid w:val="0007615C"/>
    <w:rsid w:val="00077188"/>
    <w:rsid w:val="000779E7"/>
    <w:rsid w:val="000804FA"/>
    <w:rsid w:val="000809EC"/>
    <w:rsid w:val="0008103C"/>
    <w:rsid w:val="000811DA"/>
    <w:rsid w:val="000814D3"/>
    <w:rsid w:val="00081A6E"/>
    <w:rsid w:val="00082667"/>
    <w:rsid w:val="000837D0"/>
    <w:rsid w:val="00083AAF"/>
    <w:rsid w:val="00083DC6"/>
    <w:rsid w:val="000847ED"/>
    <w:rsid w:val="00085023"/>
    <w:rsid w:val="00085592"/>
    <w:rsid w:val="00085624"/>
    <w:rsid w:val="000862AC"/>
    <w:rsid w:val="000869D8"/>
    <w:rsid w:val="00086C4F"/>
    <w:rsid w:val="0008702E"/>
    <w:rsid w:val="00087A08"/>
    <w:rsid w:val="00091179"/>
    <w:rsid w:val="0009141A"/>
    <w:rsid w:val="000914AE"/>
    <w:rsid w:val="000924E5"/>
    <w:rsid w:val="00092590"/>
    <w:rsid w:val="0009269A"/>
    <w:rsid w:val="000927D9"/>
    <w:rsid w:val="00092B27"/>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2B0"/>
    <w:rsid w:val="0009778F"/>
    <w:rsid w:val="000A0441"/>
    <w:rsid w:val="000A0468"/>
    <w:rsid w:val="000A05B3"/>
    <w:rsid w:val="000A05DC"/>
    <w:rsid w:val="000A0B8E"/>
    <w:rsid w:val="000A0C3E"/>
    <w:rsid w:val="000A0EF0"/>
    <w:rsid w:val="000A21E9"/>
    <w:rsid w:val="000A28E2"/>
    <w:rsid w:val="000A2927"/>
    <w:rsid w:val="000A2C6D"/>
    <w:rsid w:val="000A48A7"/>
    <w:rsid w:val="000A4FD0"/>
    <w:rsid w:val="000A599B"/>
    <w:rsid w:val="000A6EE8"/>
    <w:rsid w:val="000A6F39"/>
    <w:rsid w:val="000A709B"/>
    <w:rsid w:val="000A7241"/>
    <w:rsid w:val="000A7E36"/>
    <w:rsid w:val="000B02C2"/>
    <w:rsid w:val="000B05E2"/>
    <w:rsid w:val="000B10BA"/>
    <w:rsid w:val="000B11E0"/>
    <w:rsid w:val="000B15A6"/>
    <w:rsid w:val="000B19A9"/>
    <w:rsid w:val="000B2568"/>
    <w:rsid w:val="000B2BB0"/>
    <w:rsid w:val="000B381C"/>
    <w:rsid w:val="000B428A"/>
    <w:rsid w:val="000B44C8"/>
    <w:rsid w:val="000B4591"/>
    <w:rsid w:val="000B46FF"/>
    <w:rsid w:val="000B4BCB"/>
    <w:rsid w:val="000B5447"/>
    <w:rsid w:val="000B56CC"/>
    <w:rsid w:val="000B6961"/>
    <w:rsid w:val="000B69EB"/>
    <w:rsid w:val="000B6B59"/>
    <w:rsid w:val="000B6ECA"/>
    <w:rsid w:val="000B71D2"/>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394A"/>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B5B"/>
    <w:rsid w:val="000E2F34"/>
    <w:rsid w:val="000E301B"/>
    <w:rsid w:val="000E3EAF"/>
    <w:rsid w:val="000E4DE8"/>
    <w:rsid w:val="000E60B2"/>
    <w:rsid w:val="000E682C"/>
    <w:rsid w:val="000E69FE"/>
    <w:rsid w:val="000E6C9A"/>
    <w:rsid w:val="000F05A8"/>
    <w:rsid w:val="000F0E4C"/>
    <w:rsid w:val="000F0F13"/>
    <w:rsid w:val="000F15AE"/>
    <w:rsid w:val="000F179C"/>
    <w:rsid w:val="000F1A83"/>
    <w:rsid w:val="000F1FA3"/>
    <w:rsid w:val="000F2065"/>
    <w:rsid w:val="000F2359"/>
    <w:rsid w:val="000F2A88"/>
    <w:rsid w:val="000F2D1B"/>
    <w:rsid w:val="000F353A"/>
    <w:rsid w:val="000F3ADB"/>
    <w:rsid w:val="000F3E69"/>
    <w:rsid w:val="000F3FA1"/>
    <w:rsid w:val="000F41E9"/>
    <w:rsid w:val="000F4752"/>
    <w:rsid w:val="000F480C"/>
    <w:rsid w:val="000F48D9"/>
    <w:rsid w:val="000F4B7E"/>
    <w:rsid w:val="000F4E82"/>
    <w:rsid w:val="000F51DA"/>
    <w:rsid w:val="000F5577"/>
    <w:rsid w:val="000F565B"/>
    <w:rsid w:val="000F5789"/>
    <w:rsid w:val="000F57BF"/>
    <w:rsid w:val="000F5842"/>
    <w:rsid w:val="000F5F3F"/>
    <w:rsid w:val="000F67AA"/>
    <w:rsid w:val="000F7A66"/>
    <w:rsid w:val="00100583"/>
    <w:rsid w:val="001005AD"/>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7A8"/>
    <w:rsid w:val="0010688F"/>
    <w:rsid w:val="00106A04"/>
    <w:rsid w:val="00106AF7"/>
    <w:rsid w:val="001075B1"/>
    <w:rsid w:val="00107AB7"/>
    <w:rsid w:val="00107D54"/>
    <w:rsid w:val="00107E28"/>
    <w:rsid w:val="00110079"/>
    <w:rsid w:val="00110173"/>
    <w:rsid w:val="00110A90"/>
    <w:rsid w:val="001111F7"/>
    <w:rsid w:val="00111A14"/>
    <w:rsid w:val="001138DA"/>
    <w:rsid w:val="00114CB1"/>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66"/>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638"/>
    <w:rsid w:val="0013288F"/>
    <w:rsid w:val="00132F55"/>
    <w:rsid w:val="00132FAF"/>
    <w:rsid w:val="001330B3"/>
    <w:rsid w:val="001333A3"/>
    <w:rsid w:val="00133AF5"/>
    <w:rsid w:val="00133D2B"/>
    <w:rsid w:val="00133F4C"/>
    <w:rsid w:val="001342FB"/>
    <w:rsid w:val="00134374"/>
    <w:rsid w:val="001343C8"/>
    <w:rsid w:val="00134AF9"/>
    <w:rsid w:val="00134B47"/>
    <w:rsid w:val="00134B53"/>
    <w:rsid w:val="00134C5F"/>
    <w:rsid w:val="00134D6D"/>
    <w:rsid w:val="00135640"/>
    <w:rsid w:val="00136467"/>
    <w:rsid w:val="00136543"/>
    <w:rsid w:val="001366F0"/>
    <w:rsid w:val="00136704"/>
    <w:rsid w:val="0014046D"/>
    <w:rsid w:val="00140D6F"/>
    <w:rsid w:val="00142838"/>
    <w:rsid w:val="00143282"/>
    <w:rsid w:val="00143430"/>
    <w:rsid w:val="00143653"/>
    <w:rsid w:val="0014396D"/>
    <w:rsid w:val="00143B3A"/>
    <w:rsid w:val="00144298"/>
    <w:rsid w:val="001444E2"/>
    <w:rsid w:val="001446E6"/>
    <w:rsid w:val="00144959"/>
    <w:rsid w:val="00144B1C"/>
    <w:rsid w:val="0014521C"/>
    <w:rsid w:val="0014539A"/>
    <w:rsid w:val="0014549B"/>
    <w:rsid w:val="0014599D"/>
    <w:rsid w:val="00146A71"/>
    <w:rsid w:val="00146AE7"/>
    <w:rsid w:val="00147350"/>
    <w:rsid w:val="00147AE8"/>
    <w:rsid w:val="00147B3F"/>
    <w:rsid w:val="00150829"/>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2FD"/>
    <w:rsid w:val="0016595F"/>
    <w:rsid w:val="00165A06"/>
    <w:rsid w:val="00166372"/>
    <w:rsid w:val="001663C2"/>
    <w:rsid w:val="00166A2C"/>
    <w:rsid w:val="001675AC"/>
    <w:rsid w:val="00167879"/>
    <w:rsid w:val="001678AE"/>
    <w:rsid w:val="00167E9C"/>
    <w:rsid w:val="00170BD9"/>
    <w:rsid w:val="00170E88"/>
    <w:rsid w:val="001715D2"/>
    <w:rsid w:val="0017191D"/>
    <w:rsid w:val="00171B3F"/>
    <w:rsid w:val="00171E87"/>
    <w:rsid w:val="00171FD5"/>
    <w:rsid w:val="00172369"/>
    <w:rsid w:val="00172D74"/>
    <w:rsid w:val="0017320F"/>
    <w:rsid w:val="00173374"/>
    <w:rsid w:val="0017350C"/>
    <w:rsid w:val="00173873"/>
    <w:rsid w:val="00174FBF"/>
    <w:rsid w:val="0017584B"/>
    <w:rsid w:val="00175E0B"/>
    <w:rsid w:val="00175E43"/>
    <w:rsid w:val="00176286"/>
    <w:rsid w:val="00176BC7"/>
    <w:rsid w:val="00177167"/>
    <w:rsid w:val="00180F00"/>
    <w:rsid w:val="001813D7"/>
    <w:rsid w:val="00181EFF"/>
    <w:rsid w:val="0018205E"/>
    <w:rsid w:val="00182A05"/>
    <w:rsid w:val="00182A09"/>
    <w:rsid w:val="001834DC"/>
    <w:rsid w:val="0018360E"/>
    <w:rsid w:val="00183959"/>
    <w:rsid w:val="00183C79"/>
    <w:rsid w:val="00183C8B"/>
    <w:rsid w:val="00183E75"/>
    <w:rsid w:val="00184465"/>
    <w:rsid w:val="001844CC"/>
    <w:rsid w:val="001845CF"/>
    <w:rsid w:val="00184BF0"/>
    <w:rsid w:val="00185508"/>
    <w:rsid w:val="001857BB"/>
    <w:rsid w:val="001865BB"/>
    <w:rsid w:val="00187339"/>
    <w:rsid w:val="00187518"/>
    <w:rsid w:val="00187941"/>
    <w:rsid w:val="00190552"/>
    <w:rsid w:val="00190FB6"/>
    <w:rsid w:val="001911C7"/>
    <w:rsid w:val="001912E3"/>
    <w:rsid w:val="001913D0"/>
    <w:rsid w:val="00191B7F"/>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025"/>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616"/>
    <w:rsid w:val="001B0C8A"/>
    <w:rsid w:val="001B112B"/>
    <w:rsid w:val="001B1339"/>
    <w:rsid w:val="001B197E"/>
    <w:rsid w:val="001B1FC5"/>
    <w:rsid w:val="001B26FF"/>
    <w:rsid w:val="001B2B6A"/>
    <w:rsid w:val="001B2CC0"/>
    <w:rsid w:val="001B32B8"/>
    <w:rsid w:val="001B4A03"/>
    <w:rsid w:val="001B4AD1"/>
    <w:rsid w:val="001B5614"/>
    <w:rsid w:val="001B5B57"/>
    <w:rsid w:val="001B6B20"/>
    <w:rsid w:val="001B783E"/>
    <w:rsid w:val="001B7BEC"/>
    <w:rsid w:val="001C006F"/>
    <w:rsid w:val="001C04B2"/>
    <w:rsid w:val="001C07C5"/>
    <w:rsid w:val="001C0D59"/>
    <w:rsid w:val="001C0DED"/>
    <w:rsid w:val="001C1FDE"/>
    <w:rsid w:val="001C2140"/>
    <w:rsid w:val="001C2493"/>
    <w:rsid w:val="001C2A9D"/>
    <w:rsid w:val="001C2C77"/>
    <w:rsid w:val="001C3021"/>
    <w:rsid w:val="001C3737"/>
    <w:rsid w:val="001C3CC2"/>
    <w:rsid w:val="001C3ECC"/>
    <w:rsid w:val="001C3F78"/>
    <w:rsid w:val="001C44BE"/>
    <w:rsid w:val="001C4592"/>
    <w:rsid w:val="001C4BD7"/>
    <w:rsid w:val="001C5839"/>
    <w:rsid w:val="001C5986"/>
    <w:rsid w:val="001C61B1"/>
    <w:rsid w:val="001C62D6"/>
    <w:rsid w:val="001C6AF5"/>
    <w:rsid w:val="001C77E1"/>
    <w:rsid w:val="001C7ADA"/>
    <w:rsid w:val="001D0A66"/>
    <w:rsid w:val="001D1872"/>
    <w:rsid w:val="001D1C05"/>
    <w:rsid w:val="001D1C72"/>
    <w:rsid w:val="001D2CC8"/>
    <w:rsid w:val="001D2F0C"/>
    <w:rsid w:val="001D2FF7"/>
    <w:rsid w:val="001D3543"/>
    <w:rsid w:val="001D3930"/>
    <w:rsid w:val="001D3A40"/>
    <w:rsid w:val="001D46EF"/>
    <w:rsid w:val="001D4AF5"/>
    <w:rsid w:val="001D58E5"/>
    <w:rsid w:val="001D5FDE"/>
    <w:rsid w:val="001D6191"/>
    <w:rsid w:val="001D6289"/>
    <w:rsid w:val="001D62D7"/>
    <w:rsid w:val="001D650B"/>
    <w:rsid w:val="001D6563"/>
    <w:rsid w:val="001D692F"/>
    <w:rsid w:val="001D6CA4"/>
    <w:rsid w:val="001D76AD"/>
    <w:rsid w:val="001D7A5C"/>
    <w:rsid w:val="001E072E"/>
    <w:rsid w:val="001E086E"/>
    <w:rsid w:val="001E08AE"/>
    <w:rsid w:val="001E174B"/>
    <w:rsid w:val="001E226F"/>
    <w:rsid w:val="001E2366"/>
    <w:rsid w:val="001E24A9"/>
    <w:rsid w:val="001E2502"/>
    <w:rsid w:val="001E292F"/>
    <w:rsid w:val="001E3202"/>
    <w:rsid w:val="001E38C5"/>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0E8"/>
    <w:rsid w:val="001F2B19"/>
    <w:rsid w:val="001F2DD4"/>
    <w:rsid w:val="001F3AEE"/>
    <w:rsid w:val="001F3D85"/>
    <w:rsid w:val="001F40A5"/>
    <w:rsid w:val="001F41F6"/>
    <w:rsid w:val="001F434C"/>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84C"/>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65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0CB"/>
    <w:rsid w:val="002267CE"/>
    <w:rsid w:val="00227488"/>
    <w:rsid w:val="002278B8"/>
    <w:rsid w:val="00227D49"/>
    <w:rsid w:val="00227FC7"/>
    <w:rsid w:val="00230422"/>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307"/>
    <w:rsid w:val="00235A21"/>
    <w:rsid w:val="00235D25"/>
    <w:rsid w:val="00235E13"/>
    <w:rsid w:val="00236A66"/>
    <w:rsid w:val="00236E72"/>
    <w:rsid w:val="00236F13"/>
    <w:rsid w:val="0023706D"/>
    <w:rsid w:val="002372F4"/>
    <w:rsid w:val="0024029A"/>
    <w:rsid w:val="002407C8"/>
    <w:rsid w:val="00240EC2"/>
    <w:rsid w:val="002417F8"/>
    <w:rsid w:val="00241FC8"/>
    <w:rsid w:val="00242200"/>
    <w:rsid w:val="00242328"/>
    <w:rsid w:val="00242CBE"/>
    <w:rsid w:val="002440FD"/>
    <w:rsid w:val="0024472B"/>
    <w:rsid w:val="002458CC"/>
    <w:rsid w:val="00245C4C"/>
    <w:rsid w:val="00246163"/>
    <w:rsid w:val="00246221"/>
    <w:rsid w:val="00246447"/>
    <w:rsid w:val="00246CCD"/>
    <w:rsid w:val="002471BC"/>
    <w:rsid w:val="00247870"/>
    <w:rsid w:val="002478E5"/>
    <w:rsid w:val="00247AF9"/>
    <w:rsid w:val="0025073C"/>
    <w:rsid w:val="00250C89"/>
    <w:rsid w:val="00250F42"/>
    <w:rsid w:val="00250FD2"/>
    <w:rsid w:val="00251A8F"/>
    <w:rsid w:val="00252702"/>
    <w:rsid w:val="00253EA0"/>
    <w:rsid w:val="00254B44"/>
    <w:rsid w:val="00254E99"/>
    <w:rsid w:val="00255BAF"/>
    <w:rsid w:val="00256999"/>
    <w:rsid w:val="0025753B"/>
    <w:rsid w:val="00257AAE"/>
    <w:rsid w:val="0026027A"/>
    <w:rsid w:val="00260423"/>
    <w:rsid w:val="00260533"/>
    <w:rsid w:val="002606FF"/>
    <w:rsid w:val="00260A23"/>
    <w:rsid w:val="00260ED8"/>
    <w:rsid w:val="00261513"/>
    <w:rsid w:val="002615F8"/>
    <w:rsid w:val="002616E6"/>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06"/>
    <w:rsid w:val="0026733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53A"/>
    <w:rsid w:val="00277E64"/>
    <w:rsid w:val="00280042"/>
    <w:rsid w:val="00280AB5"/>
    <w:rsid w:val="00280B32"/>
    <w:rsid w:val="0028218E"/>
    <w:rsid w:val="002821E9"/>
    <w:rsid w:val="002823AE"/>
    <w:rsid w:val="00282613"/>
    <w:rsid w:val="00282A2B"/>
    <w:rsid w:val="0028318B"/>
    <w:rsid w:val="00283C90"/>
    <w:rsid w:val="00283FE7"/>
    <w:rsid w:val="00284346"/>
    <w:rsid w:val="00284387"/>
    <w:rsid w:val="00285523"/>
    <w:rsid w:val="0028553F"/>
    <w:rsid w:val="002857C6"/>
    <w:rsid w:val="0028608C"/>
    <w:rsid w:val="002868A6"/>
    <w:rsid w:val="002868BE"/>
    <w:rsid w:val="0028710F"/>
    <w:rsid w:val="002872C3"/>
    <w:rsid w:val="0028796D"/>
    <w:rsid w:val="002903E2"/>
    <w:rsid w:val="0029077C"/>
    <w:rsid w:val="002908A7"/>
    <w:rsid w:val="002913FD"/>
    <w:rsid w:val="00291826"/>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4ACC"/>
    <w:rsid w:val="002A51E9"/>
    <w:rsid w:val="002A52E3"/>
    <w:rsid w:val="002A5425"/>
    <w:rsid w:val="002A547D"/>
    <w:rsid w:val="002A556E"/>
    <w:rsid w:val="002A5B44"/>
    <w:rsid w:val="002A5CA0"/>
    <w:rsid w:val="002A5DA4"/>
    <w:rsid w:val="002A6022"/>
    <w:rsid w:val="002A63AF"/>
    <w:rsid w:val="002A6AD1"/>
    <w:rsid w:val="002A6FBE"/>
    <w:rsid w:val="002A70E7"/>
    <w:rsid w:val="002A7869"/>
    <w:rsid w:val="002A7BB5"/>
    <w:rsid w:val="002A7F5B"/>
    <w:rsid w:val="002B0D78"/>
    <w:rsid w:val="002B0F46"/>
    <w:rsid w:val="002B0FBD"/>
    <w:rsid w:val="002B1202"/>
    <w:rsid w:val="002B1821"/>
    <w:rsid w:val="002B2078"/>
    <w:rsid w:val="002B22D4"/>
    <w:rsid w:val="002B232E"/>
    <w:rsid w:val="002B2334"/>
    <w:rsid w:val="002B291F"/>
    <w:rsid w:val="002B2E6C"/>
    <w:rsid w:val="002B3178"/>
    <w:rsid w:val="002B3C14"/>
    <w:rsid w:val="002B3C46"/>
    <w:rsid w:val="002B3F66"/>
    <w:rsid w:val="002B3FD0"/>
    <w:rsid w:val="002B43FA"/>
    <w:rsid w:val="002B5C84"/>
    <w:rsid w:val="002B6421"/>
    <w:rsid w:val="002B6B22"/>
    <w:rsid w:val="002B7969"/>
    <w:rsid w:val="002C06D1"/>
    <w:rsid w:val="002C12CD"/>
    <w:rsid w:val="002C1A12"/>
    <w:rsid w:val="002C2417"/>
    <w:rsid w:val="002C2DB8"/>
    <w:rsid w:val="002C3051"/>
    <w:rsid w:val="002C3066"/>
    <w:rsid w:val="002C4063"/>
    <w:rsid w:val="002C41DC"/>
    <w:rsid w:val="002C423C"/>
    <w:rsid w:val="002C4822"/>
    <w:rsid w:val="002C4EB6"/>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DC4"/>
    <w:rsid w:val="002D64DF"/>
    <w:rsid w:val="002D71F8"/>
    <w:rsid w:val="002D7674"/>
    <w:rsid w:val="002D7A6A"/>
    <w:rsid w:val="002D7BC0"/>
    <w:rsid w:val="002E000C"/>
    <w:rsid w:val="002E0376"/>
    <w:rsid w:val="002E0BB3"/>
    <w:rsid w:val="002E1280"/>
    <w:rsid w:val="002E13E0"/>
    <w:rsid w:val="002E1950"/>
    <w:rsid w:val="002E22A2"/>
    <w:rsid w:val="002E2864"/>
    <w:rsid w:val="002E2900"/>
    <w:rsid w:val="002E2D4A"/>
    <w:rsid w:val="002E2F6A"/>
    <w:rsid w:val="002E38DB"/>
    <w:rsid w:val="002E3D09"/>
    <w:rsid w:val="002E3D8D"/>
    <w:rsid w:val="002E4095"/>
    <w:rsid w:val="002E4F35"/>
    <w:rsid w:val="002E5256"/>
    <w:rsid w:val="002E5271"/>
    <w:rsid w:val="002E538F"/>
    <w:rsid w:val="002E539A"/>
    <w:rsid w:val="002E55DD"/>
    <w:rsid w:val="002E5995"/>
    <w:rsid w:val="002E5E77"/>
    <w:rsid w:val="002E5F31"/>
    <w:rsid w:val="002E686B"/>
    <w:rsid w:val="002E748D"/>
    <w:rsid w:val="002E7B71"/>
    <w:rsid w:val="002E7C98"/>
    <w:rsid w:val="002E7EA2"/>
    <w:rsid w:val="002F0F75"/>
    <w:rsid w:val="002F0FA6"/>
    <w:rsid w:val="002F117A"/>
    <w:rsid w:val="002F127D"/>
    <w:rsid w:val="002F12EB"/>
    <w:rsid w:val="002F14F5"/>
    <w:rsid w:val="002F1528"/>
    <w:rsid w:val="002F1DCF"/>
    <w:rsid w:val="002F214C"/>
    <w:rsid w:val="002F2B7A"/>
    <w:rsid w:val="002F2F6C"/>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00F"/>
    <w:rsid w:val="00300149"/>
    <w:rsid w:val="00300264"/>
    <w:rsid w:val="003014B1"/>
    <w:rsid w:val="003019D9"/>
    <w:rsid w:val="0030242B"/>
    <w:rsid w:val="00302595"/>
    <w:rsid w:val="00302850"/>
    <w:rsid w:val="00303041"/>
    <w:rsid w:val="003030F5"/>
    <w:rsid w:val="0030349E"/>
    <w:rsid w:val="003036F3"/>
    <w:rsid w:val="00303A5A"/>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B82"/>
    <w:rsid w:val="00313D9B"/>
    <w:rsid w:val="00313F79"/>
    <w:rsid w:val="003142D0"/>
    <w:rsid w:val="00314A3B"/>
    <w:rsid w:val="00315212"/>
    <w:rsid w:val="00315A06"/>
    <w:rsid w:val="00315CD2"/>
    <w:rsid w:val="00316600"/>
    <w:rsid w:val="003166C1"/>
    <w:rsid w:val="00316A8B"/>
    <w:rsid w:val="00316BF6"/>
    <w:rsid w:val="0031733B"/>
    <w:rsid w:val="0031751A"/>
    <w:rsid w:val="00317E87"/>
    <w:rsid w:val="0032081F"/>
    <w:rsid w:val="00322121"/>
    <w:rsid w:val="003221EB"/>
    <w:rsid w:val="00322425"/>
    <w:rsid w:val="003225FB"/>
    <w:rsid w:val="003232FE"/>
    <w:rsid w:val="003235CB"/>
    <w:rsid w:val="00323759"/>
    <w:rsid w:val="00323A7C"/>
    <w:rsid w:val="00323C32"/>
    <w:rsid w:val="00323ECF"/>
    <w:rsid w:val="00323FC7"/>
    <w:rsid w:val="00324A1D"/>
    <w:rsid w:val="00325742"/>
    <w:rsid w:val="00325B63"/>
    <w:rsid w:val="00326196"/>
    <w:rsid w:val="00326240"/>
    <w:rsid w:val="00326C33"/>
    <w:rsid w:val="003277FF"/>
    <w:rsid w:val="003278A1"/>
    <w:rsid w:val="00327909"/>
    <w:rsid w:val="00327AB3"/>
    <w:rsid w:val="00327D16"/>
    <w:rsid w:val="00330D77"/>
    <w:rsid w:val="00330FEB"/>
    <w:rsid w:val="00331120"/>
    <w:rsid w:val="00331E0F"/>
    <w:rsid w:val="00331E9D"/>
    <w:rsid w:val="003327DF"/>
    <w:rsid w:val="00332FCC"/>
    <w:rsid w:val="0033371C"/>
    <w:rsid w:val="0033439F"/>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A57"/>
    <w:rsid w:val="00343BDF"/>
    <w:rsid w:val="00343F41"/>
    <w:rsid w:val="0034459F"/>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5C1"/>
    <w:rsid w:val="00354A1F"/>
    <w:rsid w:val="00355060"/>
    <w:rsid w:val="00355567"/>
    <w:rsid w:val="00355B11"/>
    <w:rsid w:val="00355C02"/>
    <w:rsid w:val="00355F4E"/>
    <w:rsid w:val="00356117"/>
    <w:rsid w:val="003562B1"/>
    <w:rsid w:val="00356A2B"/>
    <w:rsid w:val="00357DFD"/>
    <w:rsid w:val="00357E85"/>
    <w:rsid w:val="00360494"/>
    <w:rsid w:val="00360745"/>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1690"/>
    <w:rsid w:val="0037240A"/>
    <w:rsid w:val="00373411"/>
    <w:rsid w:val="00373D40"/>
    <w:rsid w:val="00374251"/>
    <w:rsid w:val="003744B3"/>
    <w:rsid w:val="00374D41"/>
    <w:rsid w:val="00374E2C"/>
    <w:rsid w:val="00375439"/>
    <w:rsid w:val="00376121"/>
    <w:rsid w:val="00376A7A"/>
    <w:rsid w:val="00376E2B"/>
    <w:rsid w:val="003770D6"/>
    <w:rsid w:val="003771F5"/>
    <w:rsid w:val="00377540"/>
    <w:rsid w:val="00377BE4"/>
    <w:rsid w:val="00380094"/>
    <w:rsid w:val="003800F0"/>
    <w:rsid w:val="00380B3A"/>
    <w:rsid w:val="00382306"/>
    <w:rsid w:val="00382B86"/>
    <w:rsid w:val="00383071"/>
    <w:rsid w:val="003832EF"/>
    <w:rsid w:val="00383749"/>
    <w:rsid w:val="003837F4"/>
    <w:rsid w:val="003846D9"/>
    <w:rsid w:val="0038564A"/>
    <w:rsid w:val="0038576C"/>
    <w:rsid w:val="00385800"/>
    <w:rsid w:val="00385F39"/>
    <w:rsid w:val="0038743E"/>
    <w:rsid w:val="003879DF"/>
    <w:rsid w:val="00387DFA"/>
    <w:rsid w:val="0039083F"/>
    <w:rsid w:val="00391374"/>
    <w:rsid w:val="003914D5"/>
    <w:rsid w:val="00391FAB"/>
    <w:rsid w:val="0039203E"/>
    <w:rsid w:val="00392050"/>
    <w:rsid w:val="003923B4"/>
    <w:rsid w:val="00392539"/>
    <w:rsid w:val="00392677"/>
    <w:rsid w:val="003936EA"/>
    <w:rsid w:val="00393987"/>
    <w:rsid w:val="00393AED"/>
    <w:rsid w:val="003940F7"/>
    <w:rsid w:val="00394981"/>
    <w:rsid w:val="003953A8"/>
    <w:rsid w:val="00395A26"/>
    <w:rsid w:val="00395FCB"/>
    <w:rsid w:val="00396130"/>
    <w:rsid w:val="00396766"/>
    <w:rsid w:val="003968D5"/>
    <w:rsid w:val="00396D6E"/>
    <w:rsid w:val="00396FF0"/>
    <w:rsid w:val="003977E4"/>
    <w:rsid w:val="0039788E"/>
    <w:rsid w:val="00397C74"/>
    <w:rsid w:val="00397E2E"/>
    <w:rsid w:val="00397F3C"/>
    <w:rsid w:val="003A0529"/>
    <w:rsid w:val="003A0962"/>
    <w:rsid w:val="003A32D8"/>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86"/>
    <w:rsid w:val="003B53A5"/>
    <w:rsid w:val="003B55CA"/>
    <w:rsid w:val="003B59EE"/>
    <w:rsid w:val="003B5B72"/>
    <w:rsid w:val="003B6D71"/>
    <w:rsid w:val="003B6EF2"/>
    <w:rsid w:val="003B7E7A"/>
    <w:rsid w:val="003C0463"/>
    <w:rsid w:val="003C0842"/>
    <w:rsid w:val="003C0905"/>
    <w:rsid w:val="003C0C4A"/>
    <w:rsid w:val="003C0F5F"/>
    <w:rsid w:val="003C1EAF"/>
    <w:rsid w:val="003C267B"/>
    <w:rsid w:val="003C346B"/>
    <w:rsid w:val="003C3731"/>
    <w:rsid w:val="003C39C7"/>
    <w:rsid w:val="003C3C6D"/>
    <w:rsid w:val="003C40EE"/>
    <w:rsid w:val="003C4206"/>
    <w:rsid w:val="003C42F7"/>
    <w:rsid w:val="003C479F"/>
    <w:rsid w:val="003C4884"/>
    <w:rsid w:val="003C5092"/>
    <w:rsid w:val="003C5A73"/>
    <w:rsid w:val="003C5DEF"/>
    <w:rsid w:val="003C641E"/>
    <w:rsid w:val="003C6C81"/>
    <w:rsid w:val="003C6CC1"/>
    <w:rsid w:val="003C6F33"/>
    <w:rsid w:val="003D047F"/>
    <w:rsid w:val="003D0576"/>
    <w:rsid w:val="003D0FBC"/>
    <w:rsid w:val="003D1197"/>
    <w:rsid w:val="003D1210"/>
    <w:rsid w:val="003D2333"/>
    <w:rsid w:val="003D2521"/>
    <w:rsid w:val="003D298F"/>
    <w:rsid w:val="003D2FBA"/>
    <w:rsid w:val="003D3161"/>
    <w:rsid w:val="003D3227"/>
    <w:rsid w:val="003D36B8"/>
    <w:rsid w:val="003D3A55"/>
    <w:rsid w:val="003D408F"/>
    <w:rsid w:val="003D4347"/>
    <w:rsid w:val="003D5413"/>
    <w:rsid w:val="003D54E0"/>
    <w:rsid w:val="003D5996"/>
    <w:rsid w:val="003D59E2"/>
    <w:rsid w:val="003D5BCA"/>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2E0"/>
    <w:rsid w:val="003F274F"/>
    <w:rsid w:val="003F2B3D"/>
    <w:rsid w:val="003F3105"/>
    <w:rsid w:val="003F3328"/>
    <w:rsid w:val="003F3C34"/>
    <w:rsid w:val="003F3ED7"/>
    <w:rsid w:val="003F4172"/>
    <w:rsid w:val="003F4222"/>
    <w:rsid w:val="003F4249"/>
    <w:rsid w:val="003F4251"/>
    <w:rsid w:val="003F44CA"/>
    <w:rsid w:val="003F461D"/>
    <w:rsid w:val="003F4940"/>
    <w:rsid w:val="003F4C90"/>
    <w:rsid w:val="003F5071"/>
    <w:rsid w:val="003F5086"/>
    <w:rsid w:val="003F550A"/>
    <w:rsid w:val="003F6ECC"/>
    <w:rsid w:val="003F7EFA"/>
    <w:rsid w:val="0040013E"/>
    <w:rsid w:val="00400C90"/>
    <w:rsid w:val="004012F6"/>
    <w:rsid w:val="00401D27"/>
    <w:rsid w:val="00402D65"/>
    <w:rsid w:val="00402E02"/>
    <w:rsid w:val="00403364"/>
    <w:rsid w:val="00403971"/>
    <w:rsid w:val="0040415C"/>
    <w:rsid w:val="00404D74"/>
    <w:rsid w:val="00404E03"/>
    <w:rsid w:val="00405080"/>
    <w:rsid w:val="0040518A"/>
    <w:rsid w:val="00405693"/>
    <w:rsid w:val="004056F3"/>
    <w:rsid w:val="0040616D"/>
    <w:rsid w:val="00406215"/>
    <w:rsid w:val="00406EF0"/>
    <w:rsid w:val="0040725A"/>
    <w:rsid w:val="00407838"/>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3C30"/>
    <w:rsid w:val="00423D94"/>
    <w:rsid w:val="00424B17"/>
    <w:rsid w:val="00424CC9"/>
    <w:rsid w:val="00424E40"/>
    <w:rsid w:val="00424E61"/>
    <w:rsid w:val="004259E2"/>
    <w:rsid w:val="00426176"/>
    <w:rsid w:val="004262D0"/>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4C"/>
    <w:rsid w:val="00433CFE"/>
    <w:rsid w:val="00434450"/>
    <w:rsid w:val="00434AAB"/>
    <w:rsid w:val="00434F05"/>
    <w:rsid w:val="00435592"/>
    <w:rsid w:val="00435AC8"/>
    <w:rsid w:val="00435E27"/>
    <w:rsid w:val="00435F06"/>
    <w:rsid w:val="0043631C"/>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8C6"/>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67FF0"/>
    <w:rsid w:val="00470418"/>
    <w:rsid w:val="004705F7"/>
    <w:rsid w:val="0047068C"/>
    <w:rsid w:val="00471E81"/>
    <w:rsid w:val="004724AF"/>
    <w:rsid w:val="004724E2"/>
    <w:rsid w:val="004727C4"/>
    <w:rsid w:val="004727E8"/>
    <w:rsid w:val="00472FFE"/>
    <w:rsid w:val="0047322A"/>
    <w:rsid w:val="00473357"/>
    <w:rsid w:val="00473379"/>
    <w:rsid w:val="0047352D"/>
    <w:rsid w:val="004743CB"/>
    <w:rsid w:val="00474B50"/>
    <w:rsid w:val="00475FA8"/>
    <w:rsid w:val="0047652F"/>
    <w:rsid w:val="00476FE9"/>
    <w:rsid w:val="00477BD1"/>
    <w:rsid w:val="00477F96"/>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36ED"/>
    <w:rsid w:val="004B3956"/>
    <w:rsid w:val="004B398F"/>
    <w:rsid w:val="004B3A1F"/>
    <w:rsid w:val="004B3D44"/>
    <w:rsid w:val="004B3FD4"/>
    <w:rsid w:val="004B41B5"/>
    <w:rsid w:val="004B4812"/>
    <w:rsid w:val="004B493D"/>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3EC0"/>
    <w:rsid w:val="004D4AE0"/>
    <w:rsid w:val="004D4D01"/>
    <w:rsid w:val="004D5A88"/>
    <w:rsid w:val="004D69A2"/>
    <w:rsid w:val="004D6D16"/>
    <w:rsid w:val="004D6D2E"/>
    <w:rsid w:val="004D75E2"/>
    <w:rsid w:val="004D7BF4"/>
    <w:rsid w:val="004D7C92"/>
    <w:rsid w:val="004E0471"/>
    <w:rsid w:val="004E0A57"/>
    <w:rsid w:val="004E0E95"/>
    <w:rsid w:val="004E0FDE"/>
    <w:rsid w:val="004E15EF"/>
    <w:rsid w:val="004E19BA"/>
    <w:rsid w:val="004E1AF8"/>
    <w:rsid w:val="004E23D0"/>
    <w:rsid w:val="004E35BF"/>
    <w:rsid w:val="004E38A2"/>
    <w:rsid w:val="004E38B2"/>
    <w:rsid w:val="004E3936"/>
    <w:rsid w:val="004E397D"/>
    <w:rsid w:val="004E3D80"/>
    <w:rsid w:val="004E41C6"/>
    <w:rsid w:val="004E45B6"/>
    <w:rsid w:val="004E503A"/>
    <w:rsid w:val="004E56EA"/>
    <w:rsid w:val="004E57F7"/>
    <w:rsid w:val="004E58E4"/>
    <w:rsid w:val="004E5D9C"/>
    <w:rsid w:val="004E675B"/>
    <w:rsid w:val="004E6B8E"/>
    <w:rsid w:val="004E6E2E"/>
    <w:rsid w:val="004E75CB"/>
    <w:rsid w:val="004E7AC8"/>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38C"/>
    <w:rsid w:val="004F7408"/>
    <w:rsid w:val="004F7B92"/>
    <w:rsid w:val="00500035"/>
    <w:rsid w:val="00500BDE"/>
    <w:rsid w:val="00500E97"/>
    <w:rsid w:val="00500F7A"/>
    <w:rsid w:val="005011A4"/>
    <w:rsid w:val="005012AD"/>
    <w:rsid w:val="00501CDD"/>
    <w:rsid w:val="00501F97"/>
    <w:rsid w:val="0050241C"/>
    <w:rsid w:val="005027BB"/>
    <w:rsid w:val="0050319C"/>
    <w:rsid w:val="005033A8"/>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2A"/>
    <w:rsid w:val="00510870"/>
    <w:rsid w:val="005110BA"/>
    <w:rsid w:val="0051168A"/>
    <w:rsid w:val="00511823"/>
    <w:rsid w:val="00511DFB"/>
    <w:rsid w:val="00512085"/>
    <w:rsid w:val="00512205"/>
    <w:rsid w:val="005122F4"/>
    <w:rsid w:val="00513FA3"/>
    <w:rsid w:val="005141DA"/>
    <w:rsid w:val="005143FB"/>
    <w:rsid w:val="00514E36"/>
    <w:rsid w:val="005156A6"/>
    <w:rsid w:val="00515ABC"/>
    <w:rsid w:val="00516393"/>
    <w:rsid w:val="00517871"/>
    <w:rsid w:val="00520B4F"/>
    <w:rsid w:val="005215EF"/>
    <w:rsid w:val="00522423"/>
    <w:rsid w:val="00522A54"/>
    <w:rsid w:val="00522CDA"/>
    <w:rsid w:val="00522DB0"/>
    <w:rsid w:val="00523306"/>
    <w:rsid w:val="0052367E"/>
    <w:rsid w:val="00523B66"/>
    <w:rsid w:val="00523F51"/>
    <w:rsid w:val="00524016"/>
    <w:rsid w:val="005244A4"/>
    <w:rsid w:val="00524595"/>
    <w:rsid w:val="00524AD7"/>
    <w:rsid w:val="00525727"/>
    <w:rsid w:val="00525B43"/>
    <w:rsid w:val="0052639A"/>
    <w:rsid w:val="00526477"/>
    <w:rsid w:val="00526691"/>
    <w:rsid w:val="00527E19"/>
    <w:rsid w:val="0053027E"/>
    <w:rsid w:val="00530755"/>
    <w:rsid w:val="0053076D"/>
    <w:rsid w:val="00530F4C"/>
    <w:rsid w:val="0053133D"/>
    <w:rsid w:val="005313F7"/>
    <w:rsid w:val="00531F39"/>
    <w:rsid w:val="00532607"/>
    <w:rsid w:val="00532767"/>
    <w:rsid w:val="005328BA"/>
    <w:rsid w:val="00532F8B"/>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63E"/>
    <w:rsid w:val="00555E0D"/>
    <w:rsid w:val="00556796"/>
    <w:rsid w:val="00556E02"/>
    <w:rsid w:val="0055764E"/>
    <w:rsid w:val="00557770"/>
    <w:rsid w:val="0055783F"/>
    <w:rsid w:val="00557CF4"/>
    <w:rsid w:val="00560528"/>
    <w:rsid w:val="00560A5E"/>
    <w:rsid w:val="00560D92"/>
    <w:rsid w:val="00561923"/>
    <w:rsid w:val="00561CA1"/>
    <w:rsid w:val="005630F4"/>
    <w:rsid w:val="0056310A"/>
    <w:rsid w:val="00563C49"/>
    <w:rsid w:val="00564AD0"/>
    <w:rsid w:val="00565AC1"/>
    <w:rsid w:val="00566883"/>
    <w:rsid w:val="00567907"/>
    <w:rsid w:val="00567A04"/>
    <w:rsid w:val="00567F76"/>
    <w:rsid w:val="00570239"/>
    <w:rsid w:val="005704CB"/>
    <w:rsid w:val="00570D7F"/>
    <w:rsid w:val="005710A9"/>
    <w:rsid w:val="00571D59"/>
    <w:rsid w:val="00572E3E"/>
    <w:rsid w:val="00573335"/>
    <w:rsid w:val="00573619"/>
    <w:rsid w:val="005737F5"/>
    <w:rsid w:val="00573860"/>
    <w:rsid w:val="00573EE9"/>
    <w:rsid w:val="005741C2"/>
    <w:rsid w:val="00574209"/>
    <w:rsid w:val="0057420B"/>
    <w:rsid w:val="00574401"/>
    <w:rsid w:val="0057574C"/>
    <w:rsid w:val="00575951"/>
    <w:rsid w:val="00576330"/>
    <w:rsid w:val="00576566"/>
    <w:rsid w:val="00577E70"/>
    <w:rsid w:val="00577E96"/>
    <w:rsid w:val="00577FBB"/>
    <w:rsid w:val="005800F5"/>
    <w:rsid w:val="00580280"/>
    <w:rsid w:val="0058031C"/>
    <w:rsid w:val="00580611"/>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D8B"/>
    <w:rsid w:val="005962B6"/>
    <w:rsid w:val="005964BF"/>
    <w:rsid w:val="00596B9C"/>
    <w:rsid w:val="00596ED3"/>
    <w:rsid w:val="0059751C"/>
    <w:rsid w:val="0059786C"/>
    <w:rsid w:val="00597919"/>
    <w:rsid w:val="005A0506"/>
    <w:rsid w:val="005A0861"/>
    <w:rsid w:val="005A0B9F"/>
    <w:rsid w:val="005A0C48"/>
    <w:rsid w:val="005A0D08"/>
    <w:rsid w:val="005A0D31"/>
    <w:rsid w:val="005A140A"/>
    <w:rsid w:val="005A2FCE"/>
    <w:rsid w:val="005A3ACA"/>
    <w:rsid w:val="005A3B1B"/>
    <w:rsid w:val="005A42FD"/>
    <w:rsid w:val="005A4707"/>
    <w:rsid w:val="005A496B"/>
    <w:rsid w:val="005A4B19"/>
    <w:rsid w:val="005A4FF1"/>
    <w:rsid w:val="005A5171"/>
    <w:rsid w:val="005A5D1A"/>
    <w:rsid w:val="005A6089"/>
    <w:rsid w:val="005A63D8"/>
    <w:rsid w:val="005A669B"/>
    <w:rsid w:val="005A6E11"/>
    <w:rsid w:val="005A73D7"/>
    <w:rsid w:val="005A7DBE"/>
    <w:rsid w:val="005B009D"/>
    <w:rsid w:val="005B021B"/>
    <w:rsid w:val="005B03F8"/>
    <w:rsid w:val="005B075B"/>
    <w:rsid w:val="005B0A62"/>
    <w:rsid w:val="005B0AEE"/>
    <w:rsid w:val="005B1082"/>
    <w:rsid w:val="005B1BEC"/>
    <w:rsid w:val="005B1DFA"/>
    <w:rsid w:val="005B1EB5"/>
    <w:rsid w:val="005B204B"/>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74C5"/>
    <w:rsid w:val="005B7733"/>
    <w:rsid w:val="005B7976"/>
    <w:rsid w:val="005B7A22"/>
    <w:rsid w:val="005C00C1"/>
    <w:rsid w:val="005C047D"/>
    <w:rsid w:val="005C0602"/>
    <w:rsid w:val="005C12A6"/>
    <w:rsid w:val="005C1D73"/>
    <w:rsid w:val="005C2114"/>
    <w:rsid w:val="005C2362"/>
    <w:rsid w:val="005C25DD"/>
    <w:rsid w:val="005C2AB0"/>
    <w:rsid w:val="005C2E28"/>
    <w:rsid w:val="005C3015"/>
    <w:rsid w:val="005C3069"/>
    <w:rsid w:val="005C30A3"/>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70F"/>
    <w:rsid w:val="005D5CC5"/>
    <w:rsid w:val="005D5DCA"/>
    <w:rsid w:val="005D5E85"/>
    <w:rsid w:val="005D63B4"/>
    <w:rsid w:val="005D6732"/>
    <w:rsid w:val="005D787B"/>
    <w:rsid w:val="005D7E93"/>
    <w:rsid w:val="005E0949"/>
    <w:rsid w:val="005E12BE"/>
    <w:rsid w:val="005E1467"/>
    <w:rsid w:val="005E1F3C"/>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051"/>
    <w:rsid w:val="005F584B"/>
    <w:rsid w:val="005F64C6"/>
    <w:rsid w:val="005F76FB"/>
    <w:rsid w:val="005F784D"/>
    <w:rsid w:val="005F7A0B"/>
    <w:rsid w:val="005F7DAE"/>
    <w:rsid w:val="0060081A"/>
    <w:rsid w:val="00600828"/>
    <w:rsid w:val="006008F1"/>
    <w:rsid w:val="00600C01"/>
    <w:rsid w:val="00600E1B"/>
    <w:rsid w:val="00601735"/>
    <w:rsid w:val="00601BE4"/>
    <w:rsid w:val="006025F2"/>
    <w:rsid w:val="00602AC4"/>
    <w:rsid w:val="00602B46"/>
    <w:rsid w:val="00602BD2"/>
    <w:rsid w:val="006034BF"/>
    <w:rsid w:val="006039B8"/>
    <w:rsid w:val="00604B87"/>
    <w:rsid w:val="00604CBC"/>
    <w:rsid w:val="00604E04"/>
    <w:rsid w:val="00605275"/>
    <w:rsid w:val="00605529"/>
    <w:rsid w:val="00605CAB"/>
    <w:rsid w:val="00605DAE"/>
    <w:rsid w:val="00605DB9"/>
    <w:rsid w:val="0060650E"/>
    <w:rsid w:val="006065CF"/>
    <w:rsid w:val="00606E5D"/>
    <w:rsid w:val="006075BE"/>
    <w:rsid w:val="006076EF"/>
    <w:rsid w:val="006079C8"/>
    <w:rsid w:val="00607C70"/>
    <w:rsid w:val="00610F39"/>
    <w:rsid w:val="00611079"/>
    <w:rsid w:val="00611A4C"/>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4C5"/>
    <w:rsid w:val="00617A8B"/>
    <w:rsid w:val="00617C23"/>
    <w:rsid w:val="006200B8"/>
    <w:rsid w:val="0062040C"/>
    <w:rsid w:val="00620422"/>
    <w:rsid w:val="00620A9B"/>
    <w:rsid w:val="006219E3"/>
    <w:rsid w:val="0062224C"/>
    <w:rsid w:val="00622FEA"/>
    <w:rsid w:val="006234A7"/>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7EF"/>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01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16C"/>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453"/>
    <w:rsid w:val="00662889"/>
    <w:rsid w:val="00662A5A"/>
    <w:rsid w:val="00662B7E"/>
    <w:rsid w:val="00662F7D"/>
    <w:rsid w:val="0066318E"/>
    <w:rsid w:val="006647A9"/>
    <w:rsid w:val="00664875"/>
    <w:rsid w:val="00664938"/>
    <w:rsid w:val="006649BD"/>
    <w:rsid w:val="00664CE3"/>
    <w:rsid w:val="006650F7"/>
    <w:rsid w:val="006653D7"/>
    <w:rsid w:val="006654F3"/>
    <w:rsid w:val="00665F5E"/>
    <w:rsid w:val="00666091"/>
    <w:rsid w:val="0066657E"/>
    <w:rsid w:val="006665BA"/>
    <w:rsid w:val="006665FE"/>
    <w:rsid w:val="00666A4F"/>
    <w:rsid w:val="00666B25"/>
    <w:rsid w:val="00667106"/>
    <w:rsid w:val="00667460"/>
    <w:rsid w:val="00667FC6"/>
    <w:rsid w:val="006703AA"/>
    <w:rsid w:val="006703D9"/>
    <w:rsid w:val="00670473"/>
    <w:rsid w:val="006704B8"/>
    <w:rsid w:val="006704F6"/>
    <w:rsid w:val="006708EA"/>
    <w:rsid w:val="00670947"/>
    <w:rsid w:val="00671091"/>
    <w:rsid w:val="00671AC7"/>
    <w:rsid w:val="00671EB7"/>
    <w:rsid w:val="00672569"/>
    <w:rsid w:val="0067281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1D8C"/>
    <w:rsid w:val="00681DEA"/>
    <w:rsid w:val="006820E0"/>
    <w:rsid w:val="00682221"/>
    <w:rsid w:val="006826B4"/>
    <w:rsid w:val="00682725"/>
    <w:rsid w:val="00682A2D"/>
    <w:rsid w:val="00682D87"/>
    <w:rsid w:val="00683502"/>
    <w:rsid w:val="00683A1C"/>
    <w:rsid w:val="00683C37"/>
    <w:rsid w:val="00683E4E"/>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DAF"/>
    <w:rsid w:val="00692FF6"/>
    <w:rsid w:val="006935A7"/>
    <w:rsid w:val="00693652"/>
    <w:rsid w:val="006939E7"/>
    <w:rsid w:val="00693D3E"/>
    <w:rsid w:val="006942F7"/>
    <w:rsid w:val="00694475"/>
    <w:rsid w:val="00694564"/>
    <w:rsid w:val="006946B2"/>
    <w:rsid w:val="00695396"/>
    <w:rsid w:val="006954A0"/>
    <w:rsid w:val="00695620"/>
    <w:rsid w:val="00695659"/>
    <w:rsid w:val="00695D76"/>
    <w:rsid w:val="00695DCE"/>
    <w:rsid w:val="00696142"/>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D1D"/>
    <w:rsid w:val="006A4FC1"/>
    <w:rsid w:val="006A50C7"/>
    <w:rsid w:val="006A5136"/>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2F42"/>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75A8"/>
    <w:rsid w:val="006D013F"/>
    <w:rsid w:val="006D017F"/>
    <w:rsid w:val="006D0301"/>
    <w:rsid w:val="006D032D"/>
    <w:rsid w:val="006D08DF"/>
    <w:rsid w:val="006D0A14"/>
    <w:rsid w:val="006D10BF"/>
    <w:rsid w:val="006D1C72"/>
    <w:rsid w:val="006D1D3F"/>
    <w:rsid w:val="006D20B4"/>
    <w:rsid w:val="006D211A"/>
    <w:rsid w:val="006D2145"/>
    <w:rsid w:val="006D253B"/>
    <w:rsid w:val="006D3441"/>
    <w:rsid w:val="006D35DB"/>
    <w:rsid w:val="006D3C4F"/>
    <w:rsid w:val="006D3D5E"/>
    <w:rsid w:val="006D44D0"/>
    <w:rsid w:val="006D5625"/>
    <w:rsid w:val="006D57CB"/>
    <w:rsid w:val="006D5A82"/>
    <w:rsid w:val="006D5D92"/>
    <w:rsid w:val="006D60EE"/>
    <w:rsid w:val="006D6550"/>
    <w:rsid w:val="006D6CDD"/>
    <w:rsid w:val="006D719D"/>
    <w:rsid w:val="006D7444"/>
    <w:rsid w:val="006D7A4C"/>
    <w:rsid w:val="006E044C"/>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4CB8"/>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5F52"/>
    <w:rsid w:val="00706277"/>
    <w:rsid w:val="0070651E"/>
    <w:rsid w:val="00706A58"/>
    <w:rsid w:val="00706C93"/>
    <w:rsid w:val="00710253"/>
    <w:rsid w:val="00710437"/>
    <w:rsid w:val="00711022"/>
    <w:rsid w:val="007110E1"/>
    <w:rsid w:val="00711CFE"/>
    <w:rsid w:val="00711DED"/>
    <w:rsid w:val="00712584"/>
    <w:rsid w:val="007127F4"/>
    <w:rsid w:val="00713662"/>
    <w:rsid w:val="007139C3"/>
    <w:rsid w:val="007142A7"/>
    <w:rsid w:val="00714394"/>
    <w:rsid w:val="007143BC"/>
    <w:rsid w:val="00714C0F"/>
    <w:rsid w:val="00714E44"/>
    <w:rsid w:val="007150B9"/>
    <w:rsid w:val="00715639"/>
    <w:rsid w:val="00715AAC"/>
    <w:rsid w:val="007163F8"/>
    <w:rsid w:val="00716498"/>
    <w:rsid w:val="00716B9D"/>
    <w:rsid w:val="00716D40"/>
    <w:rsid w:val="00716E93"/>
    <w:rsid w:val="0071729C"/>
    <w:rsid w:val="00720A0F"/>
    <w:rsid w:val="00720A60"/>
    <w:rsid w:val="00720ADE"/>
    <w:rsid w:val="007210F5"/>
    <w:rsid w:val="00721235"/>
    <w:rsid w:val="00721282"/>
    <w:rsid w:val="007213BB"/>
    <w:rsid w:val="00721946"/>
    <w:rsid w:val="00721AFE"/>
    <w:rsid w:val="00721F7E"/>
    <w:rsid w:val="00721FE5"/>
    <w:rsid w:val="0072238C"/>
    <w:rsid w:val="007225B1"/>
    <w:rsid w:val="00722E29"/>
    <w:rsid w:val="007238C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BFA"/>
    <w:rsid w:val="0073642E"/>
    <w:rsid w:val="007365B6"/>
    <w:rsid w:val="00736B84"/>
    <w:rsid w:val="00737EBD"/>
    <w:rsid w:val="007401E2"/>
    <w:rsid w:val="0074077D"/>
    <w:rsid w:val="0074081A"/>
    <w:rsid w:val="00740B49"/>
    <w:rsid w:val="00740E33"/>
    <w:rsid w:val="007411E5"/>
    <w:rsid w:val="00741697"/>
    <w:rsid w:val="00742F8A"/>
    <w:rsid w:val="007431CD"/>
    <w:rsid w:val="007443C2"/>
    <w:rsid w:val="007447A4"/>
    <w:rsid w:val="00744FA3"/>
    <w:rsid w:val="00745385"/>
    <w:rsid w:val="00745726"/>
    <w:rsid w:val="00745AE0"/>
    <w:rsid w:val="00746951"/>
    <w:rsid w:val="0074722C"/>
    <w:rsid w:val="0074751B"/>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A33"/>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0FBE"/>
    <w:rsid w:val="0076118F"/>
    <w:rsid w:val="00761434"/>
    <w:rsid w:val="00761721"/>
    <w:rsid w:val="007618EF"/>
    <w:rsid w:val="00761ADD"/>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F23"/>
    <w:rsid w:val="007900CB"/>
    <w:rsid w:val="00790739"/>
    <w:rsid w:val="00790DFB"/>
    <w:rsid w:val="00791B10"/>
    <w:rsid w:val="00791E8B"/>
    <w:rsid w:val="00792447"/>
    <w:rsid w:val="0079251D"/>
    <w:rsid w:val="00792659"/>
    <w:rsid w:val="00792679"/>
    <w:rsid w:val="0079270E"/>
    <w:rsid w:val="00792855"/>
    <w:rsid w:val="00794390"/>
    <w:rsid w:val="0079439A"/>
    <w:rsid w:val="00794A05"/>
    <w:rsid w:val="007957F4"/>
    <w:rsid w:val="00795950"/>
    <w:rsid w:val="00795B64"/>
    <w:rsid w:val="0079656B"/>
    <w:rsid w:val="0079694C"/>
    <w:rsid w:val="00796DBD"/>
    <w:rsid w:val="00797E9D"/>
    <w:rsid w:val="00797FAD"/>
    <w:rsid w:val="007A0AF5"/>
    <w:rsid w:val="007A100B"/>
    <w:rsid w:val="007A354D"/>
    <w:rsid w:val="007A38D8"/>
    <w:rsid w:val="007A3A64"/>
    <w:rsid w:val="007A3DED"/>
    <w:rsid w:val="007A4C77"/>
    <w:rsid w:val="007A4DEC"/>
    <w:rsid w:val="007A4E17"/>
    <w:rsid w:val="007A520F"/>
    <w:rsid w:val="007A56E3"/>
    <w:rsid w:val="007A5961"/>
    <w:rsid w:val="007A5AC1"/>
    <w:rsid w:val="007A5AF4"/>
    <w:rsid w:val="007A641B"/>
    <w:rsid w:val="007A660D"/>
    <w:rsid w:val="007A68DC"/>
    <w:rsid w:val="007A6D0D"/>
    <w:rsid w:val="007A7394"/>
    <w:rsid w:val="007A7EE5"/>
    <w:rsid w:val="007A7F6D"/>
    <w:rsid w:val="007B04A7"/>
    <w:rsid w:val="007B0522"/>
    <w:rsid w:val="007B0B2B"/>
    <w:rsid w:val="007B0B61"/>
    <w:rsid w:val="007B0FBD"/>
    <w:rsid w:val="007B172E"/>
    <w:rsid w:val="007B1BAF"/>
    <w:rsid w:val="007B1E34"/>
    <w:rsid w:val="007B2245"/>
    <w:rsid w:val="007B225A"/>
    <w:rsid w:val="007B2630"/>
    <w:rsid w:val="007B2896"/>
    <w:rsid w:val="007B2CDD"/>
    <w:rsid w:val="007B3154"/>
    <w:rsid w:val="007B35F7"/>
    <w:rsid w:val="007B3948"/>
    <w:rsid w:val="007B3B4C"/>
    <w:rsid w:val="007B41D6"/>
    <w:rsid w:val="007B4F72"/>
    <w:rsid w:val="007B5445"/>
    <w:rsid w:val="007B58DE"/>
    <w:rsid w:val="007B5C63"/>
    <w:rsid w:val="007B6896"/>
    <w:rsid w:val="007B7764"/>
    <w:rsid w:val="007B79F5"/>
    <w:rsid w:val="007B7AC9"/>
    <w:rsid w:val="007B7BE9"/>
    <w:rsid w:val="007C0A01"/>
    <w:rsid w:val="007C0E04"/>
    <w:rsid w:val="007C123B"/>
    <w:rsid w:val="007C21F1"/>
    <w:rsid w:val="007C24D7"/>
    <w:rsid w:val="007C2647"/>
    <w:rsid w:val="007C2827"/>
    <w:rsid w:val="007C2B1F"/>
    <w:rsid w:val="007C3224"/>
    <w:rsid w:val="007C348F"/>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24F"/>
    <w:rsid w:val="007D060B"/>
    <w:rsid w:val="007D0E43"/>
    <w:rsid w:val="007D13E7"/>
    <w:rsid w:val="007D1991"/>
    <w:rsid w:val="007D1A65"/>
    <w:rsid w:val="007D1E37"/>
    <w:rsid w:val="007D2037"/>
    <w:rsid w:val="007D232F"/>
    <w:rsid w:val="007D2385"/>
    <w:rsid w:val="007D25D4"/>
    <w:rsid w:val="007D2E2D"/>
    <w:rsid w:val="007D2FF7"/>
    <w:rsid w:val="007D3D9D"/>
    <w:rsid w:val="007D4036"/>
    <w:rsid w:val="007D467A"/>
    <w:rsid w:val="007D48B3"/>
    <w:rsid w:val="007D563E"/>
    <w:rsid w:val="007D5B51"/>
    <w:rsid w:val="007D5FC1"/>
    <w:rsid w:val="007D6B00"/>
    <w:rsid w:val="007D715A"/>
    <w:rsid w:val="007D740C"/>
    <w:rsid w:val="007E0153"/>
    <w:rsid w:val="007E0E9E"/>
    <w:rsid w:val="007E1040"/>
    <w:rsid w:val="007E10A9"/>
    <w:rsid w:val="007E19DC"/>
    <w:rsid w:val="007E21FB"/>
    <w:rsid w:val="007E2347"/>
    <w:rsid w:val="007E26A8"/>
    <w:rsid w:val="007E329D"/>
    <w:rsid w:val="007E39E7"/>
    <w:rsid w:val="007E3AD5"/>
    <w:rsid w:val="007E420B"/>
    <w:rsid w:val="007E47D2"/>
    <w:rsid w:val="007E4932"/>
    <w:rsid w:val="007E49A1"/>
    <w:rsid w:val="007E49D4"/>
    <w:rsid w:val="007E4B8B"/>
    <w:rsid w:val="007E502C"/>
    <w:rsid w:val="007E5153"/>
    <w:rsid w:val="007E5A74"/>
    <w:rsid w:val="007E5BD7"/>
    <w:rsid w:val="007E5F6C"/>
    <w:rsid w:val="007E6023"/>
    <w:rsid w:val="007E6312"/>
    <w:rsid w:val="007E728B"/>
    <w:rsid w:val="007E75F0"/>
    <w:rsid w:val="007E76A3"/>
    <w:rsid w:val="007E784A"/>
    <w:rsid w:val="007E7968"/>
    <w:rsid w:val="007F013A"/>
    <w:rsid w:val="007F067A"/>
    <w:rsid w:val="007F088F"/>
    <w:rsid w:val="007F0C68"/>
    <w:rsid w:val="007F1244"/>
    <w:rsid w:val="007F1FB0"/>
    <w:rsid w:val="007F2188"/>
    <w:rsid w:val="007F2D90"/>
    <w:rsid w:val="007F3F6A"/>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5CC"/>
    <w:rsid w:val="00817BB4"/>
    <w:rsid w:val="00817E89"/>
    <w:rsid w:val="00817E9F"/>
    <w:rsid w:val="00821021"/>
    <w:rsid w:val="008214BB"/>
    <w:rsid w:val="00821609"/>
    <w:rsid w:val="00821B58"/>
    <w:rsid w:val="00821DCC"/>
    <w:rsid w:val="0082202C"/>
    <w:rsid w:val="00822117"/>
    <w:rsid w:val="008225E3"/>
    <w:rsid w:val="008227E4"/>
    <w:rsid w:val="00822D06"/>
    <w:rsid w:val="00822D4E"/>
    <w:rsid w:val="00823329"/>
    <w:rsid w:val="008236D8"/>
    <w:rsid w:val="00823B4E"/>
    <w:rsid w:val="00823C0D"/>
    <w:rsid w:val="00823CEC"/>
    <w:rsid w:val="00824594"/>
    <w:rsid w:val="0082460C"/>
    <w:rsid w:val="008249B0"/>
    <w:rsid w:val="00824A07"/>
    <w:rsid w:val="0082578E"/>
    <w:rsid w:val="00825BF1"/>
    <w:rsid w:val="008268A1"/>
    <w:rsid w:val="00826CD4"/>
    <w:rsid w:val="00826D8D"/>
    <w:rsid w:val="00826F17"/>
    <w:rsid w:val="00826F4C"/>
    <w:rsid w:val="00827183"/>
    <w:rsid w:val="0082722A"/>
    <w:rsid w:val="00827797"/>
    <w:rsid w:val="00827B01"/>
    <w:rsid w:val="0083135D"/>
    <w:rsid w:val="00832B12"/>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498"/>
    <w:rsid w:val="00850B51"/>
    <w:rsid w:val="00850C0F"/>
    <w:rsid w:val="00850EF7"/>
    <w:rsid w:val="0085106A"/>
    <w:rsid w:val="008523B0"/>
    <w:rsid w:val="00852A1F"/>
    <w:rsid w:val="00853C37"/>
    <w:rsid w:val="00853ECD"/>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646"/>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276"/>
    <w:rsid w:val="00872882"/>
    <w:rsid w:val="00873D3D"/>
    <w:rsid w:val="00873FEA"/>
    <w:rsid w:val="0087419B"/>
    <w:rsid w:val="008743DF"/>
    <w:rsid w:val="00874592"/>
    <w:rsid w:val="0087475F"/>
    <w:rsid w:val="0087483C"/>
    <w:rsid w:val="00875679"/>
    <w:rsid w:val="00875E1F"/>
    <w:rsid w:val="0087725B"/>
    <w:rsid w:val="00877527"/>
    <w:rsid w:val="008777A6"/>
    <w:rsid w:val="0088028E"/>
    <w:rsid w:val="008807EE"/>
    <w:rsid w:val="00880A96"/>
    <w:rsid w:val="008818F6"/>
    <w:rsid w:val="00881FFE"/>
    <w:rsid w:val="00882989"/>
    <w:rsid w:val="00882EC4"/>
    <w:rsid w:val="00882F6D"/>
    <w:rsid w:val="00883059"/>
    <w:rsid w:val="0088398E"/>
    <w:rsid w:val="008844D7"/>
    <w:rsid w:val="008846F6"/>
    <w:rsid w:val="00884B9F"/>
    <w:rsid w:val="00885377"/>
    <w:rsid w:val="00885561"/>
    <w:rsid w:val="00885BEA"/>
    <w:rsid w:val="00885CE9"/>
    <w:rsid w:val="008864AD"/>
    <w:rsid w:val="00886AC5"/>
    <w:rsid w:val="00886B4C"/>
    <w:rsid w:val="00887705"/>
    <w:rsid w:val="00887AA0"/>
    <w:rsid w:val="00887E02"/>
    <w:rsid w:val="00890535"/>
    <w:rsid w:val="0089092B"/>
    <w:rsid w:val="008909F3"/>
    <w:rsid w:val="0089194E"/>
    <w:rsid w:val="00892580"/>
    <w:rsid w:val="00892ADF"/>
    <w:rsid w:val="00892D43"/>
    <w:rsid w:val="008933A7"/>
    <w:rsid w:val="00893479"/>
    <w:rsid w:val="0089373B"/>
    <w:rsid w:val="008937A1"/>
    <w:rsid w:val="00894A90"/>
    <w:rsid w:val="00894EAA"/>
    <w:rsid w:val="00894FC1"/>
    <w:rsid w:val="0089597F"/>
    <w:rsid w:val="008959A9"/>
    <w:rsid w:val="00896845"/>
    <w:rsid w:val="008977CD"/>
    <w:rsid w:val="00897E03"/>
    <w:rsid w:val="00897F77"/>
    <w:rsid w:val="008A017B"/>
    <w:rsid w:val="008A05E0"/>
    <w:rsid w:val="008A0B5A"/>
    <w:rsid w:val="008A1B8F"/>
    <w:rsid w:val="008A1C47"/>
    <w:rsid w:val="008A30D2"/>
    <w:rsid w:val="008A34BF"/>
    <w:rsid w:val="008A35E7"/>
    <w:rsid w:val="008A413C"/>
    <w:rsid w:val="008A44B6"/>
    <w:rsid w:val="008A4CBF"/>
    <w:rsid w:val="008A5290"/>
    <w:rsid w:val="008A5549"/>
    <w:rsid w:val="008A568C"/>
    <w:rsid w:val="008A593A"/>
    <w:rsid w:val="008A5A27"/>
    <w:rsid w:val="008A5CEE"/>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679"/>
    <w:rsid w:val="008B376A"/>
    <w:rsid w:val="008B3AE4"/>
    <w:rsid w:val="008B3F57"/>
    <w:rsid w:val="008B4969"/>
    <w:rsid w:val="008B51CA"/>
    <w:rsid w:val="008B5660"/>
    <w:rsid w:val="008B7088"/>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A22"/>
    <w:rsid w:val="008C4E14"/>
    <w:rsid w:val="008C4EDA"/>
    <w:rsid w:val="008C4F75"/>
    <w:rsid w:val="008C5110"/>
    <w:rsid w:val="008C55A4"/>
    <w:rsid w:val="008C5C97"/>
    <w:rsid w:val="008C64E3"/>
    <w:rsid w:val="008C650F"/>
    <w:rsid w:val="008C725D"/>
    <w:rsid w:val="008C753F"/>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074A"/>
    <w:rsid w:val="008E1068"/>
    <w:rsid w:val="008E18A0"/>
    <w:rsid w:val="008E1E54"/>
    <w:rsid w:val="008E22DB"/>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B21"/>
    <w:rsid w:val="008F0E05"/>
    <w:rsid w:val="008F0E9C"/>
    <w:rsid w:val="008F12AE"/>
    <w:rsid w:val="008F12B1"/>
    <w:rsid w:val="008F141E"/>
    <w:rsid w:val="008F1F09"/>
    <w:rsid w:val="008F2838"/>
    <w:rsid w:val="008F55DF"/>
    <w:rsid w:val="008F5988"/>
    <w:rsid w:val="008F59FD"/>
    <w:rsid w:val="008F645D"/>
    <w:rsid w:val="008F6667"/>
    <w:rsid w:val="008F6794"/>
    <w:rsid w:val="008F777E"/>
    <w:rsid w:val="008F7853"/>
    <w:rsid w:val="008F7AA3"/>
    <w:rsid w:val="009003DE"/>
    <w:rsid w:val="009003EA"/>
    <w:rsid w:val="00900C7B"/>
    <w:rsid w:val="00901569"/>
    <w:rsid w:val="00902495"/>
    <w:rsid w:val="00902929"/>
    <w:rsid w:val="00902D84"/>
    <w:rsid w:val="00903488"/>
    <w:rsid w:val="009045C3"/>
    <w:rsid w:val="00904795"/>
    <w:rsid w:val="009049FD"/>
    <w:rsid w:val="00904AA8"/>
    <w:rsid w:val="00904FB5"/>
    <w:rsid w:val="00905021"/>
    <w:rsid w:val="00905D12"/>
    <w:rsid w:val="00906619"/>
    <w:rsid w:val="0090683D"/>
    <w:rsid w:val="00906E21"/>
    <w:rsid w:val="00906F35"/>
    <w:rsid w:val="0090727F"/>
    <w:rsid w:val="00907955"/>
    <w:rsid w:val="0090799A"/>
    <w:rsid w:val="00907B8B"/>
    <w:rsid w:val="00910A8A"/>
    <w:rsid w:val="0091270C"/>
    <w:rsid w:val="00912BDA"/>
    <w:rsid w:val="00912DE0"/>
    <w:rsid w:val="0091327E"/>
    <w:rsid w:val="00913421"/>
    <w:rsid w:val="009149A4"/>
    <w:rsid w:val="0091543A"/>
    <w:rsid w:val="00915B34"/>
    <w:rsid w:val="00916374"/>
    <w:rsid w:val="00916A15"/>
    <w:rsid w:val="00916E58"/>
    <w:rsid w:val="00916FE3"/>
    <w:rsid w:val="00917380"/>
    <w:rsid w:val="0091759B"/>
    <w:rsid w:val="00917887"/>
    <w:rsid w:val="00920702"/>
    <w:rsid w:val="009207DB"/>
    <w:rsid w:val="00921DE3"/>
    <w:rsid w:val="00922024"/>
    <w:rsid w:val="009224D6"/>
    <w:rsid w:val="0092281A"/>
    <w:rsid w:val="00922AF6"/>
    <w:rsid w:val="00922FE4"/>
    <w:rsid w:val="009243ED"/>
    <w:rsid w:val="009244A4"/>
    <w:rsid w:val="009246F6"/>
    <w:rsid w:val="00924BF3"/>
    <w:rsid w:val="00924E99"/>
    <w:rsid w:val="009254AC"/>
    <w:rsid w:val="00925501"/>
    <w:rsid w:val="0092551B"/>
    <w:rsid w:val="009256E0"/>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275"/>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70E2"/>
    <w:rsid w:val="0094768B"/>
    <w:rsid w:val="00947B25"/>
    <w:rsid w:val="00947BA4"/>
    <w:rsid w:val="00950B62"/>
    <w:rsid w:val="00951121"/>
    <w:rsid w:val="009512F4"/>
    <w:rsid w:val="0095151E"/>
    <w:rsid w:val="00951756"/>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1B41"/>
    <w:rsid w:val="0096323E"/>
    <w:rsid w:val="00963B1B"/>
    <w:rsid w:val="00963C3F"/>
    <w:rsid w:val="00964450"/>
    <w:rsid w:val="0096475C"/>
    <w:rsid w:val="00964924"/>
    <w:rsid w:val="009650AB"/>
    <w:rsid w:val="00965161"/>
    <w:rsid w:val="00965401"/>
    <w:rsid w:val="00965E37"/>
    <w:rsid w:val="00965F51"/>
    <w:rsid w:val="00966D92"/>
    <w:rsid w:val="009675F9"/>
    <w:rsid w:val="0096797D"/>
    <w:rsid w:val="00967C2F"/>
    <w:rsid w:val="009710C3"/>
    <w:rsid w:val="009713DD"/>
    <w:rsid w:val="00971C53"/>
    <w:rsid w:val="009725F2"/>
    <w:rsid w:val="00972DC6"/>
    <w:rsid w:val="00972F2E"/>
    <w:rsid w:val="0097311D"/>
    <w:rsid w:val="00973179"/>
    <w:rsid w:val="00973225"/>
    <w:rsid w:val="00974795"/>
    <w:rsid w:val="00975105"/>
    <w:rsid w:val="00975C75"/>
    <w:rsid w:val="009761BB"/>
    <w:rsid w:val="00976390"/>
    <w:rsid w:val="00976582"/>
    <w:rsid w:val="0097766C"/>
    <w:rsid w:val="00977C31"/>
    <w:rsid w:val="0098177A"/>
    <w:rsid w:val="00983300"/>
    <w:rsid w:val="009833A5"/>
    <w:rsid w:val="00983EFD"/>
    <w:rsid w:val="00984868"/>
    <w:rsid w:val="00984A8A"/>
    <w:rsid w:val="0098508F"/>
    <w:rsid w:val="0098518F"/>
    <w:rsid w:val="0098600A"/>
    <w:rsid w:val="009860C0"/>
    <w:rsid w:val="00986257"/>
    <w:rsid w:val="0098643B"/>
    <w:rsid w:val="00986861"/>
    <w:rsid w:val="009868C9"/>
    <w:rsid w:val="00986EA3"/>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29"/>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1D1A"/>
    <w:rsid w:val="009A23C2"/>
    <w:rsid w:val="009A2838"/>
    <w:rsid w:val="009A2EFF"/>
    <w:rsid w:val="009A2FDF"/>
    <w:rsid w:val="009A327E"/>
    <w:rsid w:val="009A3567"/>
    <w:rsid w:val="009A3CF8"/>
    <w:rsid w:val="009A44E8"/>
    <w:rsid w:val="009A4654"/>
    <w:rsid w:val="009A4A0D"/>
    <w:rsid w:val="009A4F69"/>
    <w:rsid w:val="009A5302"/>
    <w:rsid w:val="009A545D"/>
    <w:rsid w:val="009A550E"/>
    <w:rsid w:val="009A5F6E"/>
    <w:rsid w:val="009A602D"/>
    <w:rsid w:val="009A61FF"/>
    <w:rsid w:val="009A74CB"/>
    <w:rsid w:val="009A775A"/>
    <w:rsid w:val="009A7A01"/>
    <w:rsid w:val="009A7C99"/>
    <w:rsid w:val="009B1086"/>
    <w:rsid w:val="009B1DA5"/>
    <w:rsid w:val="009B2213"/>
    <w:rsid w:val="009B2453"/>
    <w:rsid w:val="009B2644"/>
    <w:rsid w:val="009B28FD"/>
    <w:rsid w:val="009B2AD6"/>
    <w:rsid w:val="009B2B64"/>
    <w:rsid w:val="009B34B9"/>
    <w:rsid w:val="009B35D6"/>
    <w:rsid w:val="009B4BDC"/>
    <w:rsid w:val="009B5594"/>
    <w:rsid w:val="009B57DF"/>
    <w:rsid w:val="009B5990"/>
    <w:rsid w:val="009B5A37"/>
    <w:rsid w:val="009B6792"/>
    <w:rsid w:val="009B7144"/>
    <w:rsid w:val="009B729E"/>
    <w:rsid w:val="009B7498"/>
    <w:rsid w:val="009B74A2"/>
    <w:rsid w:val="009B74BB"/>
    <w:rsid w:val="009B7803"/>
    <w:rsid w:val="009B7964"/>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81"/>
    <w:rsid w:val="009C51B3"/>
    <w:rsid w:val="009C5923"/>
    <w:rsid w:val="009C5F5C"/>
    <w:rsid w:val="009C6697"/>
    <w:rsid w:val="009C6981"/>
    <w:rsid w:val="009C71B8"/>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5F12"/>
    <w:rsid w:val="009D67A4"/>
    <w:rsid w:val="009E0410"/>
    <w:rsid w:val="009E0BFF"/>
    <w:rsid w:val="009E1607"/>
    <w:rsid w:val="009E21EA"/>
    <w:rsid w:val="009E276E"/>
    <w:rsid w:val="009E2E06"/>
    <w:rsid w:val="009E318C"/>
    <w:rsid w:val="009E33D1"/>
    <w:rsid w:val="009E4D8B"/>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1DE"/>
    <w:rsid w:val="009F6223"/>
    <w:rsid w:val="009F6378"/>
    <w:rsid w:val="009F6769"/>
    <w:rsid w:val="009F6903"/>
    <w:rsid w:val="009F6B78"/>
    <w:rsid w:val="009F6CA4"/>
    <w:rsid w:val="009F7107"/>
    <w:rsid w:val="009F7CA8"/>
    <w:rsid w:val="00A002F3"/>
    <w:rsid w:val="00A00657"/>
    <w:rsid w:val="00A006BD"/>
    <w:rsid w:val="00A006E1"/>
    <w:rsid w:val="00A00824"/>
    <w:rsid w:val="00A009AC"/>
    <w:rsid w:val="00A00D50"/>
    <w:rsid w:val="00A00DAC"/>
    <w:rsid w:val="00A00DC0"/>
    <w:rsid w:val="00A01149"/>
    <w:rsid w:val="00A01359"/>
    <w:rsid w:val="00A01C1F"/>
    <w:rsid w:val="00A01C86"/>
    <w:rsid w:val="00A01C98"/>
    <w:rsid w:val="00A01D1F"/>
    <w:rsid w:val="00A0267B"/>
    <w:rsid w:val="00A02A9F"/>
    <w:rsid w:val="00A02CE8"/>
    <w:rsid w:val="00A02EE0"/>
    <w:rsid w:val="00A035F2"/>
    <w:rsid w:val="00A03C90"/>
    <w:rsid w:val="00A042C9"/>
    <w:rsid w:val="00A04C41"/>
    <w:rsid w:val="00A051FC"/>
    <w:rsid w:val="00A05A92"/>
    <w:rsid w:val="00A05ACF"/>
    <w:rsid w:val="00A05D66"/>
    <w:rsid w:val="00A060F0"/>
    <w:rsid w:val="00A0616F"/>
    <w:rsid w:val="00A0624F"/>
    <w:rsid w:val="00A06A54"/>
    <w:rsid w:val="00A06E22"/>
    <w:rsid w:val="00A06EFA"/>
    <w:rsid w:val="00A073F8"/>
    <w:rsid w:val="00A07483"/>
    <w:rsid w:val="00A10423"/>
    <w:rsid w:val="00A10D02"/>
    <w:rsid w:val="00A10D96"/>
    <w:rsid w:val="00A113C7"/>
    <w:rsid w:val="00A1238B"/>
    <w:rsid w:val="00A1260D"/>
    <w:rsid w:val="00A12DEF"/>
    <w:rsid w:val="00A137EE"/>
    <w:rsid w:val="00A13C1F"/>
    <w:rsid w:val="00A14AA2"/>
    <w:rsid w:val="00A1548E"/>
    <w:rsid w:val="00A15A52"/>
    <w:rsid w:val="00A15E3B"/>
    <w:rsid w:val="00A1614F"/>
    <w:rsid w:val="00A169F7"/>
    <w:rsid w:val="00A16AE9"/>
    <w:rsid w:val="00A171E1"/>
    <w:rsid w:val="00A172FD"/>
    <w:rsid w:val="00A177C1"/>
    <w:rsid w:val="00A17C24"/>
    <w:rsid w:val="00A17CFF"/>
    <w:rsid w:val="00A20A26"/>
    <w:rsid w:val="00A218FE"/>
    <w:rsid w:val="00A2193D"/>
    <w:rsid w:val="00A21F85"/>
    <w:rsid w:val="00A22536"/>
    <w:rsid w:val="00A22B5E"/>
    <w:rsid w:val="00A22C5D"/>
    <w:rsid w:val="00A22F1E"/>
    <w:rsid w:val="00A2323D"/>
    <w:rsid w:val="00A240AC"/>
    <w:rsid w:val="00A240FF"/>
    <w:rsid w:val="00A24137"/>
    <w:rsid w:val="00A24201"/>
    <w:rsid w:val="00A246C9"/>
    <w:rsid w:val="00A266C7"/>
    <w:rsid w:val="00A26C96"/>
    <w:rsid w:val="00A2732C"/>
    <w:rsid w:val="00A277C7"/>
    <w:rsid w:val="00A2788A"/>
    <w:rsid w:val="00A27A71"/>
    <w:rsid w:val="00A30F05"/>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1F"/>
    <w:rsid w:val="00A36B46"/>
    <w:rsid w:val="00A36BD5"/>
    <w:rsid w:val="00A374B1"/>
    <w:rsid w:val="00A376E8"/>
    <w:rsid w:val="00A401BF"/>
    <w:rsid w:val="00A40906"/>
    <w:rsid w:val="00A40D0C"/>
    <w:rsid w:val="00A41302"/>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63EB"/>
    <w:rsid w:val="00A466BC"/>
    <w:rsid w:val="00A467BB"/>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196"/>
    <w:rsid w:val="00A5425D"/>
    <w:rsid w:val="00A543C4"/>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2D3"/>
    <w:rsid w:val="00A623F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373"/>
    <w:rsid w:val="00A81953"/>
    <w:rsid w:val="00A823AB"/>
    <w:rsid w:val="00A8281D"/>
    <w:rsid w:val="00A82C6D"/>
    <w:rsid w:val="00A835EF"/>
    <w:rsid w:val="00A8375D"/>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3C4A"/>
    <w:rsid w:val="00A94171"/>
    <w:rsid w:val="00A94FD5"/>
    <w:rsid w:val="00A95055"/>
    <w:rsid w:val="00A95559"/>
    <w:rsid w:val="00A95F9F"/>
    <w:rsid w:val="00A95FC9"/>
    <w:rsid w:val="00A9663B"/>
    <w:rsid w:val="00A969BE"/>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D5"/>
    <w:rsid w:val="00AB1CE8"/>
    <w:rsid w:val="00AB1FC9"/>
    <w:rsid w:val="00AB26DE"/>
    <w:rsid w:val="00AB2F20"/>
    <w:rsid w:val="00AB3063"/>
    <w:rsid w:val="00AB3420"/>
    <w:rsid w:val="00AB3F7B"/>
    <w:rsid w:val="00AB4419"/>
    <w:rsid w:val="00AB4AD8"/>
    <w:rsid w:val="00AB4DEA"/>
    <w:rsid w:val="00AB4E35"/>
    <w:rsid w:val="00AB5597"/>
    <w:rsid w:val="00AB596B"/>
    <w:rsid w:val="00AB6DFC"/>
    <w:rsid w:val="00AB7A79"/>
    <w:rsid w:val="00AC09CD"/>
    <w:rsid w:val="00AC1666"/>
    <w:rsid w:val="00AC1ABC"/>
    <w:rsid w:val="00AC2832"/>
    <w:rsid w:val="00AC3DB7"/>
    <w:rsid w:val="00AC400E"/>
    <w:rsid w:val="00AC4293"/>
    <w:rsid w:val="00AC4960"/>
    <w:rsid w:val="00AC4E38"/>
    <w:rsid w:val="00AC561A"/>
    <w:rsid w:val="00AC570E"/>
    <w:rsid w:val="00AC57D2"/>
    <w:rsid w:val="00AC5BDE"/>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8BB"/>
    <w:rsid w:val="00AD49D0"/>
    <w:rsid w:val="00AD4B09"/>
    <w:rsid w:val="00AD4EF7"/>
    <w:rsid w:val="00AD4FA3"/>
    <w:rsid w:val="00AD50AD"/>
    <w:rsid w:val="00AD514D"/>
    <w:rsid w:val="00AD516C"/>
    <w:rsid w:val="00AD5D7E"/>
    <w:rsid w:val="00AD5DEF"/>
    <w:rsid w:val="00AD5FD1"/>
    <w:rsid w:val="00AD6407"/>
    <w:rsid w:val="00AD752F"/>
    <w:rsid w:val="00AE00CA"/>
    <w:rsid w:val="00AE1AE1"/>
    <w:rsid w:val="00AE254F"/>
    <w:rsid w:val="00AE260E"/>
    <w:rsid w:val="00AE2C77"/>
    <w:rsid w:val="00AE2D01"/>
    <w:rsid w:val="00AE33C4"/>
    <w:rsid w:val="00AE415F"/>
    <w:rsid w:val="00AE4E21"/>
    <w:rsid w:val="00AE5121"/>
    <w:rsid w:val="00AE55BC"/>
    <w:rsid w:val="00AE56C7"/>
    <w:rsid w:val="00AE57D2"/>
    <w:rsid w:val="00AE638D"/>
    <w:rsid w:val="00AE6611"/>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C6C"/>
    <w:rsid w:val="00AF3E29"/>
    <w:rsid w:val="00AF49AE"/>
    <w:rsid w:val="00AF4BAF"/>
    <w:rsid w:val="00AF4E1B"/>
    <w:rsid w:val="00AF508B"/>
    <w:rsid w:val="00AF5407"/>
    <w:rsid w:val="00AF584E"/>
    <w:rsid w:val="00AF5AC5"/>
    <w:rsid w:val="00AF5D56"/>
    <w:rsid w:val="00AF6595"/>
    <w:rsid w:val="00AF6CE0"/>
    <w:rsid w:val="00AF7444"/>
    <w:rsid w:val="00B00D08"/>
    <w:rsid w:val="00B00ED5"/>
    <w:rsid w:val="00B00F15"/>
    <w:rsid w:val="00B017EA"/>
    <w:rsid w:val="00B019E1"/>
    <w:rsid w:val="00B022CF"/>
    <w:rsid w:val="00B02808"/>
    <w:rsid w:val="00B028BC"/>
    <w:rsid w:val="00B02936"/>
    <w:rsid w:val="00B02BF0"/>
    <w:rsid w:val="00B02EEE"/>
    <w:rsid w:val="00B037DC"/>
    <w:rsid w:val="00B03AB4"/>
    <w:rsid w:val="00B04307"/>
    <w:rsid w:val="00B04492"/>
    <w:rsid w:val="00B04580"/>
    <w:rsid w:val="00B0459A"/>
    <w:rsid w:val="00B0464A"/>
    <w:rsid w:val="00B047DE"/>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D4F"/>
    <w:rsid w:val="00B20AF2"/>
    <w:rsid w:val="00B214DD"/>
    <w:rsid w:val="00B216F9"/>
    <w:rsid w:val="00B22056"/>
    <w:rsid w:val="00B228A4"/>
    <w:rsid w:val="00B229BE"/>
    <w:rsid w:val="00B22A4A"/>
    <w:rsid w:val="00B22D02"/>
    <w:rsid w:val="00B23157"/>
    <w:rsid w:val="00B23BED"/>
    <w:rsid w:val="00B23C29"/>
    <w:rsid w:val="00B241E3"/>
    <w:rsid w:val="00B25C72"/>
    <w:rsid w:val="00B25E6F"/>
    <w:rsid w:val="00B261C3"/>
    <w:rsid w:val="00B26F0F"/>
    <w:rsid w:val="00B27220"/>
    <w:rsid w:val="00B27A6D"/>
    <w:rsid w:val="00B27F62"/>
    <w:rsid w:val="00B3064F"/>
    <w:rsid w:val="00B3098F"/>
    <w:rsid w:val="00B30A2A"/>
    <w:rsid w:val="00B30B07"/>
    <w:rsid w:val="00B314D0"/>
    <w:rsid w:val="00B31F6E"/>
    <w:rsid w:val="00B321FA"/>
    <w:rsid w:val="00B32414"/>
    <w:rsid w:val="00B324B7"/>
    <w:rsid w:val="00B32F00"/>
    <w:rsid w:val="00B32F2D"/>
    <w:rsid w:val="00B32FAF"/>
    <w:rsid w:val="00B3370B"/>
    <w:rsid w:val="00B33E84"/>
    <w:rsid w:val="00B344C2"/>
    <w:rsid w:val="00B34C4E"/>
    <w:rsid w:val="00B35035"/>
    <w:rsid w:val="00B35221"/>
    <w:rsid w:val="00B356B5"/>
    <w:rsid w:val="00B35833"/>
    <w:rsid w:val="00B3598F"/>
    <w:rsid w:val="00B36583"/>
    <w:rsid w:val="00B3690C"/>
    <w:rsid w:val="00B370C8"/>
    <w:rsid w:val="00B37224"/>
    <w:rsid w:val="00B40330"/>
    <w:rsid w:val="00B406E5"/>
    <w:rsid w:val="00B4299A"/>
    <w:rsid w:val="00B42A94"/>
    <w:rsid w:val="00B42C20"/>
    <w:rsid w:val="00B42D9A"/>
    <w:rsid w:val="00B42F20"/>
    <w:rsid w:val="00B43CED"/>
    <w:rsid w:val="00B44509"/>
    <w:rsid w:val="00B44954"/>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836"/>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4A"/>
    <w:rsid w:val="00B60F79"/>
    <w:rsid w:val="00B61337"/>
    <w:rsid w:val="00B61474"/>
    <w:rsid w:val="00B61B49"/>
    <w:rsid w:val="00B63591"/>
    <w:rsid w:val="00B635C6"/>
    <w:rsid w:val="00B63704"/>
    <w:rsid w:val="00B63742"/>
    <w:rsid w:val="00B6379E"/>
    <w:rsid w:val="00B637D9"/>
    <w:rsid w:val="00B63B4A"/>
    <w:rsid w:val="00B64201"/>
    <w:rsid w:val="00B64496"/>
    <w:rsid w:val="00B64498"/>
    <w:rsid w:val="00B648E9"/>
    <w:rsid w:val="00B6604C"/>
    <w:rsid w:val="00B6645A"/>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6903"/>
    <w:rsid w:val="00B8748B"/>
    <w:rsid w:val="00B87BC1"/>
    <w:rsid w:val="00B91818"/>
    <w:rsid w:val="00B919AB"/>
    <w:rsid w:val="00B919D4"/>
    <w:rsid w:val="00B91F80"/>
    <w:rsid w:val="00B92699"/>
    <w:rsid w:val="00B927B0"/>
    <w:rsid w:val="00B92C6F"/>
    <w:rsid w:val="00B92F7A"/>
    <w:rsid w:val="00B93060"/>
    <w:rsid w:val="00B93597"/>
    <w:rsid w:val="00B944AC"/>
    <w:rsid w:val="00B94798"/>
    <w:rsid w:val="00B947FD"/>
    <w:rsid w:val="00B94BE5"/>
    <w:rsid w:val="00B96011"/>
    <w:rsid w:val="00B965AF"/>
    <w:rsid w:val="00B96D5A"/>
    <w:rsid w:val="00B96E9F"/>
    <w:rsid w:val="00B97182"/>
    <w:rsid w:val="00B977A2"/>
    <w:rsid w:val="00B97DBD"/>
    <w:rsid w:val="00BA0255"/>
    <w:rsid w:val="00BA06D4"/>
    <w:rsid w:val="00BA075F"/>
    <w:rsid w:val="00BA0A76"/>
    <w:rsid w:val="00BA0D2A"/>
    <w:rsid w:val="00BA0FA7"/>
    <w:rsid w:val="00BA0FA8"/>
    <w:rsid w:val="00BA102F"/>
    <w:rsid w:val="00BA11C6"/>
    <w:rsid w:val="00BA1218"/>
    <w:rsid w:val="00BA148A"/>
    <w:rsid w:val="00BA1D32"/>
    <w:rsid w:val="00BA1DBF"/>
    <w:rsid w:val="00BA256B"/>
    <w:rsid w:val="00BA3DFA"/>
    <w:rsid w:val="00BA49CD"/>
    <w:rsid w:val="00BA4DC7"/>
    <w:rsid w:val="00BA52C1"/>
    <w:rsid w:val="00BA55A6"/>
    <w:rsid w:val="00BA58C0"/>
    <w:rsid w:val="00BA5AF4"/>
    <w:rsid w:val="00BA5CE0"/>
    <w:rsid w:val="00BA6166"/>
    <w:rsid w:val="00BA64DC"/>
    <w:rsid w:val="00BA683A"/>
    <w:rsid w:val="00BA76B1"/>
    <w:rsid w:val="00BB0423"/>
    <w:rsid w:val="00BB0752"/>
    <w:rsid w:val="00BB16B3"/>
    <w:rsid w:val="00BB2327"/>
    <w:rsid w:val="00BB2B1F"/>
    <w:rsid w:val="00BB2B80"/>
    <w:rsid w:val="00BB2F0B"/>
    <w:rsid w:val="00BB362B"/>
    <w:rsid w:val="00BB3907"/>
    <w:rsid w:val="00BB4C56"/>
    <w:rsid w:val="00BB5F6C"/>
    <w:rsid w:val="00BB60C3"/>
    <w:rsid w:val="00BB6796"/>
    <w:rsid w:val="00BB690D"/>
    <w:rsid w:val="00BB69B6"/>
    <w:rsid w:val="00BB6B1D"/>
    <w:rsid w:val="00BB6C88"/>
    <w:rsid w:val="00BB6ECF"/>
    <w:rsid w:val="00BB74B3"/>
    <w:rsid w:val="00BB76A1"/>
    <w:rsid w:val="00BB777A"/>
    <w:rsid w:val="00BB79C2"/>
    <w:rsid w:val="00BB7C25"/>
    <w:rsid w:val="00BC0B9D"/>
    <w:rsid w:val="00BC1424"/>
    <w:rsid w:val="00BC1765"/>
    <w:rsid w:val="00BC1CC3"/>
    <w:rsid w:val="00BC1DFC"/>
    <w:rsid w:val="00BC2243"/>
    <w:rsid w:val="00BC235F"/>
    <w:rsid w:val="00BC2507"/>
    <w:rsid w:val="00BC27EF"/>
    <w:rsid w:val="00BC2CA6"/>
    <w:rsid w:val="00BC4499"/>
    <w:rsid w:val="00BC47D8"/>
    <w:rsid w:val="00BC4B11"/>
    <w:rsid w:val="00BC5454"/>
    <w:rsid w:val="00BC56EB"/>
    <w:rsid w:val="00BC58B0"/>
    <w:rsid w:val="00BC5961"/>
    <w:rsid w:val="00BC5C69"/>
    <w:rsid w:val="00BC6187"/>
    <w:rsid w:val="00BC693E"/>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0C59"/>
    <w:rsid w:val="00BE116E"/>
    <w:rsid w:val="00BE14AD"/>
    <w:rsid w:val="00BE194D"/>
    <w:rsid w:val="00BE1EB6"/>
    <w:rsid w:val="00BE2053"/>
    <w:rsid w:val="00BE235C"/>
    <w:rsid w:val="00BE26E8"/>
    <w:rsid w:val="00BE29DD"/>
    <w:rsid w:val="00BE2AB1"/>
    <w:rsid w:val="00BE2F83"/>
    <w:rsid w:val="00BE350B"/>
    <w:rsid w:val="00BE35C9"/>
    <w:rsid w:val="00BE3A79"/>
    <w:rsid w:val="00BE3B06"/>
    <w:rsid w:val="00BE4556"/>
    <w:rsid w:val="00BE4C3A"/>
    <w:rsid w:val="00BE502C"/>
    <w:rsid w:val="00BE5253"/>
    <w:rsid w:val="00BE576A"/>
    <w:rsid w:val="00BE5835"/>
    <w:rsid w:val="00BE6073"/>
    <w:rsid w:val="00BE6B86"/>
    <w:rsid w:val="00BE72FD"/>
    <w:rsid w:val="00BE74D1"/>
    <w:rsid w:val="00BE786F"/>
    <w:rsid w:val="00BE7B02"/>
    <w:rsid w:val="00BF0C38"/>
    <w:rsid w:val="00BF0F2C"/>
    <w:rsid w:val="00BF139F"/>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9B4"/>
    <w:rsid w:val="00C00D03"/>
    <w:rsid w:val="00C00F34"/>
    <w:rsid w:val="00C01151"/>
    <w:rsid w:val="00C017B2"/>
    <w:rsid w:val="00C01DD3"/>
    <w:rsid w:val="00C01DFC"/>
    <w:rsid w:val="00C02205"/>
    <w:rsid w:val="00C0282B"/>
    <w:rsid w:val="00C02CA7"/>
    <w:rsid w:val="00C02E62"/>
    <w:rsid w:val="00C03D01"/>
    <w:rsid w:val="00C03D1E"/>
    <w:rsid w:val="00C04292"/>
    <w:rsid w:val="00C04382"/>
    <w:rsid w:val="00C0517A"/>
    <w:rsid w:val="00C05343"/>
    <w:rsid w:val="00C05381"/>
    <w:rsid w:val="00C0572E"/>
    <w:rsid w:val="00C067E0"/>
    <w:rsid w:val="00C074B8"/>
    <w:rsid w:val="00C075D0"/>
    <w:rsid w:val="00C1025D"/>
    <w:rsid w:val="00C103AB"/>
    <w:rsid w:val="00C117B9"/>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711E"/>
    <w:rsid w:val="00C17140"/>
    <w:rsid w:val="00C174C6"/>
    <w:rsid w:val="00C17E6E"/>
    <w:rsid w:val="00C17F0A"/>
    <w:rsid w:val="00C2001A"/>
    <w:rsid w:val="00C20446"/>
    <w:rsid w:val="00C20915"/>
    <w:rsid w:val="00C211D4"/>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431"/>
    <w:rsid w:val="00C337A9"/>
    <w:rsid w:val="00C33AEC"/>
    <w:rsid w:val="00C34536"/>
    <w:rsid w:val="00C34CDD"/>
    <w:rsid w:val="00C34F9A"/>
    <w:rsid w:val="00C357AE"/>
    <w:rsid w:val="00C3608B"/>
    <w:rsid w:val="00C36203"/>
    <w:rsid w:val="00C36B2D"/>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629"/>
    <w:rsid w:val="00C4471A"/>
    <w:rsid w:val="00C44CC9"/>
    <w:rsid w:val="00C44D73"/>
    <w:rsid w:val="00C44FD9"/>
    <w:rsid w:val="00C45350"/>
    <w:rsid w:val="00C4548D"/>
    <w:rsid w:val="00C45DD1"/>
    <w:rsid w:val="00C4601D"/>
    <w:rsid w:val="00C4698B"/>
    <w:rsid w:val="00C46FE3"/>
    <w:rsid w:val="00C4707D"/>
    <w:rsid w:val="00C473E7"/>
    <w:rsid w:val="00C47478"/>
    <w:rsid w:val="00C47BD2"/>
    <w:rsid w:val="00C50DFC"/>
    <w:rsid w:val="00C51206"/>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1A8"/>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67C00"/>
    <w:rsid w:val="00C70074"/>
    <w:rsid w:val="00C701EC"/>
    <w:rsid w:val="00C70244"/>
    <w:rsid w:val="00C70341"/>
    <w:rsid w:val="00C70438"/>
    <w:rsid w:val="00C70918"/>
    <w:rsid w:val="00C70C17"/>
    <w:rsid w:val="00C716CF"/>
    <w:rsid w:val="00C717CD"/>
    <w:rsid w:val="00C71EAD"/>
    <w:rsid w:val="00C7264D"/>
    <w:rsid w:val="00C729CD"/>
    <w:rsid w:val="00C72AE3"/>
    <w:rsid w:val="00C73402"/>
    <w:rsid w:val="00C73FAD"/>
    <w:rsid w:val="00C745D7"/>
    <w:rsid w:val="00C74865"/>
    <w:rsid w:val="00C74916"/>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948"/>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4DF"/>
    <w:rsid w:val="00C92714"/>
    <w:rsid w:val="00C9286B"/>
    <w:rsid w:val="00C92949"/>
    <w:rsid w:val="00C9312F"/>
    <w:rsid w:val="00C933D8"/>
    <w:rsid w:val="00C93FE7"/>
    <w:rsid w:val="00C94810"/>
    <w:rsid w:val="00C9488A"/>
    <w:rsid w:val="00C94AD2"/>
    <w:rsid w:val="00C950CA"/>
    <w:rsid w:val="00C95819"/>
    <w:rsid w:val="00C958E9"/>
    <w:rsid w:val="00C95ED6"/>
    <w:rsid w:val="00CA0559"/>
    <w:rsid w:val="00CA1B03"/>
    <w:rsid w:val="00CA1DCF"/>
    <w:rsid w:val="00CA1E28"/>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12C"/>
    <w:rsid w:val="00CC777D"/>
    <w:rsid w:val="00CC79CD"/>
    <w:rsid w:val="00CC7C5C"/>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1DF8"/>
    <w:rsid w:val="00CE2B04"/>
    <w:rsid w:val="00CE2C04"/>
    <w:rsid w:val="00CE3F20"/>
    <w:rsid w:val="00CE40EA"/>
    <w:rsid w:val="00CE484E"/>
    <w:rsid w:val="00CE4E0D"/>
    <w:rsid w:val="00CE4F18"/>
    <w:rsid w:val="00CE5298"/>
    <w:rsid w:val="00CE5416"/>
    <w:rsid w:val="00CE58EB"/>
    <w:rsid w:val="00CE596B"/>
    <w:rsid w:val="00CE5F0A"/>
    <w:rsid w:val="00CE643F"/>
    <w:rsid w:val="00CE6523"/>
    <w:rsid w:val="00CE681D"/>
    <w:rsid w:val="00CE6A32"/>
    <w:rsid w:val="00CE6EA0"/>
    <w:rsid w:val="00CF091E"/>
    <w:rsid w:val="00CF0A69"/>
    <w:rsid w:val="00CF10F6"/>
    <w:rsid w:val="00CF1AC7"/>
    <w:rsid w:val="00CF1DBF"/>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3F5"/>
    <w:rsid w:val="00D045FD"/>
    <w:rsid w:val="00D05109"/>
    <w:rsid w:val="00D0566D"/>
    <w:rsid w:val="00D0774F"/>
    <w:rsid w:val="00D07D72"/>
    <w:rsid w:val="00D103E0"/>
    <w:rsid w:val="00D1060F"/>
    <w:rsid w:val="00D10D5F"/>
    <w:rsid w:val="00D1140B"/>
    <w:rsid w:val="00D11823"/>
    <w:rsid w:val="00D118F2"/>
    <w:rsid w:val="00D12563"/>
    <w:rsid w:val="00D12670"/>
    <w:rsid w:val="00D127DE"/>
    <w:rsid w:val="00D1282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2F65"/>
    <w:rsid w:val="00D23437"/>
    <w:rsid w:val="00D2381C"/>
    <w:rsid w:val="00D23A94"/>
    <w:rsid w:val="00D23EEA"/>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1E"/>
    <w:rsid w:val="00D35BAA"/>
    <w:rsid w:val="00D36072"/>
    <w:rsid w:val="00D36122"/>
    <w:rsid w:val="00D362E0"/>
    <w:rsid w:val="00D367F0"/>
    <w:rsid w:val="00D36E7E"/>
    <w:rsid w:val="00D3756A"/>
    <w:rsid w:val="00D375DA"/>
    <w:rsid w:val="00D37669"/>
    <w:rsid w:val="00D377AE"/>
    <w:rsid w:val="00D400D8"/>
    <w:rsid w:val="00D403D0"/>
    <w:rsid w:val="00D404B1"/>
    <w:rsid w:val="00D4113F"/>
    <w:rsid w:val="00D4119C"/>
    <w:rsid w:val="00D412B3"/>
    <w:rsid w:val="00D41378"/>
    <w:rsid w:val="00D41616"/>
    <w:rsid w:val="00D42CD9"/>
    <w:rsid w:val="00D43988"/>
    <w:rsid w:val="00D43AC4"/>
    <w:rsid w:val="00D442ED"/>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2C"/>
    <w:rsid w:val="00D61EDD"/>
    <w:rsid w:val="00D622E3"/>
    <w:rsid w:val="00D628AF"/>
    <w:rsid w:val="00D6294B"/>
    <w:rsid w:val="00D630BA"/>
    <w:rsid w:val="00D6353D"/>
    <w:rsid w:val="00D6367B"/>
    <w:rsid w:val="00D63895"/>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4504"/>
    <w:rsid w:val="00D74639"/>
    <w:rsid w:val="00D74F04"/>
    <w:rsid w:val="00D75560"/>
    <w:rsid w:val="00D762C4"/>
    <w:rsid w:val="00D7743F"/>
    <w:rsid w:val="00D77A79"/>
    <w:rsid w:val="00D77AAC"/>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68D"/>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B48"/>
    <w:rsid w:val="00DA0C9D"/>
    <w:rsid w:val="00DA0DBB"/>
    <w:rsid w:val="00DA1779"/>
    <w:rsid w:val="00DA1E0D"/>
    <w:rsid w:val="00DA1EE5"/>
    <w:rsid w:val="00DA263F"/>
    <w:rsid w:val="00DA2A54"/>
    <w:rsid w:val="00DA3525"/>
    <w:rsid w:val="00DA3D60"/>
    <w:rsid w:val="00DA44CF"/>
    <w:rsid w:val="00DA4F1D"/>
    <w:rsid w:val="00DA51F4"/>
    <w:rsid w:val="00DA59D2"/>
    <w:rsid w:val="00DA60CB"/>
    <w:rsid w:val="00DA669D"/>
    <w:rsid w:val="00DA776F"/>
    <w:rsid w:val="00DA7B84"/>
    <w:rsid w:val="00DB07BB"/>
    <w:rsid w:val="00DB125E"/>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650"/>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CF0"/>
    <w:rsid w:val="00DD1EC6"/>
    <w:rsid w:val="00DD2821"/>
    <w:rsid w:val="00DD2BAF"/>
    <w:rsid w:val="00DD2E32"/>
    <w:rsid w:val="00DD31C4"/>
    <w:rsid w:val="00DD3308"/>
    <w:rsid w:val="00DD3316"/>
    <w:rsid w:val="00DD38FE"/>
    <w:rsid w:val="00DD3C0B"/>
    <w:rsid w:val="00DD3E52"/>
    <w:rsid w:val="00DD460E"/>
    <w:rsid w:val="00DD4F5E"/>
    <w:rsid w:val="00DD5517"/>
    <w:rsid w:val="00DD5ADD"/>
    <w:rsid w:val="00DD5CB6"/>
    <w:rsid w:val="00DD5E57"/>
    <w:rsid w:val="00DD63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4FEF"/>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065"/>
    <w:rsid w:val="00DF2353"/>
    <w:rsid w:val="00DF2504"/>
    <w:rsid w:val="00DF2C54"/>
    <w:rsid w:val="00DF3837"/>
    <w:rsid w:val="00DF3AB2"/>
    <w:rsid w:val="00DF5E69"/>
    <w:rsid w:val="00DF6677"/>
    <w:rsid w:val="00DF6D87"/>
    <w:rsid w:val="00DF6FBC"/>
    <w:rsid w:val="00DF78B2"/>
    <w:rsid w:val="00DF7D1A"/>
    <w:rsid w:val="00DF7DD5"/>
    <w:rsid w:val="00DF7ED4"/>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A1F"/>
    <w:rsid w:val="00E10C42"/>
    <w:rsid w:val="00E114D8"/>
    <w:rsid w:val="00E11C13"/>
    <w:rsid w:val="00E11F04"/>
    <w:rsid w:val="00E12535"/>
    <w:rsid w:val="00E12D89"/>
    <w:rsid w:val="00E13113"/>
    <w:rsid w:val="00E13167"/>
    <w:rsid w:val="00E1340B"/>
    <w:rsid w:val="00E13999"/>
    <w:rsid w:val="00E13B9C"/>
    <w:rsid w:val="00E13F81"/>
    <w:rsid w:val="00E14108"/>
    <w:rsid w:val="00E14511"/>
    <w:rsid w:val="00E14BA7"/>
    <w:rsid w:val="00E14C53"/>
    <w:rsid w:val="00E14EE9"/>
    <w:rsid w:val="00E15082"/>
    <w:rsid w:val="00E1516D"/>
    <w:rsid w:val="00E15217"/>
    <w:rsid w:val="00E15282"/>
    <w:rsid w:val="00E1557E"/>
    <w:rsid w:val="00E15B0D"/>
    <w:rsid w:val="00E161AD"/>
    <w:rsid w:val="00E16E3C"/>
    <w:rsid w:val="00E17050"/>
    <w:rsid w:val="00E17093"/>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85"/>
    <w:rsid w:val="00E50533"/>
    <w:rsid w:val="00E508F6"/>
    <w:rsid w:val="00E50D34"/>
    <w:rsid w:val="00E50ECC"/>
    <w:rsid w:val="00E50F7B"/>
    <w:rsid w:val="00E5176B"/>
    <w:rsid w:val="00E51B5D"/>
    <w:rsid w:val="00E5223D"/>
    <w:rsid w:val="00E528BA"/>
    <w:rsid w:val="00E53A72"/>
    <w:rsid w:val="00E53CAB"/>
    <w:rsid w:val="00E54401"/>
    <w:rsid w:val="00E544CA"/>
    <w:rsid w:val="00E54747"/>
    <w:rsid w:val="00E55339"/>
    <w:rsid w:val="00E55538"/>
    <w:rsid w:val="00E55ADF"/>
    <w:rsid w:val="00E565C2"/>
    <w:rsid w:val="00E56E95"/>
    <w:rsid w:val="00E56ECC"/>
    <w:rsid w:val="00E5731F"/>
    <w:rsid w:val="00E57911"/>
    <w:rsid w:val="00E57F9B"/>
    <w:rsid w:val="00E60269"/>
    <w:rsid w:val="00E60586"/>
    <w:rsid w:val="00E605EA"/>
    <w:rsid w:val="00E6073C"/>
    <w:rsid w:val="00E60763"/>
    <w:rsid w:val="00E60C32"/>
    <w:rsid w:val="00E616A2"/>
    <w:rsid w:val="00E627F6"/>
    <w:rsid w:val="00E62F5C"/>
    <w:rsid w:val="00E632C3"/>
    <w:rsid w:val="00E63E8A"/>
    <w:rsid w:val="00E63F1D"/>
    <w:rsid w:val="00E64089"/>
    <w:rsid w:val="00E646D5"/>
    <w:rsid w:val="00E64A75"/>
    <w:rsid w:val="00E64B1B"/>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803C3"/>
    <w:rsid w:val="00E80872"/>
    <w:rsid w:val="00E80EFB"/>
    <w:rsid w:val="00E81B8E"/>
    <w:rsid w:val="00E81EBF"/>
    <w:rsid w:val="00E81ED7"/>
    <w:rsid w:val="00E8219D"/>
    <w:rsid w:val="00E82EE4"/>
    <w:rsid w:val="00E83371"/>
    <w:rsid w:val="00E8377F"/>
    <w:rsid w:val="00E84955"/>
    <w:rsid w:val="00E8543E"/>
    <w:rsid w:val="00E855CE"/>
    <w:rsid w:val="00E8597F"/>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522B"/>
    <w:rsid w:val="00E9558B"/>
    <w:rsid w:val="00E95D1B"/>
    <w:rsid w:val="00E9623E"/>
    <w:rsid w:val="00E9649D"/>
    <w:rsid w:val="00E969F0"/>
    <w:rsid w:val="00E96A2C"/>
    <w:rsid w:val="00EA009F"/>
    <w:rsid w:val="00EA09FE"/>
    <w:rsid w:val="00EA17C0"/>
    <w:rsid w:val="00EA2523"/>
    <w:rsid w:val="00EA2EFA"/>
    <w:rsid w:val="00EA32BF"/>
    <w:rsid w:val="00EA50D6"/>
    <w:rsid w:val="00EA52B0"/>
    <w:rsid w:val="00EA5714"/>
    <w:rsid w:val="00EA5E1D"/>
    <w:rsid w:val="00EA7662"/>
    <w:rsid w:val="00EB016F"/>
    <w:rsid w:val="00EB0635"/>
    <w:rsid w:val="00EB06EB"/>
    <w:rsid w:val="00EB0798"/>
    <w:rsid w:val="00EB0B50"/>
    <w:rsid w:val="00EB222C"/>
    <w:rsid w:val="00EB2A74"/>
    <w:rsid w:val="00EB33F4"/>
    <w:rsid w:val="00EB3B9C"/>
    <w:rsid w:val="00EB3C8F"/>
    <w:rsid w:val="00EB4242"/>
    <w:rsid w:val="00EB44AE"/>
    <w:rsid w:val="00EB4C04"/>
    <w:rsid w:val="00EB4CA7"/>
    <w:rsid w:val="00EB574E"/>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504"/>
    <w:rsid w:val="00EC36F2"/>
    <w:rsid w:val="00EC40B3"/>
    <w:rsid w:val="00EC4189"/>
    <w:rsid w:val="00EC4338"/>
    <w:rsid w:val="00EC440F"/>
    <w:rsid w:val="00EC44CA"/>
    <w:rsid w:val="00EC476F"/>
    <w:rsid w:val="00EC48D7"/>
    <w:rsid w:val="00EC4B7C"/>
    <w:rsid w:val="00EC4BB6"/>
    <w:rsid w:val="00EC4F33"/>
    <w:rsid w:val="00EC68F4"/>
    <w:rsid w:val="00EC7129"/>
    <w:rsid w:val="00EC779C"/>
    <w:rsid w:val="00ED07A3"/>
    <w:rsid w:val="00ED11C5"/>
    <w:rsid w:val="00ED1924"/>
    <w:rsid w:val="00ED195D"/>
    <w:rsid w:val="00ED1E35"/>
    <w:rsid w:val="00ED2884"/>
    <w:rsid w:val="00ED2C8F"/>
    <w:rsid w:val="00ED2D4A"/>
    <w:rsid w:val="00ED2DB6"/>
    <w:rsid w:val="00ED304F"/>
    <w:rsid w:val="00ED47C8"/>
    <w:rsid w:val="00ED4BF7"/>
    <w:rsid w:val="00ED4FB2"/>
    <w:rsid w:val="00ED507D"/>
    <w:rsid w:val="00ED5A35"/>
    <w:rsid w:val="00ED6F17"/>
    <w:rsid w:val="00ED73C5"/>
    <w:rsid w:val="00ED76F1"/>
    <w:rsid w:val="00ED7BC1"/>
    <w:rsid w:val="00ED7CE7"/>
    <w:rsid w:val="00ED7D18"/>
    <w:rsid w:val="00ED7FFE"/>
    <w:rsid w:val="00EE0EE3"/>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E7E08"/>
    <w:rsid w:val="00EF0209"/>
    <w:rsid w:val="00EF0F3B"/>
    <w:rsid w:val="00EF1A43"/>
    <w:rsid w:val="00EF20F2"/>
    <w:rsid w:val="00EF2141"/>
    <w:rsid w:val="00EF2240"/>
    <w:rsid w:val="00EF2596"/>
    <w:rsid w:val="00EF3069"/>
    <w:rsid w:val="00EF30C3"/>
    <w:rsid w:val="00EF3482"/>
    <w:rsid w:val="00EF389A"/>
    <w:rsid w:val="00EF3A6B"/>
    <w:rsid w:val="00EF3DE5"/>
    <w:rsid w:val="00EF4473"/>
    <w:rsid w:val="00EF4707"/>
    <w:rsid w:val="00EF470B"/>
    <w:rsid w:val="00EF4BC0"/>
    <w:rsid w:val="00EF4C4E"/>
    <w:rsid w:val="00EF51B0"/>
    <w:rsid w:val="00EF576E"/>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1E5"/>
    <w:rsid w:val="00F1232F"/>
    <w:rsid w:val="00F12994"/>
    <w:rsid w:val="00F12D86"/>
    <w:rsid w:val="00F12DF2"/>
    <w:rsid w:val="00F13058"/>
    <w:rsid w:val="00F134E3"/>
    <w:rsid w:val="00F13B05"/>
    <w:rsid w:val="00F13F47"/>
    <w:rsid w:val="00F142D6"/>
    <w:rsid w:val="00F14A46"/>
    <w:rsid w:val="00F15347"/>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0D4A"/>
    <w:rsid w:val="00F310BB"/>
    <w:rsid w:val="00F313CE"/>
    <w:rsid w:val="00F31584"/>
    <w:rsid w:val="00F31630"/>
    <w:rsid w:val="00F329CE"/>
    <w:rsid w:val="00F3322B"/>
    <w:rsid w:val="00F338B2"/>
    <w:rsid w:val="00F3467A"/>
    <w:rsid w:val="00F34A95"/>
    <w:rsid w:val="00F34C99"/>
    <w:rsid w:val="00F34F03"/>
    <w:rsid w:val="00F352FD"/>
    <w:rsid w:val="00F35CF9"/>
    <w:rsid w:val="00F36007"/>
    <w:rsid w:val="00F3623B"/>
    <w:rsid w:val="00F367AD"/>
    <w:rsid w:val="00F36FED"/>
    <w:rsid w:val="00F37072"/>
    <w:rsid w:val="00F4094B"/>
    <w:rsid w:val="00F40BB5"/>
    <w:rsid w:val="00F40CF9"/>
    <w:rsid w:val="00F40F5F"/>
    <w:rsid w:val="00F41AB6"/>
    <w:rsid w:val="00F41E9A"/>
    <w:rsid w:val="00F421DD"/>
    <w:rsid w:val="00F4221B"/>
    <w:rsid w:val="00F4233C"/>
    <w:rsid w:val="00F428FA"/>
    <w:rsid w:val="00F439BB"/>
    <w:rsid w:val="00F43FCA"/>
    <w:rsid w:val="00F444AF"/>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4A93"/>
    <w:rsid w:val="00F54BBD"/>
    <w:rsid w:val="00F55A8B"/>
    <w:rsid w:val="00F562BE"/>
    <w:rsid w:val="00F567A9"/>
    <w:rsid w:val="00F570FA"/>
    <w:rsid w:val="00F60458"/>
    <w:rsid w:val="00F60DF3"/>
    <w:rsid w:val="00F61026"/>
    <w:rsid w:val="00F613D5"/>
    <w:rsid w:val="00F61567"/>
    <w:rsid w:val="00F61A2E"/>
    <w:rsid w:val="00F62057"/>
    <w:rsid w:val="00F62582"/>
    <w:rsid w:val="00F633BD"/>
    <w:rsid w:val="00F638C6"/>
    <w:rsid w:val="00F63998"/>
    <w:rsid w:val="00F63C51"/>
    <w:rsid w:val="00F646A6"/>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424"/>
    <w:rsid w:val="00F72599"/>
    <w:rsid w:val="00F72AC2"/>
    <w:rsid w:val="00F72BF8"/>
    <w:rsid w:val="00F73A93"/>
    <w:rsid w:val="00F74168"/>
    <w:rsid w:val="00F742F1"/>
    <w:rsid w:val="00F747FA"/>
    <w:rsid w:val="00F74871"/>
    <w:rsid w:val="00F756F9"/>
    <w:rsid w:val="00F76037"/>
    <w:rsid w:val="00F77724"/>
    <w:rsid w:val="00F7772A"/>
    <w:rsid w:val="00F77839"/>
    <w:rsid w:val="00F77995"/>
    <w:rsid w:val="00F77AB9"/>
    <w:rsid w:val="00F8097D"/>
    <w:rsid w:val="00F810FE"/>
    <w:rsid w:val="00F811B9"/>
    <w:rsid w:val="00F815CC"/>
    <w:rsid w:val="00F818AC"/>
    <w:rsid w:val="00F81A57"/>
    <w:rsid w:val="00F8246A"/>
    <w:rsid w:val="00F8285E"/>
    <w:rsid w:val="00F83ED9"/>
    <w:rsid w:val="00F84A25"/>
    <w:rsid w:val="00F856ED"/>
    <w:rsid w:val="00F8574D"/>
    <w:rsid w:val="00F85DEC"/>
    <w:rsid w:val="00F85EDA"/>
    <w:rsid w:val="00F86150"/>
    <w:rsid w:val="00F8615F"/>
    <w:rsid w:val="00F8629B"/>
    <w:rsid w:val="00F86D4E"/>
    <w:rsid w:val="00F86E6F"/>
    <w:rsid w:val="00F87BEF"/>
    <w:rsid w:val="00F90296"/>
    <w:rsid w:val="00F902F3"/>
    <w:rsid w:val="00F90C13"/>
    <w:rsid w:val="00F90DD7"/>
    <w:rsid w:val="00F91164"/>
    <w:rsid w:val="00F91524"/>
    <w:rsid w:val="00F921D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DD9"/>
    <w:rsid w:val="00FA5F42"/>
    <w:rsid w:val="00FA620B"/>
    <w:rsid w:val="00FA6361"/>
    <w:rsid w:val="00FA69C3"/>
    <w:rsid w:val="00FA69E4"/>
    <w:rsid w:val="00FA6AAC"/>
    <w:rsid w:val="00FA6CBC"/>
    <w:rsid w:val="00FA6D48"/>
    <w:rsid w:val="00FA7D6A"/>
    <w:rsid w:val="00FA7EC0"/>
    <w:rsid w:val="00FA7FAB"/>
    <w:rsid w:val="00FB0BB2"/>
    <w:rsid w:val="00FB1582"/>
    <w:rsid w:val="00FB16C0"/>
    <w:rsid w:val="00FB1938"/>
    <w:rsid w:val="00FB2648"/>
    <w:rsid w:val="00FB349A"/>
    <w:rsid w:val="00FB38BE"/>
    <w:rsid w:val="00FB3E1A"/>
    <w:rsid w:val="00FB4B50"/>
    <w:rsid w:val="00FB4E5B"/>
    <w:rsid w:val="00FB54ED"/>
    <w:rsid w:val="00FB5808"/>
    <w:rsid w:val="00FB5BD6"/>
    <w:rsid w:val="00FB6DFE"/>
    <w:rsid w:val="00FB7E3B"/>
    <w:rsid w:val="00FC0330"/>
    <w:rsid w:val="00FC072E"/>
    <w:rsid w:val="00FC0921"/>
    <w:rsid w:val="00FC11A9"/>
    <w:rsid w:val="00FC1C6F"/>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B94"/>
    <w:rsid w:val="00FC6D98"/>
    <w:rsid w:val="00FC6DD7"/>
    <w:rsid w:val="00FC759D"/>
    <w:rsid w:val="00FC7CE7"/>
    <w:rsid w:val="00FD039F"/>
    <w:rsid w:val="00FD05B4"/>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6852"/>
    <w:rsid w:val="00FD7339"/>
    <w:rsid w:val="00FD7945"/>
    <w:rsid w:val="00FE02C1"/>
    <w:rsid w:val="00FE0B54"/>
    <w:rsid w:val="00FE0B5C"/>
    <w:rsid w:val="00FE0DF4"/>
    <w:rsid w:val="00FE1880"/>
    <w:rsid w:val="00FE1B0B"/>
    <w:rsid w:val="00FE1EB0"/>
    <w:rsid w:val="00FE2075"/>
    <w:rsid w:val="00FE225A"/>
    <w:rsid w:val="00FE2349"/>
    <w:rsid w:val="00FE23B0"/>
    <w:rsid w:val="00FE23C1"/>
    <w:rsid w:val="00FE3963"/>
    <w:rsid w:val="00FE3F8E"/>
    <w:rsid w:val="00FE47ED"/>
    <w:rsid w:val="00FE4AAD"/>
    <w:rsid w:val="00FE5330"/>
    <w:rsid w:val="00FE61DC"/>
    <w:rsid w:val="00FE67D0"/>
    <w:rsid w:val="00FE6D54"/>
    <w:rsid w:val="00FE6F1C"/>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3D57E39"/>
    <w:rsid w:val="08BD4177"/>
    <w:rsid w:val="11E871AF"/>
    <w:rsid w:val="13156B27"/>
    <w:rsid w:val="17AF1B7C"/>
    <w:rsid w:val="1AEB40ED"/>
    <w:rsid w:val="1FC2572F"/>
    <w:rsid w:val="20FC416F"/>
    <w:rsid w:val="36337AE1"/>
    <w:rsid w:val="40BB6A1C"/>
    <w:rsid w:val="416C40DE"/>
    <w:rsid w:val="64A81AF3"/>
    <w:rsid w:val="6F1D0BAD"/>
    <w:rsid w:val="6F611B94"/>
    <w:rsid w:val="788C4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6">
    <w:name w:val="heading 2"/>
    <w:basedOn w:val="1"/>
    <w:next w:val="1"/>
    <w:qFormat/>
    <w:uiPriority w:val="0"/>
    <w:pPr>
      <w:textAlignment w:val="baseline"/>
      <w:outlineLvl w:val="1"/>
    </w:pPr>
    <w:rPr>
      <w:szCs w:val="20"/>
    </w:rPr>
  </w:style>
  <w:style w:type="paragraph" w:styleId="4">
    <w:name w:val="heading 3"/>
    <w:basedOn w:val="5"/>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yperlink"/>
    <w:basedOn w:val="47"/>
    <w:uiPriority w:val="99"/>
    <w:rPr>
      <w:rFonts w:hint="eastAsia" w:ascii="宋体" w:hAnsi="宋体" w:eastAsia="宋体" w:cs="宋体"/>
      <w:color w:val="0031C1"/>
      <w:sz w:val="18"/>
      <w:szCs w:val="18"/>
      <w:u w:val="none"/>
    </w:rPr>
  </w:style>
  <w:style w:type="character" w:styleId="53">
    <w:name w:val="annotation reference"/>
    <w:unhideWhenUsed/>
    <w:uiPriority w:val="0"/>
    <w:rPr>
      <w:sz w:val="21"/>
      <w:szCs w:val="21"/>
    </w:rPr>
  </w:style>
  <w:style w:type="character" w:customStyle="1" w:styleId="54">
    <w:name w:val="标题 4 Char"/>
    <w:link w:val="5"/>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4"/>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28"/>
      <w:szCs w:val="28"/>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9"/>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1"/>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9"/>
    <w:qFormat/>
    <w:uiPriority w:val="0"/>
    <w:rPr>
      <w:rFonts w:ascii="Arial" w:hAnsi="Arial" w:eastAsia="黑体"/>
      <w:b/>
      <w:kern w:val="2"/>
      <w:sz w:val="24"/>
    </w:rPr>
  </w:style>
  <w:style w:type="character" w:customStyle="1" w:styleId="120">
    <w:name w:val="标题 7 Char"/>
    <w:link w:val="10"/>
    <w:qFormat/>
    <w:uiPriority w:val="0"/>
    <w:rPr>
      <w:b/>
      <w:kern w:val="2"/>
      <w:sz w:val="24"/>
    </w:rPr>
  </w:style>
  <w:style w:type="character" w:customStyle="1" w:styleId="121">
    <w:name w:val="标题 8 Char"/>
    <w:link w:val="11"/>
    <w:qFormat/>
    <w:uiPriority w:val="0"/>
    <w:rPr>
      <w:rFonts w:ascii="Arial" w:hAnsi="Arial" w:eastAsia="黑体"/>
      <w:kern w:val="2"/>
      <w:sz w:val="24"/>
    </w:rPr>
  </w:style>
  <w:style w:type="character" w:customStyle="1" w:styleId="122">
    <w:name w:val="标题 9 Char"/>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5"/>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5"/>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5"/>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6"/>
    <w:qFormat/>
    <w:uiPriority w:val="0"/>
    <w:pPr>
      <w:adjustRightInd/>
      <w:spacing w:before="120" w:after="120"/>
      <w:ind w:left="576" w:hanging="576"/>
      <w:jc w:val="left"/>
      <w:textAlignment w:val="auto"/>
    </w:pPr>
    <w:rPr>
      <w:rFonts w:ascii="Arial" w:hAnsi="Arial" w:eastAsia="黑体"/>
      <w:bCs/>
      <w:kern w:val="2"/>
      <w:sz w:val="28"/>
      <w:szCs w:val="28"/>
    </w:rPr>
  </w:style>
  <w:style w:type="paragraph" w:customStyle="1" w:styleId="216">
    <w:name w:val="样式 标题 2H2Heading 2 HiddenHeading 2 CCBSheading 22nd levelh...1"/>
    <w:basedOn w:val="6"/>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副标题 Char"/>
    <w:qFormat/>
    <w:uiPriority w:val="0"/>
    <w:rPr>
      <w:rFonts w:ascii="Cambria" w:hAnsi="Cambria"/>
      <w:b/>
      <w:bCs/>
      <w:kern w:val="28"/>
      <w:sz w:val="28"/>
      <w:szCs w:val="32"/>
      <w:shd w:val="clear" w:color="auto" w:fill="FFFFFF"/>
      <w:lang w:val="zh-CN" w:eastAsia="zh-CN"/>
    </w:rPr>
  </w:style>
  <w:style w:type="character" w:customStyle="1" w:styleId="285">
    <w:name w:val="fielderror"/>
    <w:basedOn w:val="47"/>
    <w:qFormat/>
    <w:uiPriority w:val="0"/>
    <w:rPr>
      <w:color w:val="800000"/>
    </w:rPr>
  </w:style>
  <w:style w:type="character" w:customStyle="1" w:styleId="286">
    <w:name w:val="hilite6"/>
    <w:basedOn w:val="47"/>
    <w:qFormat/>
    <w:uiPriority w:val="0"/>
    <w:rPr>
      <w:color w:val="000000"/>
    </w:rPr>
  </w:style>
  <w:style w:type="character" w:customStyle="1" w:styleId="287">
    <w:name w:val="active4"/>
    <w:basedOn w:val="47"/>
    <w:qFormat/>
    <w:uiPriority w:val="0"/>
    <w:rPr>
      <w:color w:val="FFFFFF"/>
    </w:rPr>
  </w:style>
  <w:style w:type="character" w:customStyle="1" w:styleId="288">
    <w:name w:val="hilite5"/>
    <w:basedOn w:val="47"/>
    <w:qFormat/>
    <w:uiPriority w:val="0"/>
    <w:rPr>
      <w:color w:val="000000"/>
    </w:rPr>
  </w:style>
  <w:style w:type="character" w:customStyle="1" w:styleId="289">
    <w:name w:val="active6"/>
    <w:basedOn w:val="47"/>
    <w:qFormat/>
    <w:uiPriority w:val="0"/>
    <w:rPr>
      <w:color w:val="FFFFFF"/>
    </w:rPr>
  </w:style>
  <w:style w:type="character" w:customStyle="1" w:styleId="290">
    <w:name w:val="active"/>
    <w:basedOn w:val="47"/>
    <w:qFormat/>
    <w:uiPriority w:val="0"/>
    <w:rPr>
      <w:color w:val="FFFFFF"/>
    </w:rPr>
  </w:style>
  <w:style w:type="character" w:customStyle="1" w:styleId="291">
    <w:name w:val="layui-layer-tabnow"/>
    <w:basedOn w:val="47"/>
    <w:qFormat/>
    <w:uiPriority w:val="0"/>
    <w:rPr>
      <w:bdr w:val="single" w:color="CCCCCC" w:sz="6" w:space="0"/>
      <w:shd w:val="clear" w:color="auto" w:fill="FFFFFF"/>
    </w:rPr>
  </w:style>
  <w:style w:type="character" w:customStyle="1" w:styleId="292">
    <w:name w:val="first-child"/>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2.jpeg"/><Relationship Id="rId3" Type="http://schemas.openxmlformats.org/officeDocument/2006/relationships/footer" Target="footer1.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png"/><Relationship Id="rId23" Type="http://schemas.openxmlformats.org/officeDocument/2006/relationships/image" Target="media/image15.jpeg"/><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E27F50-3226-4777-8D57-1C3AB073AC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7754</Words>
  <Characters>44200</Characters>
  <Lines>368</Lines>
  <Paragraphs>103</Paragraphs>
  <TotalTime>131</TotalTime>
  <ScaleCrop>false</ScaleCrop>
  <LinksUpToDate>false</LinksUpToDate>
  <CharactersWithSpaces>51851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lenovo</cp:lastModifiedBy>
  <cp:lastPrinted>2017-02-22T09:17:00Z</cp:lastPrinted>
  <dcterms:modified xsi:type="dcterms:W3CDTF">2019-07-10T08:58:17Z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